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33881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139, Friday, July 21,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33881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21,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Promise Neighborhoods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the Promise Neighborhoods Program--Grant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Catalog of Federal Domestic Assistance (CFDA) number 84.215N.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Promise Neighborhoods program is newly authorized under the Elementary and Secondary Education Act of 1965 (ESEA), as amended by the Every Student Succeeds Act (ESSA). The purpose of the Promise Neighborhoods program is to significantly improve the academic and developmental outcomes of children living in the most distressed communities of the United States, including ensuring school readiness, high school graduation, and access to a community-based continuum of high-quality services. The program serves neighborhoods with high concentrations of low-income individuals; multiple signs of distress, which may include high rates of poverty, childhood obesity, academic failure, and juvenile delinquency, adjudication, or incarceration; and schools implementing comprehensive support and improvement activities or targeted support and improvement activities under section 1111(d) of the ESEA. All strategies in the continuum of solutions must be accessible to children with disabilities and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vision of the Promise Neighborhoods program is that all children and youth living in our most distressed communities have access to great schools and strong systems of family and community support that will prepare them to attain an excellent education and successfully transition to postsecondary education and a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Promise Neighborhood is both a place and a strategy. A place eligible to become a Promise Neighborhood is a geographic area n1 that is distressed, often facing inadequate access to high-quality early learning programs and services, with struggling schools, low high school and college graduation rates, high rates of unemployment, high rates of crime, and indicators of poor health. These conditions contribute to and intensify </w:t>
      </w:r>
      <w:r>
        <w:rPr>
          <w:rFonts w:ascii="arial" w:eastAsia="arial" w:hAnsi="arial" w:cs="arial"/>
          <w:b/>
          <w:i w:val="0"/>
          <w:strike w:val="0"/>
          <w:noProof w:val="0"/>
          <w:color w:val="000000"/>
          <w:position w:val="0"/>
          <w:sz w:val="20"/>
          <w:u w:val="none"/>
          <w:vertAlign w:val="baseline"/>
        </w:rPr>
        <w:t> [*33882] </w:t>
      </w:r>
      <w:r>
        <w:rPr>
          <w:rFonts w:ascii="arial" w:eastAsia="arial" w:hAnsi="arial" w:cs="arial"/>
          <w:b w:val="0"/>
          <w:i w:val="0"/>
          <w:strike w:val="0"/>
          <w:noProof w:val="0"/>
          <w:color w:val="000000"/>
          <w:position w:val="0"/>
          <w:sz w:val="20"/>
          <w:u w:val="none"/>
          <w:vertAlign w:val="baseline"/>
        </w:rPr>
        <w:t xml:space="preserve"> the negative outcomes associated with children and youth living in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the purpose of this notice, the Department uses the terms "geographic area" and "neighborhood" interchangeably.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Promise Neighborhood strategy addresses the complex, interconnected issues in the distressed community it serves. Promise Neighborhoods are led by organizations, such as nonprofit organizations, institutions of higher education, offices of chief elected officials of local governments, or Indian Tribes or Tribal organizations, that work to ensure that all children and youth in the target geographic area have access to services that lead to improved educational and developmental outcomes from cradle-to-career. The organizations ensure that services are based on the best available evidence and employ robust data collection and management systems to learn about the impact of approaches for which there is less evidence; that services are linked and integrated seamlessly; and that services include education programs as well as programs that provide family and community supports. Promise Neighborhoods enable children and youth within targeted distressed communities to participate in the full range of cradle-to-career supports that are necessary for them to realize their potential. The Department of Education's expectation is that over time, a greater proportion of the neighborhood residents receive these supports and that neighborhood indicators (see Table 1) show significant progress. For this reason, each Promise Neighborhood applicant must demonstrate several core features: (1) Significant need in the neighborhood; (2) a strategy to build pipeline services (as defined in this notice) with strong schools at the center; and (3) the organizational and relational capacity to achieve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Promise Neighborhoods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different from previous years'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several ways. The Promise Neighborhoods program, under the ESEA as amended by ESSA, requires applicants to propose the use of not less than 50 percent of grant funds in year one, and not less than 25 percent in year two, to support planning activities for the development and implementation of pipeline services. Because applicants must now propose to use grant funds for limited planning activities, the Department will no longer award separate Promise Neighborhoods planning and implementation grants. The priorities and some program requirements for this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have also changed from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this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introduce new data and performance management requirements while continuing to prioritize evidence-based (see section 8101(21) of the ESEA) activities and programs. Previously funded Promise Neighborhoods grantees have struggled to conduct meaningful data collection and evaluation activities, which include collecting the full range of data necessary to effectively employ comprehensive case and longitudinal data management systems. Such data systems are critical to effectively coordinate a range of services for high-need students and their families within a Promise Neighborhood. In response to this challenge, we now require applicants to address specific data collection and performance management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these requirements, we strongly encourage applicants to review a publication released by the Department in 2013 entitled, "Measuring Performance: A Guidance Document for Promise Neighborhoods on Collecting Data and Reporting Results." n2 This publication provides guidance on Promise Neighborhoods case management and longitudinal data systems; data collection strategies, sources, and methods; and data tracking and reporting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https://www2.ed.gov/programs/promiseneighborhoods/pndataguidance.pdf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three absolute priorities and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three absolute priorities focus on the types of neighborhoods or geographic areas that the proposed project will serve. Absolute Priority 1 is focused on non-rural and non-Tribal applicants; Absolute Priority 2 is focused on rural communities; and Absolute Priority 3 is focused on Tribal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We are establishing Absolute Priorities 1, 2, and 3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Applicants should indicate in their application whether they are applying under Absolute Priority 1, Absolute Priority 2, or Absolute Priority 3. If an applicant applies under Absolute Priority 2 or Absolute Priority 3 and is deemed ineligible, the application still may be considered for funding under Absolute Priority 1. The Secretary prepares a rank order of applications for each absolute priority based solely on the evaluation of their quality according to the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three absolute priorities constitutes its own funding category. Assuming that applications in each funding category are of sufficient quality, the Secretary intends to award grants under each absolute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9"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one or more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1--Promise Neighborhoods in Non-Rural and Non-Tribal Communities.</w:t>
      </w:r>
      <w:r>
        <w:rPr>
          <w:rFonts w:ascii="arial" w:eastAsia="arial" w:hAnsi="arial" w:cs="arial"/>
          <w:b w:val="0"/>
          <w:i w:val="0"/>
          <w:strike w:val="0"/>
          <w:noProof w:val="0"/>
          <w:color w:val="000000"/>
          <w:position w:val="0"/>
          <w:sz w:val="20"/>
          <w:u w:val="none"/>
          <w:vertAlign w:val="baseline"/>
        </w:rPr>
        <w:t xml:space="preserve">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An applicant that serves one or more non-rural or non-Tribal communities will not be disqualified because it also proposes to serve rural or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to implement a Promise Neighborhood strategy that serves one or more non-rural or non-Tribal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2--Promise Neighborhoods in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to implement a Promise Neighborhood strategy that serves one or more rural communities (as defined in this notice)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4623 of the ESEA, the Department will use at least 15 percent of the funds available for the Promise Neighborhoods program to award grants to eligible entities (as defined in this notice) that propose to carry out the Promise Neighborhoods activities in rural areas. The Department will reduce the funds reserved for rural areas if we do not receive enough applications of sufficient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3--Promise Neighborhoods in Tribal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to implement a Promise Neighborhood strategy that serves one or more Indian Tribes (as defined in this notice).</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We are establishing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and 2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GEPA, </w:t>
      </w:r>
      <w:hyperlink r:id="rId10"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is from section 4624 of the ESEA, as amended by the ESSA, </w:t>
      </w:r>
      <w:hyperlink r:id="rId11" w:history="1">
        <w:r>
          <w:rPr>
            <w:rFonts w:ascii="arial" w:eastAsia="arial" w:hAnsi="arial" w:cs="arial"/>
            <w:b w:val="0"/>
            <w:i/>
            <w:strike w:val="0"/>
            <w:noProof w:val="0"/>
            <w:color w:val="0077CC"/>
            <w:position w:val="0"/>
            <w:sz w:val="20"/>
            <w:u w:val="single"/>
            <w:vertAlign w:val="baseline"/>
          </w:rPr>
          <w:t>20 U.S.C. 7231e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is from the Promise Zones notice of final priority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2014 </w:t>
      </w:r>
      <w:hyperlink r:id="rId12" w:history="1">
        <w:r>
          <w:rPr>
            <w:rFonts w:ascii="arial" w:eastAsia="arial" w:hAnsi="arial" w:cs="arial"/>
            <w:b w:val="0"/>
            <w:i/>
            <w:strike w:val="0"/>
            <w:noProof w:val="0"/>
            <w:color w:val="0077CC"/>
            <w:position w:val="0"/>
            <w:sz w:val="20"/>
            <w:u w:val="single"/>
            <w:vertAlign w:val="baseline"/>
          </w:rPr>
          <w:t>(79 FR 17035)</w:t>
        </w:r>
      </w:hyperlink>
      <w:r>
        <w:rPr>
          <w:rFonts w:ascii="arial" w:eastAsia="arial" w:hAnsi="arial" w:cs="arial"/>
          <w:b w:val="0"/>
          <w:i w:val="0"/>
          <w:strike w:val="0"/>
          <w:noProof w:val="0"/>
          <w:color w:val="000000"/>
          <w:position w:val="0"/>
          <w:sz w:val="20"/>
          <w:u w:val="none"/>
          <w:vertAlign w:val="baseline"/>
        </w:rPr>
        <w:t xml:space="preserve"> (Promise Zones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9"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an additional three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w:t>
      </w:r>
      <w:r>
        <w:rPr>
          <w:rFonts w:ascii="arial" w:eastAsia="arial" w:hAnsi="arial" w:cs="arial"/>
          <w:b/>
          <w:i w:val="0"/>
          <w:strike w:val="0"/>
          <w:noProof w:val="0"/>
          <w:color w:val="000000"/>
          <w:position w:val="0"/>
          <w:sz w:val="20"/>
          <w:u w:val="none"/>
          <w:vertAlign w:val="baseline"/>
        </w:rPr>
        <w:t> [*33883] </w:t>
      </w:r>
      <w:r>
        <w:rPr>
          <w:rFonts w:ascii="arial" w:eastAsia="arial" w:hAnsi="arial" w:cs="arial"/>
          <w:b w:val="0"/>
          <w:i w:val="0"/>
          <w:strike w:val="0"/>
          <w:noProof w:val="0"/>
          <w:color w:val="000000"/>
          <w:position w:val="0"/>
          <w:sz w:val="20"/>
          <w:u w:val="none"/>
          <w:vertAlign w:val="baseline"/>
        </w:rPr>
        <w:t xml:space="preserve"> Priority 1; we award three additional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we award one additional point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and we award one additional point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may address all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Also, applicants should identify on the abstract form and in the project narrative section of their application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the applicants address. We will not award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to an application that fails to clearly identify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it wishes the Department to consider for purposes of earning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1--Byrne Criminal Justice Innovation (BCJI) Program (0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to serve geographic areas that were the subject of a targeted strategy addressing crime in a specific community pursuant to a BCJI grant awarded by the U.S. Department of Justice during FY 2012 or later years. To be eligible under this priority, the applicant must either: (1) Be able to demonstrate that it has received a BCJI grant; or (2) provide, in its application, a memorandum of understanding between it and a partner that is a recipient of a BCJI grant. The memorandum of understanding must indicate a commitment on the part of the applicant and partner to coordinate implementation and align resources to the greatest extent practicable.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2--Drug Free Communities (DFC) Support Program (0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receive points under this priority, the applicant must either: (1) Demonstrate that it has received a DFC grant to prevent opioid abuse (as one of its areas of focus); or (2) provide, in its application, a memorandum of understanding between it and a partner that is a recipient of a DFC grant to address opioid abuse prevention as one of its areas of focus.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3--Evidence-Based Activities, Strategies, or Interventions (0 or 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propose to carry out evidence-based activities, strategies, or interventions that, based on information included in their application, are supported by promising evidence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4--Promise Zones (0 or 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projects that are designed to serve and coordinate with a federally designated Promise Zone.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an applicant must include a Certification of Consistency with Promise Zone Goals and Implementation (HUD Form 50153) signed by an authorized representative of the lead organization of a Promise Zone designated by the Department of Housing and Urban Development (HUD) or the United States Department of Agriculture. An application for Promise Neighborhoods grant funds that is not accompanied by a signed certification (HUD Form 50153) will receive zero points for this priority. The certification form is available at </w:t>
      </w:r>
      <w:r>
        <w:rPr>
          <w:rFonts w:ascii="arial" w:eastAsia="arial" w:hAnsi="arial" w:cs="arial"/>
          <w:b w:val="0"/>
          <w:i/>
          <w:strike w:val="0"/>
          <w:noProof w:val="0"/>
          <w:color w:val="000000"/>
          <w:position w:val="0"/>
          <w:sz w:val="20"/>
          <w:u w:val="none"/>
          <w:vertAlign w:val="baseline"/>
        </w:rPr>
        <w:t>//portal.hud.gov/hudportal/documents/huddoc?id=HUD_Form_50153.pdf.</w:t>
      </w:r>
      <w:r>
        <w:rPr>
          <w:rFonts w:ascii="arial" w:eastAsia="arial" w:hAnsi="arial" w:cs="arial"/>
          <w:b w:val="0"/>
          <w:i w:val="0"/>
          <w:strike w:val="0"/>
          <w:noProof w:val="0"/>
          <w:color w:val="000000"/>
          <w:position w:val="0"/>
          <w:sz w:val="20"/>
          <w:u w:val="none"/>
          <w:vertAlign w:val="baseline"/>
        </w:rPr>
        <w:t xml:space="preserve"> To view the list of designated Promise Zones and lead organizations please go to </w:t>
      </w:r>
      <w:hyperlink r:id="rId13" w:history="1">
        <w:r>
          <w:rPr>
            <w:rFonts w:ascii="arial" w:eastAsia="arial" w:hAnsi="arial" w:cs="arial"/>
            <w:b w:val="0"/>
            <w:i/>
            <w:strike w:val="0"/>
            <w:noProof w:val="0"/>
            <w:color w:val="0077CC"/>
            <w:position w:val="0"/>
            <w:sz w:val="20"/>
            <w:u w:val="single"/>
            <w:vertAlign w:val="baseline"/>
          </w:rPr>
          <w:t>www.hud.gov/promisezones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"strong theory" is from </w:t>
      </w:r>
      <w:hyperlink r:id="rId14"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The remaining definitions are established in accordance with section 437(d)(1) of GEPA, </w:t>
      </w:r>
      <w:hyperlink r:id="rId10"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apply to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entity</w:t>
      </w:r>
      <w:r>
        <w:rPr>
          <w:rFonts w:ascii="arial" w:eastAsia="arial" w:hAnsi="arial" w:cs="arial"/>
          <w:b w:val="0"/>
          <w:i w:val="0"/>
          <w:strike w:val="0"/>
          <w:noProof w:val="0"/>
          <w:color w:val="000000"/>
          <w:position w:val="0"/>
          <w:sz w:val="20"/>
          <w:u w:val="none"/>
          <w:vertAlign w:val="baseline"/>
        </w:rPr>
        <w:t xml:space="preserve"> means an organization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representative of the geographic area (as defined in this notice) proposed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Operates or proposes to work with and involve in carrying out its proposed project, in coordination with the school's local educational agency (LEA), at least one public elementary or secondary school that is located within the identified geographic area that the grant will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one of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institution of higher education, as defined in section 102 of the Higher Education Act of 1965, as amended (HEA) (</w:t>
      </w:r>
      <w:hyperlink r:id="rId15" w:history="1">
        <w:r>
          <w:rPr>
            <w:rFonts w:ascii="arial" w:eastAsia="arial" w:hAnsi="arial" w:cs="arial"/>
            <w:b w:val="0"/>
            <w:i/>
            <w:strike w:val="0"/>
            <w:noProof w:val="0"/>
            <w:color w:val="0077CC"/>
            <w:position w:val="0"/>
            <w:sz w:val="20"/>
            <w:u w:val="single"/>
            <w:vertAlign w:val="baseline"/>
          </w:rPr>
          <w:t>20 U.S.C. 1002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Indian Tribe or Tribal organization, as defined in section 4 of the Indian Self-Determination and Education Assistance Act (</w:t>
      </w:r>
      <w:hyperlink r:id="rId16" w:history="1">
        <w:r>
          <w:rPr>
            <w:rFonts w:ascii="arial" w:eastAsia="arial" w:hAnsi="arial" w:cs="arial"/>
            <w:b w:val="0"/>
            <w:i/>
            <w:strike w:val="0"/>
            <w:noProof w:val="0"/>
            <w:color w:val="0077CC"/>
            <w:position w:val="0"/>
            <w:sz w:val="20"/>
            <w:u w:val="single"/>
            <w:vertAlign w:val="baseline"/>
          </w:rPr>
          <w:t>25 U.S.C. 5304</w:t>
        </w:r>
      </w:hyperlink>
      <w:r>
        <w:rPr>
          <w:rFonts w:ascii="arial" w:eastAsia="arial" w:hAnsi="arial" w:cs="arial"/>
          <w:b w:val="0"/>
          <w:i w:val="0"/>
          <w:strike w:val="0"/>
          <w:noProof w:val="0"/>
          <w:color w:val="000000"/>
          <w:position w:val="0"/>
          <w:sz w:val="20"/>
          <w:u w:val="none"/>
          <w:vertAlign w:val="baseline"/>
        </w:rPr>
        <w: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One or more nonprofit entities working in formal partnership with not less than one of the following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high-need LEA.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institution of higher education, as defined in section 102 of the HEA (</w:t>
      </w:r>
      <w:hyperlink r:id="rId15" w:history="1">
        <w:r>
          <w:rPr>
            <w:rFonts w:ascii="arial" w:eastAsia="arial" w:hAnsi="arial" w:cs="arial"/>
            <w:b w:val="0"/>
            <w:i/>
            <w:strike w:val="0"/>
            <w:noProof w:val="0"/>
            <w:color w:val="0077CC"/>
            <w:position w:val="0"/>
            <w:sz w:val="20"/>
            <w:u w:val="single"/>
            <w:vertAlign w:val="baseline"/>
          </w:rPr>
          <w:t>20 U.S.C. 1002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office of a chief elected official of a unit of local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 Indian Tribe or Tribal organization, as defined under section 4 of the Indian Self-Determination and Education Assistance Act (</w:t>
      </w:r>
      <w:hyperlink r:id="rId16" w:history="1">
        <w:r>
          <w:rPr>
            <w:rFonts w:ascii="arial" w:eastAsia="arial" w:hAnsi="arial" w:cs="arial"/>
            <w:b w:val="0"/>
            <w:i/>
            <w:strike w:val="0"/>
            <w:noProof w:val="0"/>
            <w:color w:val="0077CC"/>
            <w:position w:val="0"/>
            <w:sz w:val="20"/>
            <w:u w:val="single"/>
            <w:vertAlign w:val="baseline"/>
          </w:rPr>
          <w:t>25 U.S.C. 5304</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Currently provides at least one of the solutions from the applicant's proposed pipeline services in the geographic area proposed to be 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Experimental study</w:t>
      </w:r>
      <w:r>
        <w:rPr>
          <w:rFonts w:ascii="arial" w:eastAsia="arial" w:hAnsi="arial" w:cs="arial"/>
          <w:b w:val="0"/>
          <w:i w:val="0"/>
          <w:strike w:val="0"/>
          <w:noProof w:val="0"/>
          <w:color w:val="000000"/>
          <w:position w:val="0"/>
          <w:sz w:val="20"/>
          <w:u w:val="none"/>
          <w:vertAlign w:val="baseline"/>
        </w:rPr>
        <w:t xml:space="preserve"> means a study, such as a randomized controlled trial (RCT) (as defined in this notice), that is designed to compare outcomes between two groups of individuals that are otherwise equivalent except for their assignment to either a treatment group receiving a project component (as defined in this notice) or a control group that does not. In some circumstances, a finding from a regression discontinuity design study (RDD) (as defined in this notice) or findings from a collection of single-case design studies (SCDs) (as defined in this notice) may be considered equivalent to a finding from an RCT. RCTs, RDDs, and collections of SCDs, depending on design and implementation, can Meet What Works Clearinghouse Evidence Standards without reservations.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Graduation rate</w:t>
      </w:r>
      <w:r>
        <w:rPr>
          <w:rFonts w:ascii="arial" w:eastAsia="arial" w:hAnsi="arial" w:cs="arial"/>
          <w:b w:val="0"/>
          <w:i w:val="0"/>
          <w:strike w:val="0"/>
          <w:noProof w:val="0"/>
          <w:color w:val="000000"/>
          <w:position w:val="0"/>
          <w:sz w:val="20"/>
          <w:u w:val="none"/>
          <w:vertAlign w:val="baseline"/>
        </w:rPr>
        <w:t xml:space="preserve"> means the four-year or extended-year adjusted cohort graduation rate as defined by </w:t>
      </w:r>
      <w:hyperlink r:id="rId17" w:history="1">
        <w:r>
          <w:rPr>
            <w:rFonts w:ascii="arial" w:eastAsia="arial" w:hAnsi="arial" w:cs="arial"/>
            <w:b w:val="0"/>
            <w:i/>
            <w:strike w:val="0"/>
            <w:noProof w:val="0"/>
            <w:color w:val="0077CC"/>
            <w:position w:val="0"/>
            <w:sz w:val="20"/>
            <w:u w:val="single"/>
            <w:vertAlign w:val="baseline"/>
          </w:rPr>
          <w:t>34 CFR 200.19(b)(1)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definition is not meant to prevent a grantee from also collecting information about the reasons why students do not graduate from the target high school,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dropping out or moving outside of the school district for non-academic or academic reasons.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means an Indian Tribe or Tribal organization, as defined in section 4 of the Indian Self-Determination and Education Assistance Act (</w:t>
      </w:r>
      <w:hyperlink r:id="rId16" w:history="1">
        <w:r>
          <w:rPr>
            <w:rFonts w:ascii="arial" w:eastAsia="arial" w:hAnsi="arial" w:cs="arial"/>
            <w:b w:val="0"/>
            <w:i/>
            <w:strike w:val="0"/>
            <w:noProof w:val="0"/>
            <w:color w:val="0077CC"/>
            <w:position w:val="0"/>
            <w:sz w:val="20"/>
            <w:u w:val="single"/>
            <w:vertAlign w:val="baseline"/>
          </w:rPr>
          <w:t>25 U.S.C. 5304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Indicators of need</w:t>
      </w:r>
      <w:r>
        <w:rPr>
          <w:rFonts w:ascii="arial" w:eastAsia="arial" w:hAnsi="arial" w:cs="arial"/>
          <w:b w:val="0"/>
          <w:i w:val="0"/>
          <w:strike w:val="0"/>
          <w:noProof w:val="0"/>
          <w:color w:val="000000"/>
          <w:position w:val="0"/>
          <w:sz w:val="20"/>
          <w:u w:val="none"/>
          <w:vertAlign w:val="baseline"/>
        </w:rPr>
        <w:t xml:space="preserve"> means currently available data that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Education need, which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 or a portion of the neighborhood includes or is within the attendance zone of a low-performing school that is a high school, especially one in which the graduation rate (as defined in this notice) is less than 60 percent or a school that can be characterized as low-performing based on another proxy indicator, such as students' on-time progression from grade to grade;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indicators, such as significant achievement gaps between subgroups of students (as identified in section 1111(b)(2)(B)(xi) of the ESEA) within a school or LEA, high teacher and principal turnover, or high student absenteeism;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Family and community support need, which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Percentages of children with preventable chronic health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asthma, poor nutrition, dental </w:t>
      </w:r>
      <w:r>
        <w:rPr>
          <w:rFonts w:ascii="arial" w:eastAsia="arial" w:hAnsi="arial" w:cs="arial"/>
          <w:b/>
          <w:i w:val="0"/>
          <w:strike w:val="0"/>
          <w:noProof w:val="0"/>
          <w:color w:val="000000"/>
          <w:position w:val="0"/>
          <w:sz w:val="20"/>
          <w:u w:val="none"/>
          <w:vertAlign w:val="baseline"/>
        </w:rPr>
        <w:t> [*33884] </w:t>
      </w:r>
      <w:r>
        <w:rPr>
          <w:rFonts w:ascii="arial" w:eastAsia="arial" w:hAnsi="arial" w:cs="arial"/>
          <w:b w:val="0"/>
          <w:i w:val="0"/>
          <w:strike w:val="0"/>
          <w:noProof w:val="0"/>
          <w:color w:val="000000"/>
          <w:position w:val="0"/>
          <w:sz w:val="20"/>
          <w:u w:val="none"/>
          <w:vertAlign w:val="baseline"/>
        </w:rPr>
        <w:t xml:space="preserve"> problems, obesity) or avoidable developmental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Immunization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Rates of crime, including violent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Student mobility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Teenage birth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Percentage of children in single-parent or no-parent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Rates of vacant or substandard homes, including distressed public and assisted housing;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Percentage of the residents living at or below the Federal poverty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known as a theory of action) means a reasonable conceptual framework that identifies key components of the proposed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theoretical and operational relationships among the key components and outcomes.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without reservations</w:t>
      </w:r>
      <w:r>
        <w:rPr>
          <w:rFonts w:ascii="arial" w:eastAsia="arial" w:hAnsi="arial" w:cs="arial"/>
          <w:b w:val="0"/>
          <w:i w:val="0"/>
          <w:strike w:val="0"/>
          <w:noProof w:val="0"/>
          <w:color w:val="000000"/>
          <w:position w:val="0"/>
          <w:sz w:val="20"/>
          <w:u w:val="none"/>
          <w:vertAlign w:val="baseline"/>
        </w:rPr>
        <w:t xml:space="preserve"> is the highest possible rating for a study finding reviewed by the What Works Clearinghouse (WWC). Studies receiving this rating provide the highest degree of confidence that an observed effect was caused by the project component studied. Experimental studies (as defined in this notice) may receive this highest rating. These standards are described in the WWC Procedures and Standards Handbooks, Version 3.0, which can be accessed at </w:t>
      </w:r>
      <w:hyperlink r:id="rId18"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 reservations</w:t>
      </w:r>
      <w:r>
        <w:rPr>
          <w:rFonts w:ascii="arial" w:eastAsia="arial" w:hAnsi="arial" w:cs="arial"/>
          <w:b w:val="0"/>
          <w:i w:val="0"/>
          <w:strike w:val="0"/>
          <w:noProof w:val="0"/>
          <w:color w:val="000000"/>
          <w:position w:val="0"/>
          <w:sz w:val="20"/>
          <w:u w:val="none"/>
          <w:vertAlign w:val="baseline"/>
        </w:rPr>
        <w:t xml:space="preserve"> is the second-highest rating for a group design study reviewed by the WWC. Studies receiving this rating provide a reasonable degree of confidence that an observed effect was caused by the project component studied. Both experimental studies (such as randomized controlled trials with high rates of sample attrition) and quasi-experimental design studies (as defined in this notice) may receive this rating if they establish the equivalence of the treatment and comparison groups in key baseline characteristics. These standards are described in the WWC Procedures and Standards Handbooks, Version 3.0, which can be accessed at </w:t>
      </w:r>
      <w:hyperlink r:id="rId18"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Pipeline services</w:t>
      </w:r>
      <w:r>
        <w:rPr>
          <w:rFonts w:ascii="arial" w:eastAsia="arial" w:hAnsi="arial" w:cs="arial"/>
          <w:b w:val="0"/>
          <w:i w:val="0"/>
          <w:strike w:val="0"/>
          <w:noProof w:val="0"/>
          <w:color w:val="000000"/>
          <w:position w:val="0"/>
          <w:sz w:val="20"/>
          <w:u w:val="none"/>
          <w:vertAlign w:val="baseline"/>
        </w:rPr>
        <w:t xml:space="preserve"> means a continuum of coordinated supports, services, and opportunities for children from birth through entry into and success in postsecondary education, and career attainment. Such services shall include, at a minimum, strategies to address through services or programs (including integrated student supports)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High-quality early childhood education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High-quality school and out-of-school-time programs and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Support for a child's transition to elementary school, from elementary school to middle school, from middle school to high school, and from high school into and through postsecondary education and into the workforce, including any comprehensive readiness assessment determined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Family and community engagement and supports, which may include engaging or supporting families at school or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Activities that support postsecondary and work-force readiness, which may include job training, internship opportunities, and career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Community-based support for students who have attended the schools in the area served by the pipeline, or students who are members of the community, facilitating their continued connection to the community and success in postsecondary education and the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Social, health, nutrition, and mental health services and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Juvenile crime prevention and rehabilitation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means an activity, strategy, or intervention included in a project. Evidence (as this term is used in this notice) may pertain to an individual project component, or to a combination of project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teachers on instructional practices for English learners and follow-on coaching for these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Promising evidence</w:t>
      </w:r>
      <w:r>
        <w:rPr>
          <w:rFonts w:ascii="arial" w:eastAsia="arial" w:hAnsi="arial" w:cs="arial"/>
          <w:b w:val="0"/>
          <w:i w:val="0"/>
          <w:strike w:val="0"/>
          <w:noProof w:val="0"/>
          <w:color w:val="000000"/>
          <w:position w:val="0"/>
          <w:sz w:val="20"/>
          <w:u w:val="none"/>
          <w:vertAlign w:val="baseline"/>
        </w:rPr>
        <w:t xml:space="preserve"> means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There is at least one study that is a correlational study with statistical controls for selection bias with a relevant finding (quasi-experimental design studies or experimental studies may also qualify);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relevant finding in the study described in paragraph (a) is of a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of the project component on a student outcome or other relevant outcome with no statistically significant and overriding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unfavorable) evidence on that project component from other findings on the intervention reviewed by and reported in the What Works Clearinghouse that Meet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officials</w:t>
      </w:r>
      <w:r>
        <w:rPr>
          <w:rFonts w:ascii="arial" w:eastAsia="arial" w:hAnsi="arial" w:cs="arial"/>
          <w:b w:val="0"/>
          <w:i w:val="0"/>
          <w:strike w:val="0"/>
          <w:noProof w:val="0"/>
          <w:color w:val="000000"/>
          <w:position w:val="0"/>
          <w:sz w:val="20"/>
          <w:u w:val="none"/>
          <w:vertAlign w:val="baseline"/>
        </w:rPr>
        <w:t xml:space="preserve"> means elected officials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council members, aldermen and alderwomen, commissioners, State legislators, Congressional representatives, members of the school board), appointed officials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members of a planning or zoning commission, or of any other regulatory or advisory board or commission), or individuals who are not necessarily public officials (as defined in this notice), but who have been appointed by a public official to serve on the Promise Neighborhoods governing board or advisory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This type of study, depending on design and implementation, can Meet What Works Clearinghouse Evidence Standards with reservations (but not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(RCT) means a study that employs random assignment of, for example, students, teachers, classrooms, or schools to receive the project component being evaluated (the treatment group) or not to receive the project component (the control group). The estimated effectiveness of the project component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Regression discontinuity design study</w:t>
      </w:r>
      <w:r>
        <w:rPr>
          <w:rFonts w:ascii="arial" w:eastAsia="arial" w:hAnsi="arial" w:cs="arial"/>
          <w:b w:val="0"/>
          <w:i w:val="0"/>
          <w:strike w:val="0"/>
          <w:noProof w:val="0"/>
          <w:color w:val="000000"/>
          <w:position w:val="0"/>
          <w:sz w:val="20"/>
          <w:u w:val="none"/>
          <w:vertAlign w:val="baseline"/>
        </w:rPr>
        <w:t xml:space="preserve"> (RDD) means a study that assigns the project component being evaluated using a measured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assigning students reading below a cutoff score to tutoring or developmental education classes) and controls for that variable in the analysis of outcomes. The effectiveness of the project component is estimated for individuals who barely qualify to receive that component.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finding</w:t>
      </w:r>
      <w:r>
        <w:rPr>
          <w:rFonts w:ascii="arial" w:eastAsia="arial" w:hAnsi="arial" w:cs="arial"/>
          <w:b w:val="0"/>
          <w:i w:val="0"/>
          <w:strike w:val="0"/>
          <w:noProof w:val="0"/>
          <w:color w:val="000000"/>
          <w:position w:val="0"/>
          <w:sz w:val="20"/>
          <w:u w:val="none"/>
          <w:vertAlign w:val="baseline"/>
        </w:rPr>
        <w:t xml:space="preserve"> means a finding from a study regarding the relationship between (A) an activity, strategy, or intervention included as a component of the logic model (as defined in this notice) for the proposed project, and (B) a student outcome or other relevant outcome included in the logic model for the proposed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project component is designed to </w:t>
      </w:r>
      <w:r>
        <w:rPr>
          <w:rFonts w:ascii="arial" w:eastAsia="arial" w:hAnsi="arial" w:cs="arial"/>
          <w:b/>
          <w:i w:val="0"/>
          <w:strike w:val="0"/>
          <w:noProof w:val="0"/>
          <w:color w:val="000000"/>
          <w:position w:val="0"/>
          <w:sz w:val="20"/>
          <w:u w:val="none"/>
          <w:vertAlign w:val="baseline"/>
        </w:rPr>
        <w:t> [*33885] </w:t>
      </w:r>
      <w:r>
        <w:rPr>
          <w:rFonts w:ascii="arial" w:eastAsia="arial" w:hAnsi="arial" w:cs="arial"/>
          <w:b w:val="0"/>
          <w:i w:val="0"/>
          <w:strike w:val="0"/>
          <w:noProof w:val="0"/>
          <w:color w:val="000000"/>
          <w:position w:val="0"/>
          <w:sz w:val="20"/>
          <w:u w:val="none"/>
          <w:vertAlign w:val="baseline"/>
        </w:rPr>
        <w:t xml:space="preserve">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Representative of the geographic area proposed to be served</w:t>
      </w:r>
      <w:r>
        <w:rPr>
          <w:rFonts w:ascii="arial" w:eastAsia="arial" w:hAnsi="arial" w:cs="arial"/>
          <w:b w:val="0"/>
          <w:i w:val="0"/>
          <w:strike w:val="0"/>
          <w:noProof w:val="0"/>
          <w:color w:val="000000"/>
          <w:position w:val="0"/>
          <w:sz w:val="20"/>
          <w:u w:val="none"/>
          <w:vertAlign w:val="baseline"/>
        </w:rPr>
        <w:t xml:space="preserve"> means that residents of the geographic area proposed to be served have an active role in decision-making and that at least one-third of the eligible entity's (as defined in this notice) governing board or advisory board is made up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Residents who live in the geographic area proposed to be served, which may include residents who are representative of the ethnic and racial composition of the neighborhood's residents and the languages they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Residents of the city or county in which the neighborhood is located but who live outside the geographic area proposed to be served, and who are low-income (which means earning less than 80 percent of the area's median income as published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Public officials (as defined in this notice) who serve the geographic area proposed to be served (although not more than one-half of the governing board or advisory board may be made up of public officials);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Some combination of individuals from the three groups listed in paragraphs (1), (2), and (3) of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community</w:t>
      </w:r>
      <w:r>
        <w:rPr>
          <w:rFonts w:ascii="arial" w:eastAsia="arial" w:hAnsi="arial" w:cs="arial"/>
          <w:b w:val="0"/>
          <w:i w:val="0"/>
          <w:strike w:val="0"/>
          <w:noProof w:val="0"/>
          <w:color w:val="000000"/>
          <w:position w:val="0"/>
          <w:sz w:val="20"/>
          <w:u w:val="none"/>
          <w:vertAlign w:val="baseline"/>
        </w:rPr>
        <w:t xml:space="preserve"> means a neighborhood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Is served by an LEA that is currently eligible under the Small Rural School Achievement (SRSA) program or the Rural and Low-Income School (RLIS) program authorized under Title VI, Part B of the ESEA. Applicants may determine whether a particular LEA is eligible for these programs by referring to information on the following Department Web sites. For the SRSA program: </w:t>
      </w:r>
      <w:hyperlink r:id="rId19" w:history="1">
        <w:r>
          <w:rPr>
            <w:rFonts w:ascii="arial" w:eastAsia="arial" w:hAnsi="arial" w:cs="arial"/>
            <w:b w:val="0"/>
            <w:i/>
            <w:strike w:val="0"/>
            <w:noProof w:val="0"/>
            <w:color w:val="0077CC"/>
            <w:position w:val="0"/>
            <w:sz w:val="20"/>
            <w:u w:val="single"/>
            <w:vertAlign w:val="baseline"/>
          </w:rPr>
          <w:t>https://www2.ed.gov/programs/reapsrsa/eligible16/index.htmlFor</w:t>
        </w:r>
      </w:hyperlink>
      <w:r>
        <w:rPr>
          <w:rFonts w:ascii="arial" w:eastAsia="arial" w:hAnsi="arial" w:cs="arial"/>
          <w:b w:val="0"/>
          <w:i w:val="0"/>
          <w:strike w:val="0"/>
          <w:noProof w:val="0"/>
          <w:color w:val="000000"/>
          <w:position w:val="0"/>
          <w:sz w:val="20"/>
          <w:u w:val="none"/>
          <w:vertAlign w:val="baseline"/>
        </w:rPr>
        <w:t xml:space="preserve"> the RLIS program: </w:t>
      </w:r>
      <w:hyperlink r:id="rId20" w:history="1">
        <w:r>
          <w:rPr>
            <w:rFonts w:ascii="arial" w:eastAsia="arial" w:hAnsi="arial" w:cs="arial"/>
            <w:b w:val="0"/>
            <w:i/>
            <w:strike w:val="0"/>
            <w:noProof w:val="0"/>
            <w:color w:val="0077CC"/>
            <w:position w:val="0"/>
            <w:sz w:val="20"/>
            <w:u w:val="single"/>
            <w:vertAlign w:val="baseline"/>
          </w:rPr>
          <w:t>https://www2.ed.gov/programs/reaprlisp/eligibility.html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Includes only schools designated with a school locale code of 41, 42, or 43. Applicants may determine school locale codes by referring to the following Department Web site: </w:t>
      </w:r>
      <w:hyperlink r:id="rId21" w:history="1">
        <w:r>
          <w:rPr>
            <w:rFonts w:ascii="arial" w:eastAsia="arial" w:hAnsi="arial" w:cs="arial"/>
            <w:b w:val="0"/>
            <w:i/>
            <w:strike w:val="0"/>
            <w:noProof w:val="0"/>
            <w:color w:val="0077CC"/>
            <w:position w:val="0"/>
            <w:sz w:val="20"/>
            <w:u w:val="single"/>
            <w:vertAlign w:val="baseline"/>
          </w:rPr>
          <w:t>http://nces.ed.gov/ccd/schoolsearch/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Segmentation analysis</w:t>
      </w:r>
      <w:r>
        <w:rPr>
          <w:rFonts w:ascii="arial" w:eastAsia="arial" w:hAnsi="arial" w:cs="arial"/>
          <w:b w:val="0"/>
          <w:i w:val="0"/>
          <w:strike w:val="0"/>
          <w:noProof w:val="0"/>
          <w:color w:val="000000"/>
          <w:position w:val="0"/>
          <w:sz w:val="20"/>
          <w:u w:val="none"/>
          <w:vertAlign w:val="baseline"/>
        </w:rPr>
        <w:t xml:space="preserve"> means the process of grouping and analyzing data from children and families in the geographic area proposed to be served according to indicators of need (as defined in this notice) or other relevant indicators. The analysis is intended to allow grantees to differentiate and more effectively target interventions based on what they learn about the needs of different populations in the geographic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Single-case design study (SCD)</w:t>
      </w:r>
      <w:r>
        <w:rPr>
          <w:rFonts w:ascii="arial" w:eastAsia="arial" w:hAnsi="arial" w:cs="arial"/>
          <w:b w:val="0"/>
          <w:i w:val="0"/>
          <w:strike w:val="0"/>
          <w:noProof w:val="0"/>
          <w:color w:val="000000"/>
          <w:position w:val="0"/>
          <w:sz w:val="20"/>
          <w:u w:val="none"/>
          <w:vertAlign w:val="baseline"/>
        </w:rPr>
        <w:t xml:space="preserve"> means a study that uses observations of a single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student eligible for a behavioral intervention) over time in the absence and presence of a controlled treatment manipulation to determine whether the outcome is systematically related to the treatment. According to the WWC Single Case Design Pilot Standards, a collection of these studies, depending on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a sufficient number of cases and of data points per condition),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tested grades and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student's score on the State's assessments under the ESEA; and,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measures of student learning, such as those described in paragraph (2) of this definition, provided they are rigorous and comparable across classrooms and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non-tested grades and subjects: Alternative measures of student learning and performance, such as student scores on pre-tests and end-of-course tests; student performance on English language proficiency assessments; and other measures of student achievement that are rigorous and comparable across classrooms.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mobility rate</w:t>
      </w:r>
      <w:r>
        <w:rPr>
          <w:rFonts w:ascii="arial" w:eastAsia="arial" w:hAnsi="arial" w:cs="arial"/>
          <w:b w:val="0"/>
          <w:i w:val="0"/>
          <w:strike w:val="0"/>
          <w:noProof w:val="0"/>
          <w:color w:val="000000"/>
          <w:position w:val="0"/>
          <w:sz w:val="20"/>
          <w:u w:val="none"/>
          <w:vertAlign w:val="baseline"/>
        </w:rPr>
        <w:t xml:space="preserve"> is calculated by dividing the total number of new student entries and withdrawals at a school, from the day after the first official enrollment number is collected through the end of the academic year, by the first official enrollment number of the academic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definition is not meant to limit a grantee from also collecting information about why students enter or withdraw from the school,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transferring to charter schools, moving outside of the school district for non-academic or academic reasons.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selection criteria, definitions, and other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section 4623-4624 of the ESEA, </w:t>
      </w:r>
      <w:hyperlink r:id="rId22" w:history="1">
        <w:r>
          <w:rPr>
            <w:rFonts w:ascii="arial" w:eastAsia="arial" w:hAnsi="arial" w:cs="arial"/>
            <w:b w:val="0"/>
            <w:i/>
            <w:strike w:val="0"/>
            <w:noProof w:val="0"/>
            <w:color w:val="0077CC"/>
            <w:position w:val="0"/>
            <w:sz w:val="20"/>
            <w:u w:val="single"/>
            <w:vertAlign w:val="baseline"/>
          </w:rPr>
          <w:t>20 U.S.C. 7273</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7274</w:t>
        </w:r>
      </w:hyperlink>
      <w:r>
        <w:rPr>
          <w:rFonts w:ascii="arial" w:eastAsia="arial" w:hAnsi="arial" w:cs="arial"/>
          <w:b w:val="0"/>
          <w:i w:val="0"/>
          <w:strike w:val="0"/>
          <w:noProof w:val="0"/>
          <w:color w:val="000000"/>
          <w:position w:val="0"/>
          <w:sz w:val="20"/>
          <w:u w:val="none"/>
          <w:vertAlign w:val="baseline"/>
        </w:rPr>
        <w:t xml:space="preserve">, and therefore qualifies for this exemption. In order to ensure timely grant awards, the Secretary has decided to forgo public comment on the priorities, requirements, definitions, and selection criteria under section 437(d)(1) of GEPA. These priorities, requirements, definitions, and selection criteria will apply to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20 U.S.C. 7273</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7274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Promise Zones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$ 30,000,000.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$ 4,000,000 to $ 6,000,000.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$ 6,000,000.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award amount is $ 6,000,000 per 12-month budget period. We will not fund an annual budget exceeding $ 6,000,000 per 12-month budget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4623 of the ESEA, a grant awarded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for a period of not more than five years, and may be extended for an additional period of not more than two </w:t>
      </w:r>
      <w:r>
        <w:rPr>
          <w:rFonts w:ascii="arial" w:eastAsia="arial" w:hAnsi="arial" w:cs="arial"/>
          <w:b/>
          <w:i w:val="0"/>
          <w:strike w:val="0"/>
          <w:noProof w:val="0"/>
          <w:color w:val="000000"/>
          <w:position w:val="0"/>
          <w:sz w:val="20"/>
          <w:u w:val="none"/>
          <w:vertAlign w:val="baseline"/>
        </w:rPr>
        <w:t> [*33886] </w:t>
      </w:r>
      <w:r>
        <w:rPr>
          <w:rFonts w:ascii="arial" w:eastAsia="arial" w:hAnsi="arial" w:cs="arial"/>
          <w:b w:val="0"/>
          <w:i w:val="0"/>
          <w:strike w:val="0"/>
          <w:noProof w:val="0"/>
          <w:color w:val="000000"/>
          <w:position w:val="0"/>
          <w:sz w:val="20"/>
          <w:u w:val="none"/>
          <w:vertAlign w:val="baseline"/>
        </w:rPr>
        <w:t xml:space="preserve"> years. In addition, continued funding of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including an extended grant, after the third year of the initial grant period will be contingent on the eligible entity's progress toward meeting the performance metrics and annual performance objectives and outcomes under section 4625(a)(4)(C) of the ESEA.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Under section 4623 of the ESEA, an eligible organization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 representative of the geographic area proposed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Operate or propose to work with and involve in carrying out its proposed project, in coordination with the school's LEA, at least one public elementary or secondary school that is located within the identified geographic area that the grant will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 one of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institution of higher education, as defined in section 102 of the HEA (</w:t>
      </w:r>
      <w:hyperlink r:id="rId15" w:history="1">
        <w:r>
          <w:rPr>
            <w:rFonts w:ascii="arial" w:eastAsia="arial" w:hAnsi="arial" w:cs="arial"/>
            <w:b w:val="0"/>
            <w:i/>
            <w:strike w:val="0"/>
            <w:noProof w:val="0"/>
            <w:color w:val="0077CC"/>
            <w:position w:val="0"/>
            <w:sz w:val="20"/>
            <w:u w:val="single"/>
            <w:vertAlign w:val="baseline"/>
          </w:rPr>
          <w:t>20 U.S.C. 1002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Indian Tribe or Tribal organization, as defined in section 4 of the Indian Self-Determination and Education Assistance Act (</w:t>
      </w:r>
      <w:hyperlink r:id="rId16" w:history="1">
        <w:r>
          <w:rPr>
            <w:rFonts w:ascii="arial" w:eastAsia="arial" w:hAnsi="arial" w:cs="arial"/>
            <w:b w:val="0"/>
            <w:i/>
            <w:strike w:val="0"/>
            <w:noProof w:val="0"/>
            <w:color w:val="0077CC"/>
            <w:position w:val="0"/>
            <w:sz w:val="20"/>
            <w:u w:val="single"/>
            <w:vertAlign w:val="baseline"/>
          </w:rPr>
          <w:t>25 U.S.C. 5304</w:t>
        </w:r>
      </w:hyperlink>
      <w:r>
        <w:rPr>
          <w:rFonts w:ascii="arial" w:eastAsia="arial" w:hAnsi="arial" w:cs="arial"/>
          <w:b w:val="0"/>
          <w:i w:val="0"/>
          <w:strike w:val="0"/>
          <w:noProof w:val="0"/>
          <w:color w:val="000000"/>
          <w:position w:val="0"/>
          <w:sz w:val="20"/>
          <w:u w:val="none"/>
          <w:vertAlign w:val="baseline"/>
        </w:rPr>
        <w: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One or more nonprofit entities working in formal partnership with not less than one of the following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high-need LEA.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institution of higher education, as defined in section 102 of the HEA (</w:t>
      </w:r>
      <w:hyperlink r:id="rId15" w:history="1">
        <w:r>
          <w:rPr>
            <w:rFonts w:ascii="arial" w:eastAsia="arial" w:hAnsi="arial" w:cs="arial"/>
            <w:b w:val="0"/>
            <w:i/>
            <w:strike w:val="0"/>
            <w:noProof w:val="0"/>
            <w:color w:val="0077CC"/>
            <w:position w:val="0"/>
            <w:sz w:val="20"/>
            <w:u w:val="single"/>
            <w:vertAlign w:val="baseline"/>
          </w:rPr>
          <w:t>20 U.S.C. 1002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office of a chief elected official of a unit of local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 Indian Tribe or Tribal organization, as defined under section 4 of the Indian Self-Determination and Education Assistance Act (</w:t>
      </w:r>
      <w:hyperlink r:id="rId16" w:history="1">
        <w:r>
          <w:rPr>
            <w:rFonts w:ascii="arial" w:eastAsia="arial" w:hAnsi="arial" w:cs="arial"/>
            <w:b w:val="0"/>
            <w:i/>
            <w:strike w:val="0"/>
            <w:noProof w:val="0"/>
            <w:color w:val="0077CC"/>
            <w:position w:val="0"/>
            <w:sz w:val="20"/>
            <w:u w:val="single"/>
            <w:vertAlign w:val="baseline"/>
          </w:rPr>
          <w:t>25 U.S.C. 5304</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Currently provide at least one of the solutions from the applicant's proposed pipeline services in the geographic area proposed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Cost-Sharing or Matching:</w:t>
      </w:r>
      <w:r>
        <w:rPr>
          <w:rFonts w:ascii="arial" w:eastAsia="arial" w:hAnsi="arial" w:cs="arial"/>
          <w:b w:val="0"/>
          <w:i w:val="0"/>
          <w:strike w:val="0"/>
          <w:noProof w:val="0"/>
          <w:color w:val="000000"/>
          <w:position w:val="0"/>
          <w:sz w:val="20"/>
          <w:u w:val="none"/>
          <w:vertAlign w:val="baseline"/>
        </w:rPr>
        <w:t xml:space="preserve"> To be eligible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 applicant must demonstrate a commitment from one or more entities in the public or private sector, which may include Federal, State, and local public agencies, philanthropic organizations, private businesses, or individuals, to provide matching funds. An applicant proposing a project that meets Absolute Priority 1--Promise Neighborhoods in Non-rural and Non-Tribal Communities must obtain matching funds or in-kind donations equal to at least 100 percent of its grant award. An applicant proposing a project that meets Absolute Priority 2--Promise Neighborhoods in Rural Communities or Absolute Priority 3--Promise Neighborhoods in Tribal Communities must obtain matching funds or in-kind donations equal to at least 50 percent of its grant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sources of matching funds include sources of funds used to pay for solutions within the pipeline services, initiatives supported by the LEA, or public health services for children in the neighborhood. At least 10 percent of an applicant's total match must be cash or in-kind contributions from the private sector, which may include philanthropic organizations, private businesses, or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demonstrate a commitment of matching funds in the application. Applicants must specify the source of the funds or contributions and in the case of a third-party in-kind contribution, a description of how the value was determined for the donated or contributed goods or service. Applicants must demonstrate the match commitment by including letters in their applications explaining the type and quantity of the match commitment with original signatures from the executives of organizations or agencies providing the match.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may consider decreasing the matching requirement in the most exceptional circumstances, on a case-by-case basis. An applicant that is unable to meet the matching requirement must include in its application a request to the Secretary to reduce the matching requirement, including the amount of the requested reduction, the total remaining match contribution, and a statement of the basis for the request. The Secretary will grant this request only if an applicant demonstrates a significant financial hardship. An applicant should review the Department's cost-sharing and cost-matching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include specific limitations, in </w:t>
      </w:r>
      <w:hyperlink r:id="rId24"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and the cost principles regarding donations, capital assets, depreciations and allowable costs, set out in subpart E of 2 CFR part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Each applicant that receives a grant award for the Promise Neighborhoods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use the grant funds to implement the pipeline services and continuously evaluate the success of the program and improve the program based on data and outcomes. Applicants may use not less than 50 percent of grant funds in year one, and not less than 25 percent of grant funds in year two for planning activities to develop and implement pipeline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4624 of the ESEA, as amended by the ESSA, applicants must submit and address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plan to significantly improve the academic outcomes of children living in the geographically defined area (neighborhood) that is served by the eligible entity by providing pipeline services that address the needs of children in the neighborhood, as identified by the needs analysis; and that is supported by effective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description of the neighborhood the eligible entity will serve. Applicants may propose to serve multiple, non-contiguous geographically defined areas. In cases where target areas are non-contiguous, the applicant must explain its rationale for including non-contiguous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analysis of the needs and assets of the neighborhood,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size and scope of the population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description of the process through which the needs analysis was produced, including a description of how parents, families, and community members were engaged in such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analysis of community assets and collaborative efforts (including programs already provided from Federal and non-Federal sources) within, or accessible to, the neighborhood, including, at a minimum, early learning opportunities, family and student supports, local businesses, local educational agencies, and institutions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steps that the eligible entity is taking at the time of the application to address the needs identified in the needs analysis;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barriers the eligible entity, public agencies, and other community-based organizations have faced in meeting such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description of all information the entity used to identify the pipeline services to be provided, which shall not include information that is more than 3 years old. This description should address how the eligible entity plans to collect data on children served by each pipeline service; and increase the percentage of children served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description of the process used to develop the Promise Neighborhoods application, including the involvement of family and community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 description of how the pipeline services will facilitate the coordination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Providing early learning opportunities for children, including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Providing opportunities for families to acquire the skills to promote early learning and child development;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Ensuring appropriate diagnostic assessments and referrals for children with disabilities and children aged 3 </w:t>
      </w:r>
      <w:r>
        <w:rPr>
          <w:rFonts w:ascii="arial" w:eastAsia="arial" w:hAnsi="arial" w:cs="arial"/>
          <w:b/>
          <w:i w:val="0"/>
          <w:strike w:val="0"/>
          <w:noProof w:val="0"/>
          <w:color w:val="000000"/>
          <w:position w:val="0"/>
          <w:sz w:val="20"/>
          <w:u w:val="none"/>
          <w:vertAlign w:val="baseline"/>
        </w:rPr>
        <w:t> [*33887] </w:t>
      </w:r>
      <w:r>
        <w:rPr>
          <w:rFonts w:ascii="arial" w:eastAsia="arial" w:hAnsi="arial" w:cs="arial"/>
          <w:b w:val="0"/>
          <w:i w:val="0"/>
          <w:strike w:val="0"/>
          <w:noProof w:val="0"/>
          <w:color w:val="000000"/>
          <w:position w:val="0"/>
          <w:sz w:val="20"/>
          <w:u w:val="none"/>
          <w:vertAlign w:val="baseline"/>
        </w:rPr>
        <w:t xml:space="preserve"> through 9 experiencing developmental delays, consistent with the Individuals with Disabilities Education Act (</w:t>
      </w:r>
      <w:hyperlink r:id="rId25"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Supporting, enhancing, operating, or expanding rigorous, comprehensive, effective educational improvements, which may include high-quality academic programs, expanded learning time, and programs and activities to prepare students for postsecondary education admissions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Supporting partnerships between schools and other community resources with an integrated focus on academics and other social, health, and familial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Providing social, health, nutrition, and mental health services and supports, for children, family members, and community members, which may include services provided within the school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Supporting evidence-based programs (see section 8101(21) of the ESEA) that assist students through school transitions, which may include expanding access to postsecondary education courses and postsecondary education enrollment aid or guidance, and other supports for at-risk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 description of the strategies that will be used to provide pipeline services (including a description of which programs and services will be provided to children, family members, community members, and children within the neighborhood) to support the purpose of the Promise Neighborhoods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An explanation of the process the eligible entity will use to establish and maintain family and community engagement,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Involving representative participation by the members of such neighborhood in the planning and implementation of the activities of each grant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provision of strategies and practices to assist family and community members in actively supporting student achievement and child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Providing services for students, families, and communities within the school building;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Collaboration with institutions of higher education, workforce development centers, and employers to align expectations and programming with postsecondary education and workforce 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An explanation of how the eligible entity will continuously evaluate and improve the continuum of high-quality pipeline services to provide for continuous program improvement and potential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 commitment to collecting the required Promise Neighborhoods performance indicators' data; establishing the conditions for effective case and data management; and using data to improve program outcomes. In understanding the conditions necessary to collect, manage, and utilize data for Promise Neighborhoods, an applicant is required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Hire dedicated staff to ensure its project has sufficient personnel and/or contractors to effectively manage its data collection activities, case management, and data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Submit a detailed data collection and reporting plan that includes a description of how it will conduct a bi-annual neighborhood survey of children and adults in the Promise Neighborhood; collect, at least annually, data on the performance indicators in Table 1; establish clear, annual targets and goals for growth on the performance indicators; and report those data to the Department annually;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408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1--Promise Neighborhoods Performance Indicators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408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Children enter</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Number and percentage of</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kindergarten ready to</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in kindergarten who</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LEA.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succeed in school</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at the beginning of</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program or school year age-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functioning across</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domains of early</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as determined using</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developmentally-appropriate early</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measures</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Students are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Number and percentage of</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proficient in core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at or above grade level</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academic subjects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according to State mathematics</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in at least the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grades required by the ESEA (3rd</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8th grades and once in</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school)</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Number and percentage of</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at or above grade level</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according to State English</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arts assessments in at</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the grades required by the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ESEA</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Students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Attendance rate of students</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successfully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6th, 7th, 8th, and 9th grade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 from</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defined by average daily</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school grades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attendance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high school</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Chronic absenteeism rate of</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in 6th, 7th, 8th, and</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9th grades</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Youth graduate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Four-year adjusted cohort</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high school</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graduation rate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High school</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 Number and percentage of</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data such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graduates obtain a</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Promise Neighborhood students who</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the National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postsecondary degree,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 in a two-year or four-year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or</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or university after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Clearinghouse.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credential</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graduation</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 Number and percent of Promise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Neighborhood students who</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graduate from a two-year or four-</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college or university or</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vocational certification</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Students are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and percentage of children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Neighborhood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consume five or more servings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climate survey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fruits and vegetables daily</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 reliable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 level data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Students feel safe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Number and percentage of</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school and in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who feel safe at school</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community</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traveling to and from school</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measured by a school climate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Students live in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Student mobility rate (as</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stable communities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the notice)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Families and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 Number and percentage of</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members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 or family members that</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learning in</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 to or encourage their</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promise Neighborhood</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to read three or more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times a week or reported their</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read to themselves three or</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times a week (birth-8th</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 Number and percentage of</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parents/family members who report</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talking about the importance of</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 and career (9th-12th</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grade)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Students have</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Number and percentage of</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21st</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who have school and home</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century learning</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broadband internet and</w:t>
            </w:r>
          </w:p>
        </w:tc>
        <w:tc>
          <w:tcPr>
            <w:tcW w:w="264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tools</w:t>
            </w: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connected computing device</w:t>
            </w:r>
          </w:p>
        </w:tc>
        <w:tc>
          <w:tcPr>
            <w:tcW w:w="264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indicators in Table 1 are not intended to limit an applicant from collecting and using data from additional Family and Community Support indicators proposed to the Department. Applicants are strongly encouraged, but not required, to propose additional performance indicators aligned to the specific pipeline services proposed in their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Describe how it will develop a case management system to track key information and progress toward outcomes for individual children and adults participating in its Promise Neighborhoods programs and to facilitate communication and the coordination of services on behalf of these individuals;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Describe how it will develop and maintain a longitudinal data system to track outcome measures and other performance indicators over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snapshots and extracts from the case management system at different points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established performance indicators for the Promise Neighborhoods program serve as indicators of improved academic and developmental outcomes for children, including indicators of school readiness, high school graduation, postsecondary education and career readiness, and other academic and developmental outcomes. Each grantee is required to collect and report data on the performance indicators annually. Subsequently, the Department will make a determination for continuation funding and grant extensions based on performance indicator outcomes and available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 commitment to work with the Department, and with a national evaluator for Promise Neighborhoods or another entity designated by the Department, to ensure that data collection and program design are consistent with plans to conduct a rigorous national evaluation of the Promise Neighborhoods program and of specific solutions and strategies pursued by individual grantees. This commitment must include, but need not be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Ensuring that, through memoranda of understanding with appropriate entities, the national evaluator and the Department have--consistent with applicable privacy requirements--access to relevant program and project data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administrative data and program and project indicator data), including on a quarterly basis if requested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Developing, in consultation with the national evaluator, an evaluation strategy, including identifying a credible comparison group;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Developing, in consultation with the national evaluator, a plan for identifying and collecting reliable and valid baseline data for both program participants and a designated comparison group of non-participants.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Each applicant must submit, as part of its application, a preliminary memorandum of understanding, signed by each organization or agency with which it would partner in implementing the proposed Promise Neighborhood. Within the preliminary memorandum of understanding, all applicants must detail each partner's financial, programmatic, and long-term commitment with respect to the strategies described in the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4624(c) of the ESEA, applicants that are non-profit entities must submit a preliminary memorandum of understanding signed by each partner entity or agency, which must include at least one of the following: A high-need LEA; an institution of higher education, as defined in section 102 of the HEA (</w:t>
      </w:r>
      <w:hyperlink r:id="rId15" w:history="1">
        <w:r>
          <w:rPr>
            <w:rFonts w:ascii="arial" w:eastAsia="arial" w:hAnsi="arial" w:cs="arial"/>
            <w:b w:val="0"/>
            <w:i/>
            <w:strike w:val="0"/>
            <w:noProof w:val="0"/>
            <w:color w:val="0077CC"/>
            <w:position w:val="0"/>
            <w:sz w:val="20"/>
            <w:u w:val="single"/>
            <w:vertAlign w:val="baseline"/>
          </w:rPr>
          <w:t>20 U.S.C. 1002</w:t>
        </w:r>
      </w:hyperlink>
      <w:r>
        <w:rPr>
          <w:rFonts w:ascii="arial" w:eastAsia="arial" w:hAnsi="arial" w:cs="arial"/>
          <w:b w:val="0"/>
          <w:i w:val="0"/>
          <w:strike w:val="0"/>
          <w:noProof w:val="0"/>
          <w:color w:val="000000"/>
          <w:position w:val="0"/>
          <w:sz w:val="20"/>
          <w:u w:val="none"/>
          <w:vertAlign w:val="baseline"/>
        </w:rPr>
        <w:t>); the office of a chief elected official of a unit of local government; or an Indian Tribe or Tribal organization as defined in section 4 of the Indian Self-Determination and Education Assistance Act (</w:t>
      </w:r>
      <w:hyperlink r:id="rId16" w:history="1">
        <w:r>
          <w:rPr>
            <w:rFonts w:ascii="arial" w:eastAsia="arial" w:hAnsi="arial" w:cs="arial"/>
            <w:b w:val="0"/>
            <w:i/>
            <w:strike w:val="0"/>
            <w:noProof w:val="0"/>
            <w:color w:val="0077CC"/>
            <w:position w:val="0"/>
            <w:sz w:val="20"/>
            <w:u w:val="single"/>
            <w:vertAlign w:val="baseline"/>
          </w:rPr>
          <w:t>25 U.S.C. 5304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eligible entity that receives a grant under this program is required to prepare and submit an annual report to the Secretary that must include the following: (1) Information about the number and percentage of children in the neighborhood who are served by the grant program, including a description of the number and percentage of children accessing each support service offered as part of the pipeline of services; and (2) information relating to the metrics established under the Promise Neighborhood Performance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grantees are required to make these data publicly available, including through electronic means. To the extent practicable, and as required by law, such information must be provided in a form and language accessible to parents and families in the neighborhood served under the Promise Neighborhoods grant. In addition, data on academic indicators pertinent to the Promise Neighborhoods program will, in most cases, already be part of statewide longitudinal data systems.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6" w:history="1">
        <w:r>
          <w:rPr>
            <w:rFonts w:ascii="arial" w:eastAsia="arial" w:hAnsi="arial" w:cs="arial"/>
            <w:b w:val="0"/>
            <w:i/>
            <w:strike w:val="0"/>
            <w:noProof w:val="0"/>
            <w:color w:val="0077CC"/>
            <w:position w:val="0"/>
            <w:sz w:val="20"/>
            <w:u w:val="single"/>
            <w:vertAlign w:val="baseline"/>
          </w:rPr>
          <w:t>www.ed.gov/fund/grant/apply/grantapps/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TDD or a TTY, call FRS,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7"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8"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84.215N.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t>
      </w:r>
      <w:r>
        <w:rPr>
          <w:rFonts w:ascii="arial" w:eastAsia="arial" w:hAnsi="arial" w:cs="arial"/>
          <w:b/>
          <w:i w:val="0"/>
          <w:strike w:val="0"/>
          <w:noProof w:val="0"/>
          <w:color w:val="000000"/>
          <w:position w:val="0"/>
          <w:sz w:val="20"/>
          <w:u w:val="none"/>
          <w:vertAlign w:val="baseline"/>
        </w:rPr>
        <w:t> [*33889] </w:t>
      </w:r>
      <w:r>
        <w:rPr>
          <w:rFonts w:ascii="arial" w:eastAsia="arial" w:hAnsi="arial" w:cs="arial"/>
          <w:b w:val="0"/>
          <w:i w:val="0"/>
          <w:strike w:val="0"/>
          <w:noProof w:val="0"/>
          <w:color w:val="000000"/>
          <w:position w:val="0"/>
          <w:sz w:val="20"/>
          <w:u w:val="none"/>
          <w:vertAlign w:val="baseline"/>
        </w:rPr>
        <w:t xml:space="preserve">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the Department of the applicant's intent to submit an application for funding by completing a web-based form. When completing this form, applicants will provide (1) the applicant organization's name and address, and (2) information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or priorities under which the applicant intends to apply. Applicants may access this form online at </w:t>
      </w:r>
      <w:hyperlink r:id="rId29" w:history="1">
        <w:r>
          <w:rPr>
            <w:rFonts w:ascii="arial" w:eastAsia="arial" w:hAnsi="arial" w:cs="arial"/>
            <w:b w:val="0"/>
            <w:i/>
            <w:strike w:val="0"/>
            <w:noProof w:val="0"/>
            <w:color w:val="0077CC"/>
            <w:position w:val="0"/>
            <w:sz w:val="20"/>
            <w:u w:val="single"/>
            <w:vertAlign w:val="baseline"/>
          </w:rPr>
          <w:t>https://innovation.ed.gov/what-we-do/parental-options/promise-neighborhoods-pn/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complete this form may still apply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 (1) limit the application narrative to 75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one-page abstract, the resumes, the bibliography, or the letters of support. However, the recommended page limit does apply to all of the application narrative.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Promise Neighborhoods program, your application may include business information that you consider proprietary. In </w:t>
      </w:r>
      <w:hyperlink r:id="rId30"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In the appropriate Appendix section of your application, under "Other Attachments Form," please list the page number or numbers on which we can find this information. For additional information please see </w:t>
      </w:r>
      <w:hyperlink r:id="rId30"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July 21,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August 21,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Promise Neighborhoods intends to hold pre-application webinars to provide technical assistance to interested applicants. Detailed information regarding pre-application webinar times will be provided on the Web site at </w:t>
      </w:r>
      <w:hyperlink r:id="rId29" w:history="1">
        <w:r>
          <w:rPr>
            <w:rFonts w:ascii="arial" w:eastAsia="arial" w:hAnsi="arial" w:cs="arial"/>
            <w:b w:val="0"/>
            <w:i/>
            <w:strike w:val="0"/>
            <w:noProof w:val="0"/>
            <w:color w:val="0077CC"/>
            <w:position w:val="0"/>
            <w:sz w:val="20"/>
            <w:u w:val="single"/>
            <w:vertAlign w:val="baseline"/>
          </w:rPr>
          <w:t>https://innovation.ed.gov/what-we-do/parental-options/promise-neighborhoods-pn/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September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 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November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operate a school in a neighborhood served by a grant program must provide such school with the operational flexibility, including autonomy over staff, time, and budget, needed to effectively carry out the activities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cannot, in carrying out activities to improve early childhood education programs, use Promise Neighborhoods funds to carry out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Assessments that provide rewards or sanctions for individual children or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single assessment that is used as the primary or sole method for assessing program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Evaluation of children, other than for the purposes of improving instruction, classroom environment, professional development, or parent and family engagement, or program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31"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w:t>
      </w:r>
      <w:r>
        <w:rPr>
          <w:rFonts w:ascii="arial" w:eastAsia="arial" w:hAnsi="arial" w:cs="arial"/>
          <w:b/>
          <w:i w:val="0"/>
          <w:strike w:val="0"/>
          <w:noProof w:val="0"/>
          <w:color w:val="000000"/>
          <w:position w:val="0"/>
          <w:sz w:val="20"/>
          <w:u w:val="none"/>
          <w:vertAlign w:val="baseline"/>
        </w:rPr>
        <w:t> [*33890] </w:t>
      </w:r>
      <w:r>
        <w:rPr>
          <w:rFonts w:ascii="arial" w:eastAsia="arial" w:hAnsi="arial" w:cs="arial"/>
          <w:b w:val="0"/>
          <w:i w:val="0"/>
          <w:strike w:val="0"/>
          <w:noProof w:val="0"/>
          <w:color w:val="000000"/>
          <w:position w:val="0"/>
          <w:sz w:val="20"/>
          <w:u w:val="none"/>
          <w:vertAlign w:val="baseline"/>
        </w:rPr>
        <w:t xml:space="preserve">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2"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3"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Promise Neighborhoods, CFDA number 84.215N,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Promise Neighborhoods program at </w:t>
      </w:r>
      <w:hyperlink r:id="rId3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84.215, not 84.215N).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5"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6"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flattened Portable Document Format (PDF), meaning any fillable PDF documents must be saved as flattened non-fillable files. Therefore, do not upload an interactive or fillable PDF file. If you upload a file type other than a read-only, flattened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There is no need to password protect a file in order to meet the requirement to submit a read-only flattened PDF. And, as noted above, the Department will not review password protected files.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 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w:t>
      </w:r>
      <w:r>
        <w:rPr>
          <w:rFonts w:ascii="arial" w:eastAsia="arial" w:hAnsi="arial" w:cs="arial"/>
          <w:b/>
          <w:i w:val="0"/>
          <w:strike w:val="0"/>
          <w:noProof w:val="0"/>
          <w:color w:val="000000"/>
          <w:position w:val="0"/>
          <w:sz w:val="20"/>
          <w:u w:val="none"/>
          <w:vertAlign w:val="baseline"/>
        </w:rPr>
        <w:t> [*33891] </w:t>
      </w:r>
      <w:r>
        <w:rPr>
          <w:rFonts w:ascii="arial" w:eastAsia="arial" w:hAnsi="arial" w:cs="arial"/>
          <w:b w:val="0"/>
          <w:i w:val="0"/>
          <w:strike w:val="0"/>
          <w:noProof w:val="0"/>
          <w:color w:val="000000"/>
          <w:position w:val="0"/>
          <w:sz w:val="20"/>
          <w:u w:val="none"/>
          <w:vertAlign w:val="baseline"/>
        </w:rPr>
        <w:t xml:space="preserve">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flattened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Adrienne Hawkins, U.S. Department of Education, 400 Maryland Avenue SW., Room 4W256, Washington, DC 20202-5970.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84.215N),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84.215N),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are either from </w:t>
      </w:r>
      <w:hyperlink r:id="rId3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or established in accordance with section 437(d)(1) of GEPA, </w:t>
      </w:r>
      <w:hyperlink r:id="rId10"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xml:space="preserve">. All of the selection criteria are listed in this section and in the application package. The maximum score for all of the selection criteria is 100 points. The maximum score for each criterion is included in parentheses following the title of the specific selection criterion. Each criterion also includes the factors that reviewers will consider in </w:t>
      </w:r>
      <w:r>
        <w:rPr>
          <w:rFonts w:ascii="arial" w:eastAsia="arial" w:hAnsi="arial" w:cs="arial"/>
          <w:b/>
          <w:i w:val="0"/>
          <w:strike w:val="0"/>
          <w:noProof w:val="0"/>
          <w:color w:val="000000"/>
          <w:position w:val="0"/>
          <w:sz w:val="20"/>
          <w:u w:val="none"/>
          <w:vertAlign w:val="baseline"/>
        </w:rPr>
        <w:t> [*33892] </w:t>
      </w:r>
      <w:r>
        <w:rPr>
          <w:rFonts w:ascii="arial" w:eastAsia="arial" w:hAnsi="arial" w:cs="arial"/>
          <w:b w:val="0"/>
          <w:i w:val="0"/>
          <w:strike w:val="0"/>
          <w:noProof w:val="0"/>
          <w:color w:val="000000"/>
          <w:position w:val="0"/>
          <w:sz w:val="20"/>
          <w:u w:val="none"/>
          <w:vertAlign w:val="baseline"/>
        </w:rPr>
        <w:t xml:space="preserve"> determining the extent to which an applicant meets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Points awarded under these selection criteria are in addition to any points an applicant earns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this notice. The maximum score that an application may receive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the selection criteria is 108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the Project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need for the proposed project. In determining the need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or severity of the problems to be addressed by the proposed project as described by indicators of need (as defined in this notice) and other relevant indicators identified in part by the needs assessment and segmentation analysis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geographically defined area has been described;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specific gaps or weaknesses in services, infrastructure, or opportunities have been identified and will be addressed by the proposed project, including the nature and magnitude of those gaps or weaknesses. (</w:t>
      </w:r>
      <w:hyperlink r:id="rId3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Design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reviews each application to determine the quality of the project design.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describes a plan to create a complete pipeline of services, including early learning through grade 12, college- and career-readiness, and family and community supports, without time and resource gaps, that will prepare all children in the neighborhood to attain an excellent education and successfully transition to college and a career, and that will significantly increase the proportion of students in the neighborhood that are served by the complete continuum to reach scale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include the use of objective performance measures that are clearly related to the intended outcomes of the project and will produce quantitative and qualitative data to the extent possible (</w:t>
      </w:r>
      <w:hyperlink r:id="rId3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is supported by strong theory (as defined in this notice) (</w:t>
      </w:r>
      <w:hyperlink r:id="rId3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Project Services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services to be provided by the proposed project. In determining the quality of the project services, the Secretary considers: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quality and sufficiency of strategies for ensuring equal access and treatment for eligible project participants who are members of groups that have traditionally been underrepresented based on race, color, national origin, gender, age, or disability (</w:t>
      </w:r>
      <w:hyperlink r:id="rId3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likelihood that the services to be provided by the proposed project will lead to improvement in the achievement of students as measured against rigorous academic standards (</w:t>
      </w:r>
      <w:hyperlink r:id="rId3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quality of the applicant's plan to establish formal and informal partnerships, including the alignment of the visions, theories of action, and theories of change described in its memorandum of understanding, and to create a system for holding partners accountable for performance in accordance with the memorandum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 (</w:t>
      </w:r>
      <w:hyperlink r:id="rId3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plan's provisions on collecting, analyzing, and using data for decision-making, learning, continuous improvement, and accountability, including whether the applicant has a plan to build, adapt, or expand a longitudinal data system that integrates student-level data from multiple sources in order to measure progress while abiding by privacy laws and requirements, and ensuring that any systems built, adapted, or expanded upon includes essential security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Adequacy of Resources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 In determining the adequacy of resources for the proposed project, the Secretary considers: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costs are reasonable in relation to the number of persons to be served and to the anticipated results and benefits (</w:t>
      </w:r>
      <w:hyperlink r:id="rId3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demonstrates that it has the resources to operate the project beyond the length of the grant, including a multi-year financial and operating model and accompanying plan; the demonstrated commitment of any partners; evidence of broad support from stakeholders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educational agencies, teachers' unions) critical to the project's long-term success; or more than one of these types of evidence (</w:t>
      </w:r>
      <w:hyperlink r:id="rId3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applicant identifies existing neighborhood assets and programs supported by Federal, State, local, and private funds that will be used to implement pipeline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Department will screen applications submitted in accordance with the requirements in this notice, and will determine which applications have met eligibility and other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use independent reviewers from various backgrounds and professions including: Pre-kindergarten through grade 12, teachers and principals, college and university educators, researchers and evaluators, social entrepreneurs, strategy consultants, grant makers and managers, and others with community development and education expertise. The Department will thoroughly screen all reviewers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Reviewers will read, prepare a written evaluation of, and score the applications assigned to their panel, using the selection criteria provided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prepares a rank order of applications for each absolute priority based solely on the evaluation of their quality according to the selection criteria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The Department may use more than one tier of reviews in determining grantees, including possible site visits for applicants. Additional information about the review process will be posted on the Department's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8"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xml:space="preserve">,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w:t>
      </w:r>
      <w:r>
        <w:rPr>
          <w:rFonts w:ascii="arial" w:eastAsia="arial" w:hAnsi="arial" w:cs="arial"/>
          <w:b/>
          <w:i w:val="0"/>
          <w:strike w:val="0"/>
          <w:noProof w:val="0"/>
          <w:color w:val="000000"/>
          <w:position w:val="0"/>
          <w:sz w:val="20"/>
          <w:u w:val="none"/>
          <w:vertAlign w:val="baseline"/>
        </w:rPr>
        <w:t> [*33893] </w:t>
      </w:r>
      <w:r>
        <w:rPr>
          <w:rFonts w:ascii="arial" w:eastAsia="arial" w:hAnsi="arial" w:cs="arial"/>
          <w:b w:val="0"/>
          <w:i w:val="0"/>
          <w:strike w:val="0"/>
          <w:noProof w:val="0"/>
          <w:color w:val="000000"/>
          <w:position w:val="0"/>
          <w:sz w:val="20"/>
          <w:u w:val="none"/>
          <w:vertAlign w:val="baseline"/>
        </w:rPr>
        <w:t xml:space="preserve">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4"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5"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specific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6"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 xml:space="preserve">. If awarded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information about the number and percentage of children in the neighborhood who are served by the grant program, including a description of the number and percentage of children accessing each support or service offered as part of the pipeline services; and information relating to the performance metrics must be stated in each annual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7"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8"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9"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4"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performance indicators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performance measures) for Promise Neighborhoods. Performance indicators established by the Secretary include improved academic and development outcomes for children, including indicators of school readiness, high school graduation, postsecondary education and career readiness, and other academic and developmental outcomes. These outcomes promote data-driven decision-making and access to a community-based continuum of high quality services for children living in the most distressed communities of the United States, beginning at birth. All grantees will be required to submit data annually against these performance measures as part of their annual performance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the Secretary considers, among other things: Whether a grantee has made substantial progress in achieving the goals and objectives of the project; whether the grantee has expended funds in a manner that is consistent with its approved application and budget; and, the performance of the grantee in meeting the targets established for each performance indicator identified in the grantee's approved data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 </w:t>
      </w:r>
      <w:r>
        <w:rPr>
          <w:rFonts w:ascii="arial" w:eastAsia="arial" w:hAnsi="arial" w:cs="arial"/>
          <w:b/>
          <w:i w:val="0"/>
          <w:strike w:val="0"/>
          <w:noProof w:val="0"/>
          <w:color w:val="000000"/>
          <w:position w:val="0"/>
          <w:sz w:val="20"/>
          <w:u w:val="none"/>
          <w:vertAlign w:val="baseline"/>
        </w:rPr>
        <w:t> [*33894]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18,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2017-15359 Filed 7-20-17;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July 21,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August 21,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Webinars</w:t>
      </w:r>
      <w:r>
        <w:rPr>
          <w:rFonts w:ascii="arial" w:eastAsia="arial" w:hAnsi="arial" w:cs="arial"/>
          <w:b w:val="0"/>
          <w:i w:val="0"/>
          <w:strike w:val="0"/>
          <w:noProof w:val="0"/>
          <w:color w:val="000000"/>
          <w:position w:val="0"/>
          <w:sz w:val="20"/>
          <w:u w:val="none"/>
          <w:vertAlign w:val="baseline"/>
        </w:rPr>
        <w:t xml:space="preserve">: The Promise Neighborhoods team intends to hold pre-application webinars to provide technical assistance to interested applicants. Detailed information regarding these webinar times will be provided on the Promise Neighborhoods' Web site at </w:t>
      </w:r>
      <w:hyperlink r:id="rId29" w:history="1">
        <w:r>
          <w:rPr>
            <w:rFonts w:ascii="arial" w:eastAsia="arial" w:hAnsi="arial" w:cs="arial"/>
            <w:b w:val="0"/>
            <w:i/>
            <w:strike w:val="0"/>
            <w:noProof w:val="0"/>
            <w:color w:val="0077CC"/>
            <w:position w:val="0"/>
            <w:sz w:val="20"/>
            <w:u w:val="single"/>
            <w:vertAlign w:val="baseline"/>
          </w:rPr>
          <w:t>https://innovation.ed.gov/what-we-do/parental-options/promise-neighborhoods-pn/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September 5,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November 3,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Adrienne Hawkins, U.S. Department of Education, 400 Maryland Avenue SW., Room 4W256, Washington, DC 20202. Telephone: (202) 453-5638 or by email: </w:t>
      </w:r>
      <w:hyperlink r:id="rId52" w:history="1">
        <w:r>
          <w:rPr>
            <w:rFonts w:ascii="arial" w:eastAsia="arial" w:hAnsi="arial" w:cs="arial"/>
            <w:b w:val="0"/>
            <w:i/>
            <w:strike w:val="0"/>
            <w:noProof w:val="0"/>
            <w:color w:val="0077CC"/>
            <w:position w:val="0"/>
            <w:sz w:val="20"/>
            <w:u w:val="single"/>
            <w:vertAlign w:val="baseline"/>
          </w:rPr>
          <w:t>PromiseNeighborhoods@ed.gov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33881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B1-NRF4-445T-00000-00&amp;context=" TargetMode="External" /><Relationship Id="rId11" Type="http://schemas.openxmlformats.org/officeDocument/2006/relationships/hyperlink" Target="https://advance.lexis.com/api/document?collection=statutes-legislation&amp;id=urn:contentItem:4YF7-GR91-NRF4-41J1-00000-00&amp;context=" TargetMode="External" /><Relationship Id="rId12" Type="http://schemas.openxmlformats.org/officeDocument/2006/relationships/hyperlink" Target="https://advance.lexis.com/api/document?collection=administrative-codes&amp;id=urn:contentItem:5BV6-FN90-006W-808J-00000-00&amp;context=" TargetMode="External" /><Relationship Id="rId13" Type="http://schemas.openxmlformats.org/officeDocument/2006/relationships/hyperlink" Target="http://www.hud.gov/promisezones" TargetMode="External" /><Relationship Id="rId14" Type="http://schemas.openxmlformats.org/officeDocument/2006/relationships/hyperlink" Target="https://advance.lexis.com/api/document?collection=administrative-codes&amp;id=urn:contentItem:5S7T-7HV0-008H-03HM-00000-00&amp;context=" TargetMode="External" /><Relationship Id="rId15" Type="http://schemas.openxmlformats.org/officeDocument/2006/relationships/hyperlink" Target="https://advance.lexis.com/api/document?collection=statutes-legislation&amp;id=urn:contentItem:4YF7-GJG1-NRF4-40HC-00000-00&amp;context=" TargetMode="External" /><Relationship Id="rId16" Type="http://schemas.openxmlformats.org/officeDocument/2006/relationships/hyperlink" Target="https://advance.lexis.com/api/document?collection=statutes-legislation&amp;id=urn:contentItem:5KBR-40V1-NRF4-4004-00000-00&amp;context=" TargetMode="External" /><Relationship Id="rId17" Type="http://schemas.openxmlformats.org/officeDocument/2006/relationships/hyperlink" Target="https://advance.lexis.com/api/document?collection=administrative-codes&amp;id=urn:contentItem:5P25-NG20-008H-02V3-00000-00&amp;context=" TargetMode="External" /><Relationship Id="rId18" Type="http://schemas.openxmlformats.org/officeDocument/2006/relationships/hyperlink" Target="http://ies.ed.gov/ncee/wwc/Handbooks" TargetMode="External" /><Relationship Id="rId19" Type="http://schemas.openxmlformats.org/officeDocument/2006/relationships/hyperlink" Target="https://www2.ed.gov/programs/reapsrsa/eligible16/index.htmlFor" TargetMode="External" /><Relationship Id="rId2" Type="http://schemas.openxmlformats.org/officeDocument/2006/relationships/webSettings" Target="webSettings.xml" /><Relationship Id="rId20" Type="http://schemas.openxmlformats.org/officeDocument/2006/relationships/hyperlink" Target="https://www2.ed.gov/programs/reaprlisp/eligibility.html" TargetMode="External" /><Relationship Id="rId21" Type="http://schemas.openxmlformats.org/officeDocument/2006/relationships/hyperlink" Target="http://nces.ed.gov/ccd/schoolsearch/" TargetMode="External" /><Relationship Id="rId22" Type="http://schemas.openxmlformats.org/officeDocument/2006/relationships/hyperlink" Target="https://advance.lexis.com/api/document?collection=statutes-legislation&amp;id=urn:contentItem:4YF7-GJ41-NRF4-429K-00000-00&amp;context=" TargetMode="External" /><Relationship Id="rId23" Type="http://schemas.openxmlformats.org/officeDocument/2006/relationships/hyperlink" Target="https://advance.lexis.com/api/document?collection=statutes-legislation&amp;id=urn:contentItem:5J5Y-1CT1-NRF4-4001-00000-00&amp;context=" TargetMode="External" /><Relationship Id="rId24" Type="http://schemas.openxmlformats.org/officeDocument/2006/relationships/hyperlink" Target="https://advance.lexis.com/api/document?collection=administrative-codes&amp;id=urn:contentItem:5F34-Y1P0-008G-Y12H-00000-00&amp;context=" TargetMode="External" /><Relationship Id="rId25" Type="http://schemas.openxmlformats.org/officeDocument/2006/relationships/hyperlink" Target="https://advance.lexis.com/api/document?collection=statutes-legislation&amp;id=urn:contentItem:4YF7-GNB1-NRF4-4325-00000-00&amp;context=" TargetMode="External" /><Relationship Id="rId26" Type="http://schemas.openxmlformats.org/officeDocument/2006/relationships/hyperlink" Target="http://www.ed.gov/fund/grant/apply/grantapps/" TargetMode="External" /><Relationship Id="rId27" Type="http://schemas.openxmlformats.org/officeDocument/2006/relationships/hyperlink" Target="http://www.EDPubs.gov" TargetMode="External" /><Relationship Id="rId28" Type="http://schemas.openxmlformats.org/officeDocument/2006/relationships/hyperlink" Target="mailto:edpubs@inet.ed.gov" TargetMode="External" /><Relationship Id="rId29" Type="http://schemas.openxmlformats.org/officeDocument/2006/relationships/hyperlink" Target="https://innovation.ed.gov/what-we-do/parental-options/promise-neighborhoods-pn/"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G9C-N1H0-008H-002J-00000-00&amp;context=" TargetMode="External" /><Relationship Id="rId31" Type="http://schemas.openxmlformats.org/officeDocument/2006/relationships/hyperlink" Target="http://fedgov.dnb.com/webform" TargetMode="External" /><Relationship Id="rId32" Type="http://schemas.openxmlformats.org/officeDocument/2006/relationships/hyperlink" Target="http://www.SAM.gov" TargetMode="External" /><Relationship Id="rId33" Type="http://schemas.openxmlformats.org/officeDocument/2006/relationships/hyperlink" Target="http://www.grants.gov/web/grants/register.html" TargetMode="External" /><Relationship Id="rId34" Type="http://schemas.openxmlformats.org/officeDocument/2006/relationships/hyperlink" Target="http://www.Grants.gov" TargetMode="External" /><Relationship Id="rId35" Type="http://schemas.openxmlformats.org/officeDocument/2006/relationships/hyperlink" Target="http://www.G5.gov" TargetMode="External" /><Relationship Id="rId36" Type="http://schemas.openxmlformats.org/officeDocument/2006/relationships/hyperlink" Target="http://www.grants.gov/web/grants/applicants/apply-for-grants.html" TargetMode="External" /><Relationship Id="rId37" Type="http://schemas.openxmlformats.org/officeDocument/2006/relationships/hyperlink" Target="https://advance.lexis.com/api/document?collection=administrative-codes&amp;id=urn:contentItem:5S7T-7HS0-008H-02VY-00000-00&amp;context=" TargetMode="External" /><Relationship Id="rId38" Type="http://schemas.openxmlformats.org/officeDocument/2006/relationships/hyperlink" Target="https://advance.lexis.com/api/document?collection=administrative-codes&amp;id=urn:contentItem:5GMB-DPB0-008H-02GP-00000-00&amp;context=" TargetMode="External" /><Relationship Id="rId39" Type="http://schemas.openxmlformats.org/officeDocument/2006/relationships/hyperlink" Target="https://advance.lexis.com/api/document?collection=administrative-codes&amp;id=urn:contentItem:5KS0-F5W0-008H-023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5H-J1H0-008H-043K-00000-00&amp;context=" TargetMode="External" /><Relationship Id="rId41" Type="http://schemas.openxmlformats.org/officeDocument/2006/relationships/hyperlink" Target="https://advance.lexis.com/api/document?collection=administrative-codes&amp;id=urn:contentItem:5KS0-F5W0-008H-024V-00000-00&amp;context=" TargetMode="External" /><Relationship Id="rId42" Type="http://schemas.openxmlformats.org/officeDocument/2006/relationships/hyperlink" Target="https://advance.lexis.com/api/document?collection=administrative-codes&amp;id=urn:contentItem:5KS0-F600-008H-02PT-00000-00&amp;context=" TargetMode="External" /><Relationship Id="rId43" Type="http://schemas.openxmlformats.org/officeDocument/2006/relationships/hyperlink" Target="https://advance.lexis.com/api/document?collection=administrative-codes&amp;id=urn:contentItem:5KS0-F5W0-008H-025B-00000-00&amp;context=" TargetMode="External" /><Relationship Id="rId44" Type="http://schemas.openxmlformats.org/officeDocument/2006/relationships/hyperlink" Target="https://advance.lexis.com/api/document?collection=administrative-codes&amp;id=urn:contentItem:5HDM-DHF0-008G-Y2NJ-00000-00&amp;context=" TargetMode="External" /><Relationship Id="rId45" Type="http://schemas.openxmlformats.org/officeDocument/2006/relationships/hyperlink" Target="https://advance.lexis.com/api/document?collection=administrative-codes&amp;id=urn:contentItem:5F34-Y1R0-008G-Y1F9-00000-00&amp;context=" TargetMode="External" /><Relationship Id="rId46" Type="http://schemas.openxmlformats.org/officeDocument/2006/relationships/hyperlink" Target="https://advance.lexis.com/api/document?collection=administrative-codes&amp;id=urn:contentItem:5F2R-48P0-008G-Y31V-00000-00&amp;context=" TargetMode="External" /><Relationship Id="rId47" Type="http://schemas.openxmlformats.org/officeDocument/2006/relationships/hyperlink" Target="https://advance.lexis.com/api/document?collection=administrative-codes&amp;id=urn:contentItem:5GMB-DPC0-008H-02S7-00000-00&amp;context=" TargetMode="External" /><Relationship Id="rId48" Type="http://schemas.openxmlformats.org/officeDocument/2006/relationships/hyperlink" Target="https://advance.lexis.com/api/document?collection=administrative-codes&amp;id=urn:contentItem:5GMB-DPC0-008H-02SK-00000-00&amp;context=" TargetMode="External" /><Relationship Id="rId49" Type="http://schemas.openxmlformats.org/officeDocument/2006/relationships/hyperlink" Target="http://www.ed.gov/fund/grant/apply/appforms/appforms.html" TargetMode="External" /><Relationship Id="rId5" Type="http://schemas.openxmlformats.org/officeDocument/2006/relationships/footer" Target="footer1.xml" /><Relationship Id="rId50" Type="http://schemas.openxmlformats.org/officeDocument/2006/relationships/hyperlink" Target="http://www.gpo.gov/fdsys" TargetMode="External" /><Relationship Id="rId51" Type="http://schemas.openxmlformats.org/officeDocument/2006/relationships/hyperlink" Target="http://www.federalregister.gov" TargetMode="External" /><Relationship Id="rId52" Type="http://schemas.openxmlformats.org/officeDocument/2006/relationships/hyperlink" Target="mailto:PromiseNeighborhoods@ed.gov" TargetMode="External" /><Relationship Id="rId53" Type="http://schemas.openxmlformats.org/officeDocument/2006/relationships/numbering" Target="numbering.xml" /><Relationship Id="rId54"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2N-1R50-006W-80B1-00000-00&amp;context=" TargetMode="External" /><Relationship Id="rId8" Type="http://schemas.openxmlformats.org/officeDocument/2006/relationships/hyperlink" Target="https://www2.ed.gov/programs/promiseneighborhoods/pndataguidance.pdf"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24695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71556451</vt:lpwstr>
  </property>
  <property fmtid="{D5CDD505-2E9C-101B-9397-08002B2CF9AE}" pid="3" name="LADocCount">
    <vt:lpwstr>1</vt:lpwstr>
  </property>
  <property fmtid="{D5CDD505-2E9C-101B-9397-08002B2CF9AE}" pid="4" name="UserPermID">
    <vt:lpwstr>urn:user:PA185916758</vt:lpwstr>
  </property>
</Properties>
</file>