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35445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145, Monday, July 31,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35445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July 31,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Definitions and Selection Criteria That Apply to Direct Grant Programs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with request for comments.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 ED-2017-OII-0032]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1855-AA13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Parts 75 and 77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is issuing this rule in order to better align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definition of "evidence-based" in the statutory authority. These changes mean that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in the Department can continue to use the same provisions for evidence-based grant-making.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As noted above,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July 31, 2017. However, for grant award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announced by the Department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prior to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unless the notice specifies otherwise, the provisions of 34 CFR parts 75 and 77 revised or removed through this notice of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apply to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and grants awarded under those notices inviting applications.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Invitation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establish substantive policy changes, but instead make technical changes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only technical changes, a comment period is not required. However, we are interested in whether you think we should make any changes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thus we are inviting your comments. We will consider these comments in determining whether to make further technical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engage in additional rulemaking. To ensure that your comments have maximum effect, we urge you to identify clearly the specific section or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each of your comments addresses and to arrange your comments in the same order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for instructions on how to submit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you to assist us in complying with the specific requirements of Executive Orders 12866 and 13563 and their overall requirements of reducing regulatory burden that might result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Please let us know of any additional ways we could reduce potential costs or increase potential benefits while preserving the effective and efficient administration of the Department's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and after the comment period, you may inspect all public comments about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accessing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You may also inspect the comments in person in Room 6W245, 400 Maryland Avenue SW., Washington, DC, between the hours of 8:30 a.m. and 4:00 p.m., Eastern time, Monday through Friday of each week except Federal holidays. If you want to schedule time to inspect comments,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Assistance to Individuals with Disabilities in Reviewing the Rulemaking Record:</w:t>
      </w:r>
      <w:r>
        <w:rPr>
          <w:rFonts w:ascii="arial" w:eastAsia="arial" w:hAnsi="arial" w:cs="arial"/>
          <w:b w:val="0"/>
          <w:i w:val="0"/>
          <w:strike w:val="0"/>
          <w:noProof w:val="0"/>
          <w:color w:val="000000"/>
          <w:position w:val="0"/>
          <w:sz w:val="20"/>
          <w:u w:val="none"/>
          <w:vertAlign w:val="baseline"/>
        </w:rPr>
        <w:t xml:space="preserve"> On request, we will provide an appropriate accommodation or auxiliary aid to an individual with a disability who needs assistance to review the comments or other documents in the public rulemaking record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you want to schedule an appointment for this type of aid,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Regulatory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Selection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D of 34 CFR part 75 set forth the general requirements that govern the Department's selection of grantees for direct grant awards. For those direct grant programs that make discretionary grant awards, the Secretary uses selection criteria to evaluate applications submitted under those programs.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a </w:t>
      </w:r>
      <w:r>
        <w:rPr>
          <w:rFonts w:ascii="arial" w:eastAsia="arial" w:hAnsi="arial" w:cs="arial"/>
          <w:b/>
          <w:i w:val="0"/>
          <w:strike w:val="0"/>
          <w:noProof w:val="0"/>
          <w:color w:val="000000"/>
          <w:position w:val="0"/>
          <w:sz w:val="20"/>
          <w:u w:val="none"/>
          <w:vertAlign w:val="baseline"/>
        </w:rPr>
        <w:t> [*35446] </w:t>
      </w:r>
      <w:r>
        <w:rPr>
          <w:rFonts w:ascii="arial" w:eastAsia="arial" w:hAnsi="arial" w:cs="arial"/>
          <w:b w:val="0"/>
          <w:i w:val="0"/>
          <w:strike w:val="0"/>
          <w:noProof w:val="0"/>
          <w:color w:val="000000"/>
          <w:position w:val="0"/>
          <w:sz w:val="20"/>
          <w:u w:val="none"/>
          <w:vertAlign w:val="baseline"/>
        </w:rPr>
        <w:t xml:space="preserve"> menu of selection criteria that the Secretary may use in any Department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34 CFR Part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75.210 General Selection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Current § 75.210(c) lists 29 factors under the "Quality of the Project Design" selection criterion. Section 75.210(h) includes 12 factors under the "Quality of the Project Evaluation" selection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Reasons:</w:t>
      </w:r>
      <w:r>
        <w:rPr>
          <w:rFonts w:ascii="arial" w:eastAsia="arial" w:hAnsi="arial" w:cs="arial"/>
          <w:b w:val="0"/>
          <w:i w:val="0"/>
          <w:strike w:val="0"/>
          <w:noProof w:val="0"/>
          <w:color w:val="000000"/>
          <w:position w:val="0"/>
          <w:sz w:val="20"/>
          <w:u w:val="none"/>
          <w:vertAlign w:val="baseline"/>
        </w:rPr>
        <w:t xml:space="preserve"> We make the following changes to the selection criteria in § 75.210(c) and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Add one selection factor under the "Quality of the Project Design" criterion (§ 75.210(c)) to clarify that the Department may assess the extent to which an applicant's proposed project would represent a faithful adaptation of the evidence cited in support of its project. This factor is designed to assess whether projects would in fact implement the evidence cited as support, such that the project is "evidence-based" as described in section 8101(21)(A) of the Elementary and Secondary Education Act (ESEA), as amended by the Every Student Succeeds Act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clarification, add two selection factors under the "Quality of the Project Evaluation" criterion (§ 75.210(h)) focused on (a) the qualifications of an applicant's evaluator; and (b) the sufficiency of resources to carry out the project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revise two factors under the "Quality of the Project Design" criterion (§ 75.210(c)) and four factors under the "Quality of the Project Evaluation" criterion (§ 75.210(h)) to align terminology with the revised evidence definitions in 34 CFR part 77. Specifically,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Replace references to "evidence of promise" and "strong theory" with "promising evidence" and "demonstrates a rationale,"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Align terminology with the revised definitions in </w:t>
      </w:r>
      <w:hyperlink r:id="rId8"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to include the term "project component" and clarify that the What Works Clearinghouse standards are described in the What Works Clearinghouse Handbook.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making these revisions to improve the menu of selection criteria and factors by better aligning them to the evidence-related definitions in 34 CFR part 77. We make these revisions in conjunction with the amendments to the definitions in 34 CFR part 77, which, as discussed elsewhere in this document, we also revise to align with the evidence provisions in section 8101(21) of the ESEA, as amended by the ESSA, and for clarity.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change the way the Secretary uses the current and new selection criteria and factors. The Secretary will continue to use selection criteria that are consistent with the purpose of the program and permitted under the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Evidence Preferences and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75.226 What procedures does the Secretary use if the Secretary decides to give special consideration to applications supported by strong evidence of effectiveness, moderate evidence of effectiveness, or evidence of promise?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 75.226, the Secretary may establish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absolute priority for projects supported by strong evidence of effectiveness, moderate evidence of effectiveness, or evidence of promise, as those terms are currently defined in 34 CFR part 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Reasons:</w:t>
      </w:r>
      <w:r>
        <w:rPr>
          <w:rFonts w:ascii="arial" w:eastAsia="arial" w:hAnsi="arial" w:cs="arial"/>
          <w:b w:val="0"/>
          <w:i w:val="0"/>
          <w:strike w:val="0"/>
          <w:noProof w:val="0"/>
          <w:color w:val="000000"/>
          <w:position w:val="0"/>
          <w:sz w:val="20"/>
          <w:u w:val="none"/>
          <w:vertAlign w:val="baseline"/>
        </w:rPr>
        <w:t xml:space="preserve"> The Secretary makes technical revisions to the title and text of this section to describe procedures for giving special consideration to applications supported by strong, moderate, or promising evidence, which are the evidence-related terms used in the ESEA. We include definitions for these terms elsewhere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technical changes ensure that discretionary grant programs authorized by the ESEA, as amended by the ESSA, can establish evidence-based priorities under § 75.226 and allow the Department the option to use one set of uniform evidence standards for all discretionary grant programs across each program's authorizing statute.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Evidence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Section 77.1(c) establishes definitions that, unless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otherwise, apply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can be used in Department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This section includes a number of definitions that support the Department's use of evidence in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The ESSA amended the ESEA to include a new definition of "evidence-based" that necessitates changes to these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34 CFR Part 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77.1 Definitions That Apply to All Department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77.1(c) establishes definitions that, unless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otherwise, apply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can be used in Department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Reasons:</w:t>
      </w:r>
      <w:r>
        <w:rPr>
          <w:rFonts w:ascii="arial" w:eastAsia="arial" w:hAnsi="arial" w:cs="arial"/>
          <w:b w:val="0"/>
          <w:i w:val="0"/>
          <w:strike w:val="0"/>
          <w:noProof w:val="0"/>
          <w:color w:val="000000"/>
          <w:position w:val="0"/>
          <w:sz w:val="20"/>
          <w:u w:val="none"/>
          <w:vertAlign w:val="baseline"/>
        </w:rPr>
        <w:t xml:space="preserve"> We establish new, and revise some existing, definitions to (1) ensure alignment with provision in the ESEA, as amended by the ESSA, providing a single set of evidence definitions; and (2) make minor clarifying revisions to existing provisions.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Add a definition of "evidence-based" that incorporates the four levels of evidence in section 8101(21)(A)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Add a definition for "project component" as a single, clarifying term for what may be included in a project. The term clarifies that "policy" may be one component of a project; encompasses "an activity, strategy, or intervention," to be consistent with the definition of "evidence-based" in section 8101(21) of the ESEA, as amended by the ESSA; and includes "process," "product," and "practice," which were in the evidence definitions in </w:t>
      </w:r>
      <w:hyperlink r:id="rId8"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strong evidence of effectiveness) prior 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Remove the definitions of "large sample" and "multi-site sample" and instead incorporate them into the new "moderate evidence" and "strong evidence" definitions, to streamline these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Replace the term "strong theory" with the term "demonstrates a rationale," as this is the fourth level of evidence in the definition of "evidence-based" in section 8101(21)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Replace the term "evidence of promise" with the term "promising evidence," to align with the definition of "evidence-based" in section 8101(21) of the ESEA, as amended by the ESSA. In the definition of "promising evidence," we clarify--</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practice guides and intervention reports prepared by the What Works Clearinghouse (WWC), in alignment with the WWC standards incorporated in the definition, can provide promising evidence;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Department already reviews single studies to determine whether they qualify under this level of evidence;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certain quasi-experimental studies and experimental studies that do not meet WWC standards can qualify as promising evidence, as the previous "evidence of promise" definition implied.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correlational studies with statistical controls for selection bias must be well-designed and well-implemented to qualify as promising </w:t>
      </w:r>
      <w:r>
        <w:rPr>
          <w:rFonts w:ascii="arial" w:eastAsia="arial" w:hAnsi="arial" w:cs="arial"/>
          <w:b/>
          <w:i w:val="0"/>
          <w:strike w:val="0"/>
          <w:noProof w:val="0"/>
          <w:color w:val="000000"/>
          <w:position w:val="0"/>
          <w:sz w:val="20"/>
          <w:u w:val="none"/>
          <w:vertAlign w:val="baseline"/>
        </w:rPr>
        <w:t> [*35447] </w:t>
      </w:r>
      <w:r>
        <w:rPr>
          <w:rFonts w:ascii="arial" w:eastAsia="arial" w:hAnsi="arial" w:cs="arial"/>
          <w:b w:val="0"/>
          <w:i w:val="0"/>
          <w:strike w:val="0"/>
          <w:noProof w:val="0"/>
          <w:color w:val="000000"/>
          <w:position w:val="0"/>
          <w:sz w:val="20"/>
          <w:u w:val="none"/>
          <w:vertAlign w:val="baseline"/>
        </w:rPr>
        <w:t xml:space="preserve"> evidence, as the ESEA, as amended by the ESSA,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Replace the term "moderate evidence of effectiveness" with the term "moderate evidence," which is used in the ESEA definition of "evidence-based." In the definition of "moderate evidence," we clarify--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practice guides and intervention reports prepared by the WWC, in alignment with the WWC standards incorporated in the definition, can provide moderate evidence;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Department already reviews single studies to determine whether they qualify under this level of evidence;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language regarding "relevant findings," that there must be a link between the proposed activities, strategies, and interventions and specific statistically significant effects, as required under the definition of "evidence-based" in section 8101(21)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Replace the term "randomized controlled trial" with the term "experimental study," to align with the definition of "evidence-based," in section 8101(21) specifically with regard to "strong evidence." In this new definition of "strong evidence," we clarify the types of studies that can qualify as experimental studies--including, but not limited to, randomized controlled trials--as provided in the applicable WWC Handbook.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Replace the term "strong evidence of effectiveness" with the term "strong evidence," which is used in the definition of "evidence-based" in section 8101(21) of the ESEA, as amended by the ESSA. In the definition of "strong evidence," we clarify--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practice guides and intervention reports prepared by the WWC, in alignment with the WWC standards incorporated in the definition, can provide promising evidence under the definition of "evidence-based" in section 8101(21) of the ESEA, as amended by the ESSA;</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Department already reviews single studies to determine whether they qualify under this level of evidence;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language regarding "relevant findings," that there must be a link between the proposed activities, strategies, and interventions and specific statistically significant effects, as required under the definition of "evidence-based" in section 8101(21) of the ESEA, as amended by the ESSA.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Replace the term "What Works Clearinghouse Evidence Standards" with the term "What Works Clearinghouse Handbook," to clarify that the Handbook's procedures--not just standards--are relevant to evidence determinations, consistent with current practice. We also incorporate this Handbook, which provides a detailed description of the standards and procedures of the WWC, by reference. The WWC is an initiative of the U.S. Department of Education's National Center for Education Evaluation and Regional Assistance, within the Institute of Education Sciences (IES), which was established under the Education Sciences Reform Act of 2002. The WWC is an important part of IES's strategy to use rigorous and relevant research, evaluation, and statistics to inform decisions in the field of education. The WWC provides critical assessments of scientific evidence on the effectiveness of education programs, policies, products, and practices (referred to as "interventions") and a range of publications and tools summarizing this evidence. The WWC meets the need for credible, succinct information by reviewing research studies; assessing the quality of the research; summarizing the evidence of the effectiveness of programs, policies, products, and practices on student outcomes and other outcomes related to education; and disseminating its findings broadly. This Handbook is available to interested parties at the Web site address included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https://ies.ed.gov/ncee/wwc/Handbooks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Make minor clarifying changes to the definition of "logic model" so it is more easily 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Make minor clarifying changes to the definition of "quasi-experimental design study" to align with terminology in the revised § 77.1(c).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Make minor clarifying changes to the definition of "relevant outcome" to align with terminology in the revised § 77.1(c).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Waiver of Proposed Rulemaking and Delayed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technical changes only and do not establish substantive policy.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therefore exempt from notice and comment rulemaking under </w:t>
      </w:r>
      <w:r>
        <w:rPr>
          <w:rFonts w:ascii="arial" w:eastAsia="arial" w:hAnsi="arial" w:cs="arial"/>
          <w:b w:val="0"/>
          <w:i/>
          <w:strike w:val="0"/>
          <w:noProof w:val="0"/>
          <w:color w:val="000000"/>
          <w:position w:val="0"/>
          <w:sz w:val="20"/>
          <w:u w:val="none"/>
          <w:vertAlign w:val="baseline"/>
        </w:rPr>
        <w:t>5 U.S.C. 553(b)(3)(B)</w:t>
      </w:r>
      <w:r>
        <w:rPr>
          <w:rFonts w:ascii="arial" w:eastAsia="arial" w:hAnsi="arial" w:cs="arial"/>
          <w:b w:val="0"/>
          <w:i w:val="0"/>
          <w:strike w:val="0"/>
          <w:noProof w:val="0"/>
          <w:color w:val="000000"/>
          <w:position w:val="0"/>
          <w:sz w:val="20"/>
          <w:u w:val="none"/>
          <w:vertAlign w:val="baseline"/>
        </w:rPr>
        <w:t>. However, the Department is providing a 30-day comment period and invites interested persons to participate in this rulemaking by submitting written comments. The Department will consider the comments received and may conduct additional rulemaking based on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APA also generally requires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published at least 30 days before their effective date, unless the agency has good cause to implement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sooner (</w:t>
      </w:r>
      <w:r>
        <w:rPr>
          <w:rFonts w:ascii="arial" w:eastAsia="arial" w:hAnsi="arial" w:cs="arial"/>
          <w:b w:val="0"/>
          <w:i/>
          <w:strike w:val="0"/>
          <w:noProof w:val="0"/>
          <w:color w:val="000000"/>
          <w:position w:val="0"/>
          <w:sz w:val="20"/>
          <w:u w:val="none"/>
          <w:vertAlign w:val="baseline"/>
        </w:rPr>
        <w:t>5 U.S.C. 553(d)(3)</w:t>
      </w:r>
      <w:r>
        <w:rPr>
          <w:rFonts w:ascii="arial" w:eastAsia="arial" w:hAnsi="arial" w:cs="arial"/>
          <w:b w:val="0"/>
          <w:i w:val="0"/>
          <w:strike w:val="0"/>
          <w:noProof w:val="0"/>
          <w:color w:val="000000"/>
          <w:position w:val="0"/>
          <w:sz w:val="20"/>
          <w:u w:val="none"/>
          <w:vertAlign w:val="baseline"/>
        </w:rPr>
        <w:t xml:space="preserve">). Again, because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merely technical, there is good cause to make them effective on the day they are published.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13563, and 13771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action is not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13771, for each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Department proposes for notice and comment or otherwise promulgates that is a significant regulatory action under Executive Order 12866, it must identify two deregulatory actions. For Fiscal Year 2017, any new incremental costs associated with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fully offset by the elimination of existing costs through deregulatory actions.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a significant regulatory action. Therefore, the requirements of Executive Order 13771 do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w:t>
      </w:r>
      <w:r>
        <w:rPr>
          <w:rFonts w:ascii="arial" w:eastAsia="arial" w:hAnsi="arial" w:cs="arial"/>
          <w:b/>
          <w:i w:val="0"/>
          <w:strike w:val="0"/>
          <w:noProof w:val="0"/>
          <w:color w:val="000000"/>
          <w:position w:val="0"/>
          <w:sz w:val="20"/>
          <w:u w:val="none"/>
          <w:vertAlign w:val="baseline"/>
        </w:rPr>
        <w:t> [*35448] </w:t>
      </w:r>
      <w:r>
        <w:rPr>
          <w:rFonts w:ascii="arial" w:eastAsia="arial" w:hAnsi="arial" w:cs="arial"/>
          <w:b w:val="0"/>
          <w:i w:val="0"/>
          <w:strike w:val="0"/>
          <w:noProof w:val="0"/>
          <w:color w:val="000000"/>
          <w:position w:val="0"/>
          <w:sz w:val="20"/>
          <w:u w:val="none"/>
          <w:vertAlign w:val="baseline"/>
        </w:rPr>
        <w:t xml:space="preserve">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justify their costs. In choosing among alternative regulatory approaches, we selected those approaches that maximize net benefits. Based on an analysis of anticipated costs and benefits, the Department believes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does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12866, we have assessed the potential costs and benefits of this regulatory action and have determined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impose additional costs. We believe any additional costs imposed by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negligible, primarily because they reflect technical changes which do not impose additional burden. Moreover, we believe any costs will be significantly outweighed by the potential benefits of making necessary clarifications and ensuring consistency among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section 8101(21) of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Clarity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and the Presidential memorandum "Plain Language in Government Writing" require each agency to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easy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invites comments on how to make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including answers to questions such as the following:</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 requirements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stated?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technical terms or other wording that interferes with their clarity?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the format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(grouping and order of sections, use of headings, paragraphing, etc.) aid or reduce their clarity?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easier to understand if we divided them into more (but shorter) sections? (A "section" is preceded by the symbol " § " and a numbered heading; for example, § 75.210.)</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Could the description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preamble be more helpful in making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If so, how?</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else could we do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send any comments that concern how the Department could make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see the instructions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certifies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does not require you to respond to a collection of information unless it displays a valid OMB control number. We display the valid OMB control number assigned to a collection of information in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end of the affected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10"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1"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75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Accounting, Copyright, Education, Grant programs--education, Inventions and patents, Private schools, Reporting and recordkeeping requirements, Youth organizations.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77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Education, Grant programs--education, Incorporation by reference.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25,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Betsy DeVos,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Secretary amends parts 75 and 77 of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7"/>
        </w:numPr>
        <w:spacing w:before="120" w:line="240" w:lineRule="atLeast"/>
      </w:pPr>
      <w:r>
        <w:rPr>
          <w:b/>
          <w:i w:val="0"/>
          <w:sz w:val="20"/>
        </w:rPr>
        <w: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75.210 is amended by:</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(c)(2)(xxviii) and (xxix);</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(c)(2)(xxx);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(h)(2)(viii) through (xii);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(h)(2)(xiii).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revisions and addition read as follows: </w:t>
      </w:r>
      <w:r>
        <w:rPr>
          <w:rFonts w:ascii="arial" w:eastAsia="arial" w:hAnsi="arial" w:cs="arial"/>
          <w:b/>
          <w:i w:val="0"/>
          <w:strike w:val="0"/>
          <w:noProof w:val="0"/>
          <w:color w:val="000000"/>
          <w:position w:val="0"/>
          <w:sz w:val="20"/>
          <w:u w:val="none"/>
          <w:vertAlign w:val="baseline"/>
        </w:rPr>
        <w:t> [*35449] </w:t>
      </w:r>
    </w:p>
    <w:p>
      <w:pPr>
        <w:numPr>
          <w:numId w:val="20"/>
        </w:numPr>
        <w:spacing w:before="120" w:line="240" w:lineRule="atLeast"/>
      </w:pPr>
      <w:r>
        <w:rPr>
          <w:b/>
          <w:i w:val="0"/>
          <w:sz w:val="20"/>
        </w:rPr>
        <w:t>teria.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extent to which the proposed project is supported by promising evidence (as defined in </w:t>
      </w:r>
      <w:hyperlink r:id="rId8"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extent to which the proposed project demonstrates a rationale (as defined in </w:t>
      </w:r>
      <w:hyperlink r:id="rId8"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proposed project represents a faithful adaptation of the evidence cited in support of the proposed project.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extent to which the methods of evaluation will, if well implemented, produce evidence about the project's effectiveness that would meet the What Works Clearinghouse standards without reservations as described in the What Works Clearinghouse Handbook (as defined in </w:t>
      </w:r>
      <w:hyperlink r:id="rId8"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extent to which the methods of evaluation will, if well implemented, produce evidence about the project's effectiveness that would meet the What Works Clearinghouse standards with or without reservations as described in the What Works Clearinghouse Handbook (as defined in </w:t>
      </w:r>
      <w:hyperlink r:id="rId8"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extent to which the methods of evaluation will, if well implemented, produce promising evidence (as defined in </w:t>
      </w:r>
      <w:hyperlink r:id="rId8"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about the project's effectiveness.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evaluation plan clearly articulates the key project components, mediators, and outcomes, as well as a measurable threshold for acceptable implementation.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qualifications, including relevant training, experience, and independence, of the evaluator.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the proposed project plan includes sufficient resources to conduct the project evaluation effectively.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75.226 to read as follows:</w:t>
      </w:r>
    </w:p>
    <w:p>
      <w:pPr>
        <w:numPr>
          <w:numId w:val="33"/>
        </w:numPr>
        <w:spacing w:before="120" w:line="240" w:lineRule="atLeast"/>
      </w:pPr>
      <w:r>
        <w:rPr>
          <w:b/>
          <w:i w:val="0"/>
          <w:sz w:val="20"/>
        </w:rPr>
        <w:t>the Secretary use if the Secretary decides to give special consideration to applications supported by strong, moderate, or promising evidence?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used in this section, "strong evidence" is defined in </w:t>
      </w:r>
      <w:hyperlink r:id="rId8"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used in this section, "moderate evidence" is defined in </w:t>
      </w:r>
      <w:hyperlink r:id="rId8"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used in this section, "promising evidence" is defined in </w:t>
      </w:r>
      <w:hyperlink r:id="rId8"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Secretary determines that special consideration of applications supported by strong, moderate, or promising evidence is appropriate, the Secretary may establish a separate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the procedures in </w:t>
      </w:r>
      <w:hyperlink r:id="rId14"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or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under the procedures in </w:t>
      </w:r>
      <w:hyperlink r:id="rId14" w:history="1">
        <w:r>
          <w:rPr>
            <w:rFonts w:ascii="arial" w:eastAsia="arial" w:hAnsi="arial" w:cs="arial"/>
            <w:b w:val="0"/>
            <w:i/>
            <w:strike w:val="0"/>
            <w:noProof w:val="0"/>
            <w:color w:val="0077CC"/>
            <w:position w:val="0"/>
            <w:sz w:val="20"/>
            <w:u w:val="single"/>
            <w:vertAlign w:val="baseline"/>
          </w:rPr>
          <w:t>34 CFR 75.105(c)(2)</w:t>
        </w:r>
      </w:hyperlink>
      <w:r>
        <w:rPr>
          <w:rFonts w:ascii="arial" w:eastAsia="arial" w:hAnsi="arial" w:cs="arial"/>
          <w:b w:val="0"/>
          <w:i w:val="0"/>
          <w:strike w:val="0"/>
          <w:noProof w:val="0"/>
          <w:color w:val="000000"/>
          <w:position w:val="0"/>
          <w:sz w:val="20"/>
          <w:u w:val="none"/>
          <w:vertAlign w:val="baseline"/>
        </w:rPr>
        <w:t>, for applications supported by--</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meets the conditions in the definition of "strong evidence";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meets the conditions in the definition of "moderate evidence"; or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meets the conditions in the definition of "promising evidence."</w:t>
      </w:r>
    </w:p>
    <w:p>
      <w:pPr>
        <w:numPr>
          <w:numId w:val="36"/>
        </w:numPr>
        <w:spacing w:before="120" w:line="240" w:lineRule="atLeast"/>
      </w:pPr>
      <w:r>
        <w:rPr>
          <w:b/>
          <w:i/>
          <w:sz w:val="20"/>
        </w:rPr>
        <w:t>LY TO DEPARTMENT REGULATIONS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77.1(c) is amended by:</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a definition for "Demonstrates a rationale".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definition of "Evidence of promise".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definitions for "Evidence-based" and "Experimental study".</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definition of "Large sample".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"Logic model".</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a definition for "Moderate evidence".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definitions of "Moderate evidence of effectiveness" and "Multi-site sample".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definitions for "Project component" and "Promising evidence".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"Quasi-experimental design study" and "Relevant outcome".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a definition for "Strong evidence".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definitions of "Strong evidence of effectiveness", "Strong theory", and "What Works Clearinghouse Evidence Standards".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a definition for "What Works Clearinghouse Handbook".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39"/>
        </w:numPr>
        <w:spacing w:before="120" w:line="240" w:lineRule="atLeast"/>
      </w:pPr>
      <w:r>
        <w:rPr>
          <w:b/>
          <w:i w:val="0"/>
          <w:sz w:val="20"/>
        </w:rPr>
        <w:t>to all Department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Demonstrates a rationale</w:t>
      </w:r>
      <w:r>
        <w:rPr>
          <w:rFonts w:ascii="arial" w:eastAsia="arial" w:hAnsi="arial" w:cs="arial"/>
          <w:b w:val="0"/>
          <w:i w:val="0"/>
          <w:strike w:val="0"/>
          <w:noProof w:val="0"/>
          <w:color w:val="000000"/>
          <w:position w:val="0"/>
          <w:sz w:val="20"/>
          <w:u w:val="none"/>
          <w:vertAlign w:val="baseline"/>
        </w:rPr>
        <w:t xml:space="preserve"> means a key project component included in the project's logic model is informed by research or evaluation findings that suggest the project component is likely to improve relevant outcomes.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Evidence-based</w:t>
      </w:r>
      <w:r>
        <w:rPr>
          <w:rFonts w:ascii="arial" w:eastAsia="arial" w:hAnsi="arial" w:cs="arial"/>
          <w:b w:val="0"/>
          <w:i w:val="0"/>
          <w:strike w:val="0"/>
          <w:noProof w:val="0"/>
          <w:color w:val="000000"/>
          <w:position w:val="0"/>
          <w:sz w:val="20"/>
          <w:u w:val="none"/>
          <w:vertAlign w:val="baseline"/>
        </w:rPr>
        <w:t xml:space="preserve"> means the proposed project component is supported by one or more of strong evidence, moderate evidence, promising evidence, or evidence that demonstrates a rationale.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Experimental study</w:t>
      </w:r>
      <w:r>
        <w:rPr>
          <w:rFonts w:ascii="arial" w:eastAsia="arial" w:hAnsi="arial" w:cs="arial"/>
          <w:b w:val="0"/>
          <w:i w:val="0"/>
          <w:strike w:val="0"/>
          <w:noProof w:val="0"/>
          <w:color w:val="000000"/>
          <w:position w:val="0"/>
          <w:sz w:val="20"/>
          <w:u w:val="none"/>
          <w:vertAlign w:val="baseline"/>
        </w:rPr>
        <w:t xml:space="preserve"> means a study that is designed to compare outcomes between two groups of individuals (such as students) that are otherwise equivalent except for their assignment to either a treatment group receiving a project component or a control group that does not. Randomized controlled trials, regression discontinuity design studies, and single-case design studies are the specific types of experimental studies that, depending on their design and implementation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sample attrition in randomized controlled trials and regression discontinuity design studies), can meet What Works Clearinghouse (WWC) standards without reservations as described in the WWC Handbook:</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randomized controlled trial employs random assignment of, for example, students, teachers, classrooms, or schools to receive the project component being evaluated (the treatment group) or not to receive the project component (the control group).</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regression discontinuity design study assigns the project component being evaluated using a measured variable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assigning students reading below a cutoff score to tutoring or developmental education classes) and controls for that variable in the analysis of outcomes.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single-case design study uses observations of a single case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student eligible for a behavioral intervention) over time in the absence and presence of a controlled treatment manipulation to determine whether the outcome is systematically related to the treatment.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a theory of action) means a framework that identifies key project components of the proposed project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theoretical and operational relationships among the key project components and relevant outcomes.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Moderate evidence</w:t>
      </w:r>
      <w:r>
        <w:rPr>
          <w:rFonts w:ascii="arial" w:eastAsia="arial" w:hAnsi="arial" w:cs="arial"/>
          <w:b w:val="0"/>
          <w:i w:val="0"/>
          <w:strike w:val="0"/>
          <w:noProof w:val="0"/>
          <w:color w:val="000000"/>
          <w:position w:val="0"/>
          <w:sz w:val="20"/>
          <w:u w:val="none"/>
          <w:vertAlign w:val="baseline"/>
        </w:rPr>
        <w:t xml:space="preserve"> means that there is evidence of effectiveness of a key project component in improving a relevant outcome for a sample that overlaps with the populations or settings proposed to receive that component, based on a relevant finding from one of the following: </w:t>
      </w:r>
      <w:r>
        <w:rPr>
          <w:rFonts w:ascii="arial" w:eastAsia="arial" w:hAnsi="arial" w:cs="arial"/>
          <w:b/>
          <w:i w:val="0"/>
          <w:strike w:val="0"/>
          <w:noProof w:val="0"/>
          <w:color w:val="000000"/>
          <w:position w:val="0"/>
          <w:sz w:val="20"/>
          <w:u w:val="none"/>
          <w:vertAlign w:val="baseline"/>
        </w:rPr>
        <w:t> [*35450]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practice guide prepared by the WWC using version 2.1 or 3.0 of the WWC Handbook reporting a "strong evidence base" or "moderate evidence base" for the corresponding practice guide recommendation;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intervention report prepared by the WWC using version 2.1 or 3.0 of the WWC Handbook reporting a "positive effect" or "potentially positive effect" on a relevant outcome based on a "medium to large" extent of evidence, with no reporting of a "negative effect" or "potentially negative effect" on a relevant outcome; or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experimental study or quasi-experimental design study reviewed and reported by the WWC using version 2.1 or 3.0 of the WWC Handbook, or otherwise assessed by the Department using version 3.0 of the WWC Handbook, as appropriate, and that--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WWC standards with or without reservations;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at least one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on a relevant outcome;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no overriding statistically significant and negative effects on relevant outcomes reported in the study or in a corresponding WWC intervention report prepared under version 2.1 or 3.0 of the WWC Handbook;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based on a sample from more than one site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county, city, school district, or postsecondary campus) and includes at least 350 students or other individuals across sites. Multiple studies of the same project component that each meet requirements in paragraphs (iii)(A), (B), and (C) of this definition may together satisfy this requirement.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Project component</w:t>
      </w:r>
      <w:r>
        <w:rPr>
          <w:rFonts w:ascii="arial" w:eastAsia="arial" w:hAnsi="arial" w:cs="arial"/>
          <w:b w:val="0"/>
          <w:i w:val="0"/>
          <w:strike w:val="0"/>
          <w:noProof w:val="0"/>
          <w:color w:val="000000"/>
          <w:position w:val="0"/>
          <w:sz w:val="20"/>
          <w:u w:val="none"/>
          <w:vertAlign w:val="baseline"/>
        </w:rPr>
        <w:t xml:space="preserve"> means an activity, strategy, intervention, process, product, practice, or policy included in a project. Evidence may pertain to an individual project component or to a combination of project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training teachers on instructional practices for English learners and follow-on coaching for these teachers).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Promising evidence</w:t>
      </w:r>
      <w:r>
        <w:rPr>
          <w:rFonts w:ascii="arial" w:eastAsia="arial" w:hAnsi="arial" w:cs="arial"/>
          <w:b w:val="0"/>
          <w:i w:val="0"/>
          <w:strike w:val="0"/>
          <w:noProof w:val="0"/>
          <w:color w:val="000000"/>
          <w:position w:val="0"/>
          <w:sz w:val="20"/>
          <w:u w:val="none"/>
          <w:vertAlign w:val="baseline"/>
        </w:rPr>
        <w:t xml:space="preserve"> means that there is evidence of the effectiveness of a key project component in improving a relevant outcome, based on a relevant finding from one of the following:</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practice guide prepared by WWC reporting a "strong evidence base" or "moderate evidence base" for the corresponding practice guide recommendation;</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intervention report prepared by the WWC reporting a "positive effect" or "potentially positive effect" on a relevant outcome with no reporting of a "negative effect" or "potentially negative effect" on a relevant outcome; or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study assessed by the Department, as appropriate, that--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experimental study, a quasi-experimental design study, or a well-designed and well-implemented correlational study with statistical controls for selection bias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study using regression methods to account for differences between a treatment group and a comparison group);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at least one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on a relevant outcome.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study by identifying a comparison group that is similar to the treatment group in important respects. This type of study, depending on design and implementation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establishment of baseline equivalence of the groups being compared), can meet WWC standards with reservations, but cannot meet WWC standards without reservations, as described in the WWC Handbook.</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other outcome(s) the key project component is designed to improve, consistent with the specific goals of the program.</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Strong evidence</w:t>
      </w:r>
      <w:r>
        <w:rPr>
          <w:rFonts w:ascii="arial" w:eastAsia="arial" w:hAnsi="arial" w:cs="arial"/>
          <w:b w:val="0"/>
          <w:i w:val="0"/>
          <w:strike w:val="0"/>
          <w:noProof w:val="0"/>
          <w:color w:val="000000"/>
          <w:position w:val="0"/>
          <w:sz w:val="20"/>
          <w:u w:val="none"/>
          <w:vertAlign w:val="baseline"/>
        </w:rPr>
        <w:t xml:space="preserve"> means that there is evidence of the effectiveness of a key project component in improving a relevant outcome for a sample that overlaps with the populations and settings proposed to receive that component, based on a relevant finding from one of the following:</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practice guide prepared by the WWC using version 2.1 or 3.0 of the WWC Handbook reporting a "strong evidence base" for the corresponding practice guide recommendation;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intervention report prepared by the WWC using version 2.1 or 3.0 of the WWC Handbook reporting a "positive effect" on a relevant outcome based on a "medium to large" extent of evidence, with no reporting of a "negative effect" or "potentially negative effect" on a relevant outcome; or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experimental study reviewed and reported by the WWC using version 2.1 or 3.0 of the WWC Handbook, or otherwise assessed by the Department using version 3.0 of the WWC Handbook, as appropriate, and that--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WWC standards without reservations;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at least one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on a relevant outcome;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no overriding statistically significant and negative effects on relevant outcomes reported in the study or in a corresponding WWC intervention report prepared under version 2.1 or 3.0 of the WWC Handbook;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based on a sample from more than one site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county, city, school district, or postsecondary campus) and includes at least 350 students or other individuals across sites. Multiple studies of the same project component that each meet requirements in paragraphs (iii)(A), (B), and (C) of this definition may together satisfy this requirement.</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What Works Clearinghouse Handbook (WWC Handbook)</w:t>
      </w:r>
      <w:r>
        <w:rPr>
          <w:rFonts w:ascii="arial" w:eastAsia="arial" w:hAnsi="arial" w:cs="arial"/>
          <w:b w:val="0"/>
          <w:i w:val="0"/>
          <w:strike w:val="0"/>
          <w:noProof w:val="0"/>
          <w:color w:val="000000"/>
          <w:position w:val="0"/>
          <w:sz w:val="20"/>
          <w:u w:val="none"/>
          <w:vertAlign w:val="baseline"/>
        </w:rPr>
        <w:t xml:space="preserve"> means the standards and procedures set forth in the WWC Procedures and Standards Handbook, Version 3.0 or Version 2.1 (incorporated by reference, see 34 CFR 77.2). Study findings eligible for review under WWC standards can meet WWC standards without reservations, meet WWC standards with reservations, or not meet WWC standards. WWC practice guides and intervention reports include findings from systematic reviews of evidence as described in the Handbook documentation.</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77.2 is added to read as follows:</w:t>
      </w:r>
    </w:p>
    <w:p>
      <w:pPr>
        <w:numPr>
          <w:numId w:val="63"/>
        </w:numPr>
        <w:spacing w:before="120" w:line="240" w:lineRule="atLeast"/>
      </w:pPr>
      <w:r>
        <w:rPr>
          <w:b/>
          <w:i w:val="0"/>
          <w:sz w:val="20"/>
        </w:rPr>
        <w:t>nce.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Certain material is incorporated by reference into this part with the approval of the Director of the Federal Register under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All approved material is available for inspection at Institute of Education Sciences, National Center for Education Evaluation and Regional Assistance by email at </w:t>
      </w:r>
      <w:hyperlink r:id="rId15" w:history="1">
        <w:r>
          <w:rPr>
            <w:rFonts w:ascii="arial" w:eastAsia="arial" w:hAnsi="arial" w:cs="arial"/>
            <w:b w:val="0"/>
            <w:i/>
            <w:strike w:val="0"/>
            <w:noProof w:val="0"/>
            <w:color w:val="0077CC"/>
            <w:position w:val="0"/>
            <w:sz w:val="20"/>
            <w:u w:val="single"/>
            <w:vertAlign w:val="baseline"/>
          </w:rPr>
          <w:t>Contact.WWC@ed.gov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is available from the sources listed below. It is also available for inspection at the National Archives and Records Administration (NARA). For information on the availability of this material at NARA, call 202-741-6030 or go to </w:t>
      </w:r>
      <w:hyperlink r:id="rId16" w:history="1">
        <w:r>
          <w:rPr>
            <w:rFonts w:ascii="arial" w:eastAsia="arial" w:hAnsi="arial" w:cs="arial"/>
            <w:b w:val="0"/>
            <w:i/>
            <w:strike w:val="0"/>
            <w:noProof w:val="0"/>
            <w:color w:val="0077CC"/>
            <w:position w:val="0"/>
            <w:sz w:val="20"/>
            <w:u w:val="single"/>
            <w:vertAlign w:val="baseline"/>
          </w:rPr>
          <w:t>www.archives.gov/federal_register/code_of_federal_</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strike w:val="0"/>
          <w:noProof w:val="0"/>
          <w:color w:val="000000"/>
          <w:position w:val="0"/>
          <w:sz w:val="20"/>
          <w:u w:val="none"/>
          <w:vertAlign w:val="baseline"/>
        </w:rPr>
        <w: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Institute of Education Sciences, 550 12th Street SW., Washington, DC 20202, (202) 245-6940, </w:t>
      </w:r>
      <w:hyperlink r:id="rId17" w:history="1">
        <w:r>
          <w:rPr>
            <w:rFonts w:ascii="arial" w:eastAsia="arial" w:hAnsi="arial" w:cs="arial"/>
            <w:b w:val="0"/>
            <w:i/>
            <w:strike w:val="0"/>
            <w:noProof w:val="0"/>
            <w:color w:val="0077CC"/>
            <w:position w:val="0"/>
            <w:sz w:val="20"/>
            <w:u w:val="single"/>
            <w:vertAlign w:val="baseline"/>
          </w:rPr>
          <w:t>http://ies.ed.gov/ncee/wwc/Handbooks</w:t>
        </w:r>
      </w:hyperlink>
      <w:r>
        <w:rPr>
          <w:rFonts w:ascii="arial" w:eastAsia="arial" w:hAnsi="arial" w:cs="arial"/>
          <w:b w:val="0"/>
          <w:i/>
          <w:strike w:val="0"/>
          <w:noProof w:val="0"/>
          <w:color w:val="000000"/>
          <w:position w:val="0"/>
          <w:sz w:val="20"/>
          <w:u w:val="none"/>
          <w:vertAlign w:val="baseline"/>
        </w:rPr>
        <w: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Works Clearinghouse Procedures and Standards Handbook, </w:t>
      </w:r>
      <w:r>
        <w:rPr>
          <w:rFonts w:ascii="arial" w:eastAsia="arial" w:hAnsi="arial" w:cs="arial"/>
          <w:b/>
          <w:i w:val="0"/>
          <w:strike w:val="0"/>
          <w:noProof w:val="0"/>
          <w:color w:val="000000"/>
          <w:position w:val="0"/>
          <w:sz w:val="20"/>
          <w:u w:val="none"/>
          <w:vertAlign w:val="baseline"/>
        </w:rPr>
        <w:t> [*35451] </w:t>
      </w:r>
      <w:r>
        <w:rPr>
          <w:rFonts w:ascii="arial" w:eastAsia="arial" w:hAnsi="arial" w:cs="arial"/>
          <w:b w:val="0"/>
          <w:i w:val="0"/>
          <w:strike w:val="0"/>
          <w:noProof w:val="0"/>
          <w:color w:val="000000"/>
          <w:position w:val="0"/>
          <w:sz w:val="20"/>
          <w:u w:val="none"/>
          <w:vertAlign w:val="baseline"/>
        </w:rPr>
        <w:t xml:space="preserve"> Version 3.0, March 2014, IBR approved for § 77.1.</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Works Clearinghouse Procedures and Standards Handbook, Version 2.1, September 2011, IBR approved for § 77.1.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2017-15989 Filed 7-27-17;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July 31, 2017. The incorporation by reference of certain publications listed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approved by the Director of the Federal Register as of July 31,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due date:</w:t>
      </w:r>
      <w:r>
        <w:rPr>
          <w:rFonts w:ascii="arial" w:eastAsia="arial" w:hAnsi="arial" w:cs="arial"/>
          <w:b w:val="0"/>
          <w:i w:val="0"/>
          <w:strike w:val="0"/>
          <w:noProof w:val="0"/>
          <w:color w:val="000000"/>
          <w:position w:val="0"/>
          <w:sz w:val="20"/>
          <w:u w:val="none"/>
          <w:vertAlign w:val="baseline"/>
        </w:rPr>
        <w:t xml:space="preserve"> We will accept comments on or before August 30, 2017. We will consider the comments received and may conduct additional rulemaking based on the comments.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through the Federal eRulemaking Portal or via postal mail, commercial delivery, or hand delivery. We will not accept comments submitted by fax or by email or those submitted after the comment period. To ensure that we do not receive duplicate copies, please submit your comments only once. In addition, please include the Docket ID at the top of your comments.</w:t>
      </w:r>
    </w:p>
    <w:p>
      <w:pPr>
        <w:keepNext w:val="0"/>
        <w:numPr>
          <w:numId w:val="6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18" w:history="1">
        <w:r>
          <w:rPr>
            <w:rFonts w:ascii="arial" w:eastAsia="arial" w:hAnsi="arial" w:cs="arial"/>
            <w:b w:val="0"/>
            <w:i/>
            <w:strike w:val="0"/>
            <w:noProof w:val="0"/>
            <w:color w:val="0077CC"/>
            <w:position w:val="0"/>
            <w:sz w:val="20"/>
            <w:u w:val="single"/>
            <w:vertAlign w:val="baseline"/>
          </w:rPr>
          <w:t>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to submit your comments electronically. Information on 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including instructions for accessing agency documents, submitting comments, and viewing the docket, is available on the site under "How to use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w:t>
      </w:r>
    </w:p>
    <w:p>
      <w:pPr>
        <w:keepNext w:val="0"/>
        <w:numPr>
          <w:numId w:val="6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Postal Mail, Commercial Delivery, or Hand Delivery.</w:t>
      </w:r>
      <w:r>
        <w:rPr>
          <w:rFonts w:ascii="arial" w:eastAsia="arial" w:hAnsi="arial" w:cs="arial"/>
          <w:b w:val="0"/>
          <w:i w:val="0"/>
          <w:strike w:val="0"/>
          <w:noProof w:val="0"/>
          <w:color w:val="000000"/>
          <w:position w:val="0"/>
          <w:sz w:val="20"/>
          <w:u w:val="none"/>
          <w:vertAlign w:val="baseline"/>
        </w:rPr>
        <w:t xml:space="preserve"> If you mail or deliver your comments about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address them to Kelly Terpak, U.S. Department of Education, 400 Maryland Avenue SW., Room 4W312, Washington, DC 20202-5900.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Note:</w:t>
      </w:r>
      <w:r>
        <w:rPr>
          <w:rFonts w:ascii="arial" w:eastAsia="arial" w:hAnsi="arial" w:cs="arial"/>
          <w:b w:val="0"/>
          <w:i w:val="0"/>
          <w:strike w:val="0"/>
          <w:noProof w:val="0"/>
          <w:color w:val="000000"/>
          <w:position w:val="0"/>
          <w:sz w:val="20"/>
          <w:u w:val="none"/>
          <w:vertAlign w:val="baseline"/>
        </w:rPr>
        <w:t xml:space="preserve"> The Department's policy for comments received from members of the public is to make these submissions available for public viewing in their entirety on the Federal eRulemaking Portal at </w:t>
      </w:r>
      <w:hyperlink r:id="rId18" w:history="1">
        <w:r>
          <w:rPr>
            <w:rFonts w:ascii="arial" w:eastAsia="arial" w:hAnsi="arial" w:cs="arial"/>
            <w:b w:val="0"/>
            <w:i/>
            <w:strike w:val="0"/>
            <w:noProof w:val="0"/>
            <w:color w:val="0077CC"/>
            <w:position w:val="0"/>
            <w:sz w:val="20"/>
            <w:u w:val="single"/>
            <w:vertAlign w:val="baseline"/>
          </w:rPr>
          <w:t>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Therefore, commenters should be careful to include in their comments only information that they wish to make publicly available.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Kelly Terpak, U.S. Department of Education, 400 Maryland Avenue SW., Room 4W312, Washington, DC 20202-5900. Telephone: (202) 205-5231 or by email: </w:t>
      </w:r>
      <w:hyperlink r:id="rId19" w:history="1">
        <w:r>
          <w:rPr>
            <w:rFonts w:ascii="arial" w:eastAsia="arial" w:hAnsi="arial" w:cs="arial"/>
            <w:b w:val="0"/>
            <w:i/>
            <w:strike w:val="0"/>
            <w:noProof w:val="0"/>
            <w:color w:val="0077CC"/>
            <w:position w:val="0"/>
            <w:sz w:val="20"/>
            <w:u w:val="single"/>
            <w:vertAlign w:val="baseline"/>
          </w:rPr>
          <w:t>kelly.terpak@ed.gov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35445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PART 75-- DIRECT GRANT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75.210 General selection c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xx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xx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xx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75.226 What procedures do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PART 77-- DEFINITIONS THAT APP"/>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77.1 Definitions that appl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Roman"/>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A)"/>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C)"/>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D)"/>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77.2 Incorporation by Refe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po.gov/fdsys" TargetMode="External" /><Relationship Id="rId11" Type="http://schemas.openxmlformats.org/officeDocument/2006/relationships/hyperlink" Target="http://www.federalregister.gov" TargetMode="External" /><Relationship Id="rId12" Type="http://schemas.openxmlformats.org/officeDocument/2006/relationships/hyperlink" Target="https://advance.lexis.com/api/document?collection=statutes-legislation&amp;id=urn:contentItem:4YF7-GK31-NRF4-41GJ-00000-00&amp;context=" TargetMode="External" /><Relationship Id="rId13" Type="http://schemas.openxmlformats.org/officeDocument/2006/relationships/hyperlink" Target="https://advance.lexis.com/api/document?collection=statutes-legislation&amp;id=urn:contentItem:4YF7-GNP1-NRF4-4163-00000-00&amp;context=" TargetMode="External" /><Relationship Id="rId14" Type="http://schemas.openxmlformats.org/officeDocument/2006/relationships/hyperlink" Target="https://advance.lexis.com/api/document?collection=administrative-codes&amp;id=urn:contentItem:5GMB-DPB0-008H-02BK-00000-00&amp;context=" TargetMode="External" /><Relationship Id="rId15" Type="http://schemas.openxmlformats.org/officeDocument/2006/relationships/hyperlink" Target="mailto:Contact.WWC@ed.gov" TargetMode="External" /><Relationship Id="rId16" Type="http://schemas.openxmlformats.org/officeDocument/2006/relationships/hyperlink" Target="http://www.archives.gov/federal_register/code_of_federal_regulations/ibr_locations.html" TargetMode="External" /><Relationship Id="rId17" Type="http://schemas.openxmlformats.org/officeDocument/2006/relationships/hyperlink" Target="http://ies.ed.gov/ncee/wwc/Handbooks" TargetMode="External" /><Relationship Id="rId18" Type="http://schemas.openxmlformats.org/officeDocument/2006/relationships/hyperlink" Target="http://www.regulations.gov" TargetMode="External" /><Relationship Id="rId19" Type="http://schemas.openxmlformats.org/officeDocument/2006/relationships/hyperlink" Target="mailto:kelly.terpak@ed.gov" TargetMode="Externa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4R-J070-006W-8148-00000-00&amp;context=" TargetMode="External" /><Relationship Id="rId8" Type="http://schemas.openxmlformats.org/officeDocument/2006/relationships/hyperlink" Target="https://advance.lexis.com/api/document?collection=administrative-codes&amp;id=urn:contentItem:5S7T-7HV0-008H-03HM-00000-00&amp;context=" TargetMode="External" /><Relationship Id="rId9" Type="http://schemas.openxmlformats.org/officeDocument/2006/relationships/hyperlink" Target="https://ies.ed.gov/ncee/wwc/Handbook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33425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71343525</vt:lpwstr>
  </property>
  <property fmtid="{D5CDD505-2E9C-101B-9397-08002B2CF9AE}" pid="3" name="LADocCount">
    <vt:lpwstr>1</vt:lpwstr>
  </property>
  <property fmtid="{D5CDD505-2E9C-101B-9397-08002B2CF9AE}" pid="4" name="UserPermID">
    <vt:lpwstr>urn:user:PA185916758</vt:lpwstr>
  </property>
</Properties>
</file>