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45639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188, Friday, September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45639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Expand the Features of the Enterprise License Set Forth at Rule 7047</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34-81697; File No. SR-NASDAQ-2017-095]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12,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[*45640]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fees at Rule 7047 to expand the features of the enterprise license set forth at Rule 7047(b)(5).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fees at Rule 7047 to expand the features of the enterprise license set forth at Rule 7047(b)(5). The proposed changes will: (i) Allow distribution of Nasdaq Basic data to certain Professional Subscribers that are currently excluded from the license; and (ii) permit the distribution of NLS data along with Nasdaq Basic data without paying per user, per query, per visitor or per household fees. This proposal, which also includes technical and conforming changes, will increase the features of this Nasdaq Basic enterprise license without changing its fee, thereby lowering the overall cost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Fee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provides best bid and offer and last sale information from the Nasdaq Market Center and the FINRA/Nasdaq Trade Reporting Facility ("FINRA/Nasdaq TRF"). It is a "non-core" product that provides a subset of the "core" last-sale data provided by securities information processors ("SIPs") under the CTA Plan and the Nasdaq UTP Plan. Data is taken from three sources, which may be purchased individually or in combination: (i) Nasdaq Basic for Nasdaq, which contains the best bid and offer on the Nasdaq Market Center and last sale trade reports for Nasdaq and the FINRA/Nasdaq TRF for Nasdaq-listed stocks; (ii) Nasdaq Basic for NYSE, which contains the best bid and offer on the Nasdaq Market Center and last sale trade reports for Nasdaq and the FINRA/Nasdaq TRF for NYSE-listed stocks; and (iii) Nasdaq Basic for NYSE MKT, which contains the best bid and offer on the Nasdaq Market Center and last sale trade reports for Nasdaq and the FINRA/Nasdaq TRF for stocks listed on NYSE MKT and other listing venues whose quotes and trade reports are disseminated on Tape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fees for Nasdaq Basic may be paid through per Subscriber monthly charges, per query fees, or two types of enterprise licenses: An internal enterprise license for Professional Subscribers at Rule 7047(b)(4) (for $ 365,000 per month); and an enterprise license for Non-Professional and Professional Subscribers with whom the broker-dealer has a brokerage relationship at Rule 7047(b)(5) (for $ 100,000 per month). The Exchange proposes to modify the second of these two enterprise licenses, at Rule 7047(b)(5), which allows the distribution of Nasdaq Basic, or Derived Data therefrom, to Professional and Non-Professional Subscribers who are natural persons and with whom the broker-dealer has a brokerage relationship. As a current condition of this license, Professional Users [sic] who receive data may not use that data within the scope of any professional engagement or registration. In addition, Nasdaq must approve any electronic system used to distribute such data, and a separate enterprise license must be purchased for each such system. Broker-dealers purchasing this license must also report the number of Subscribers at least once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Exchange proposes to add NLS data as an additional feature to the Nasdaq Basic enterprise license at Rule 7047(b)(5). NLS provides real-time last sale information, including price, volume, and time of execution, for transactions on the Nasdaq Market Center or reported to the FINRA/Nasdaq TRF. n3 It is, like Nasdaq Basic, a non-core product that provides a subset of the core data provided by the SIPs under the CTA Plan and the Nasdaq UTP Plan. NLS was designed to "increase[] the availability of NASDAQ proprietary market data to individual investors." n4 The Exchange does not explicitly offer an enterprise license for NLS, but has set a cap of $ 41,500 per month for NLS for Nasdaq and NLS for NYSE/NYSE MKT.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7039(a)-(c);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71351 (January 17, 2014), </w:t>
      </w:r>
      <w:hyperlink r:id="rId11" w:history="1">
        <w:r>
          <w:rPr>
            <w:rFonts w:ascii="arial" w:eastAsia="arial" w:hAnsi="arial" w:cs="arial"/>
            <w:b w:val="0"/>
            <w:i/>
            <w:strike w:val="0"/>
            <w:noProof w:val="0"/>
            <w:color w:val="0077CC"/>
            <w:position w:val="0"/>
            <w:sz w:val="20"/>
            <w:u w:val="single"/>
            <w:vertAlign w:val="baseline"/>
          </w:rPr>
          <w:t>79 FR 4200</w:t>
        </w:r>
      </w:hyperlink>
      <w:r>
        <w:rPr>
          <w:rFonts w:ascii="arial" w:eastAsia="arial" w:hAnsi="arial" w:cs="arial"/>
          <w:b w:val="0"/>
          <w:i w:val="0"/>
          <w:strike w:val="0"/>
          <w:noProof w:val="0"/>
          <w:color w:val="000000"/>
          <w:position w:val="0"/>
          <w:sz w:val="20"/>
          <w:u w:val="none"/>
          <w:vertAlign w:val="baseline"/>
        </w:rPr>
        <w:t xml:space="preserve"> (Jan. 24, 2014) (SR-NASDAQ-2014-006) (notice of filing and immediate effectiveness regarding permanent approval of NLS).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SR-NASDAQ-2006-060 at 3 (Amendment No. 2, June 10, 2008) (available at </w:t>
      </w:r>
      <w:hyperlink r:id="rId12" w:history="1">
        <w:r>
          <w:rPr>
            <w:rFonts w:ascii="arial" w:eastAsia="arial" w:hAnsi="arial" w:cs="arial"/>
            <w:b w:val="0"/>
            <w:i/>
            <w:strike w:val="0"/>
            <w:noProof w:val="0"/>
            <w:color w:val="0077CC"/>
            <w:position w:val="0"/>
            <w:sz w:val="20"/>
            <w:u w:val="single"/>
            <w:vertAlign w:val="baseline"/>
          </w:rPr>
          <w:t>http://nasdaq.cchwallstreet.com/NASDAQ/pdf/nasdaq-filings/2006/SR-NASDAQ-2006-060_Amendment_2.pdf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57965 (June 16, 2008), </w:t>
      </w:r>
      <w:hyperlink r:id="rId13"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(approving SR-NASDAQ-2006-060, as amended by Amendment Nos. 1 and 2, to implement NLS on a pilot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proposed changes will expand the features of the enterprise license set forth at Rule 7047(b)(5) by: (i) Allowing distribution of Nasdaq Basic data to certain Professional Users [sic] that are currently excluded from the license; and (ii) permitting the distribution of NLS data, along with Nasdaq Basic data, without paying per user, per query, per visitor or per household fees. The proposal will also include technical and conforming changes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 license at Rule 7047(b)(5) currently allows distribution of data to Professionals in the context of a brokerage relationship with the broker-dealer, and explicitly prohibits Professionals who receive data under that license from using it within the scope of a professional engagement or registration. The Exchange proposes to loosen that restriction by allowing the broker-dealer to make Nasdaq Basic data available to up to and including 4,500 internal Subscribers operating on approved electronic system for use by Professionals who work for the broker-dealer and use that data to provide brokerage services to investors. Use of the license for internal Subscribers will be limited to Professionals providing brokerage services to investors, but will not be available to any Professionals involved in proprietary trading, surveillance activities, or performing any other function solely for the benefit of the broker-dealer. Internal Subscribers may operate only on an approved electronic system to ensure that appropriate controls are in place to prevent use of the data by unauthorized personnel or for impermissible purposes. Any distribution to over 4,500 internal Subscribers, or any usage by Professional Users [sic] not in support of brokerage services to investors on an approved platform, would be subject to the applicable fees set forth in Rule 7047(b).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between internal distribution of Nasdaq Basic through the </w:t>
      </w:r>
      <w:r>
        <w:rPr>
          <w:rFonts w:ascii="arial" w:eastAsia="arial" w:hAnsi="arial" w:cs="arial"/>
          <w:b/>
          <w:i w:val="0"/>
          <w:strike w:val="0"/>
          <w:noProof w:val="0"/>
          <w:color w:val="000000"/>
          <w:position w:val="0"/>
          <w:sz w:val="20"/>
          <w:u w:val="none"/>
          <w:vertAlign w:val="baseline"/>
        </w:rPr>
        <w:t> [*45641] </w:t>
      </w:r>
      <w:r>
        <w:rPr>
          <w:rFonts w:ascii="arial" w:eastAsia="arial" w:hAnsi="arial" w:cs="arial"/>
          <w:b w:val="0"/>
          <w:i w:val="0"/>
          <w:strike w:val="0"/>
          <w:noProof w:val="0"/>
          <w:color w:val="000000"/>
          <w:position w:val="0"/>
          <w:sz w:val="20"/>
          <w:u w:val="none"/>
          <w:vertAlign w:val="baseline"/>
        </w:rPr>
        <w:t xml:space="preserve"> newly proposed $ 100,000 enterprise license at Rule 7047(b)(5), and internal distribution under the existing $ 365,000 license under Rule 7047(b)(4), is of magnitude and scope. The new license will be limited to 4,500 internal Professional Subscribers, whereas the number of internal Subscribers able to obtain data under the $ 365,000 enterprise license is not so limited. n5 In addition, use of the data by internal Professional Users [sic] under the proposed license will be limited to the provision of brokerage services to investors, whereas use of the data through the $ 365,000 license under Rule 7047(b)(4) is not limited to such services. Under the proposed rule, Professional Subscribers who do not obtain Nasdaq Basic through internal distribution, but rather through their own brokerage relationship with the broker-dealer, will still be prohibited from using such data within the scope of any professional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enterprise license at Rule 7047(b)(4) allows distribution to 16,000 internal Professional Subscribers for no additional cost, with an additional charge of $ 2 for each internal Professional Subscriber above that level, provided that the broker-dealer obtains the license through an External Distributor that controls display of the product, and the broker-dealer obtains a separate license for each such External Distributor.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allowing distribution for up to 4,500 internal Subscribers, the Exchange also proposes to permit distribution of NLS data without paying the fees set forth in Rule 7039(b). n6 The Exchange does not currently offer an enterprise license for NLS, although there is a maximum distributor fee for any Distributor using the per user, per query, per visitor or per household pricing models of $ 41,500 per month. There are no additional restrictions on the use of NLS data under this license, although all other fees and restrictions other than the fees set forth in Rule 7039(b) will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Exchange anticipates filing changes to Rule 7039 that would eliminate Distributor fees under Rule 7039(c) for any firm paying such a fee for Nasdaq Basic, effectively eliminating all NLS fees with the purchase of this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technical and conforming changes proposed by the Exchange are to: (i) Require broker-dealers purchasing the enterprise license at Rule 7047(b)(5) to report the number of Professional Subscribers on a monthly basis; (ii) clarify that Professional Users [sic] receiving Nasdaq Basic data through internal Subscribers (not in the context of their own brokerage relationship with the broker-dealer) are not prohibited from using the data within the scope of any professional engagement or registration; and (iii) replace references to "NASDAQ," with all letters capitalized, with "Nasdaq," in which only the first letter of the company is capitalized. All of these changes are necessary to support the primary fee changes sought by the Exchange, or to correct technical errors. The change in reporting is necessary to monitor the number of internal Subscribers receiving data. The clarification to the ability of Professionals to utilize Nasdaq Basic data is necessary to allow Professionals to effectively use the data in support of providing brokerage services to investors. The change from NASDAQ to Nasdaq is necessary to replace an older version of the Exchange's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changes is to make the purchase of the enterprise license at Rule 7047(b)(5) more attractive to broker-dealers by adding features without increasing fees. The cost of the license will remain $ 100,000 per month, but services will be augmented by allowing internal distribution to up to 4,500 Professionals and including distribution of NLS to private investors. The proposal will lower the costs to broker-dealers of distributing Nasdaq Basic and NLS, thereby encouraging the dissemination of such data to individual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 license at Rule 7047(b)(5) is optional in that Nasdaq is not required to offer it and broker-dealers are not required to purchase it. Firms can discontinue use at any time and for any reason, including an assessment of the fees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does not change the cost of any other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n7 in general, and furthers the objectives of Sections 6(b)(4) and 6(b)(5) of the Act, n8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Securities Exchange Act Release No. 51808 (June 9, 2005), </w:t>
      </w:r>
      <w:hyperlink r:id="rId15"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n10 ("NetCoalition") the D.C. Circuit upheld the Commission's use of a market-based approach in evaluating the fairness of market data fees against a challenge claiming that Congress mandated a cost-based approach. n11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6"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6" w:history="1">
        <w:r>
          <w:rPr>
            <w:rFonts w:ascii="arial" w:eastAsia="arial" w:hAnsi="arial" w:cs="arial"/>
            <w:b w:val="0"/>
            <w:i/>
            <w:strike w:val="0"/>
            <w:noProof w:val="0"/>
            <w:color w:val="0077CC"/>
            <w:position w:val="0"/>
            <w:sz w:val="20"/>
            <w:u w:val="single"/>
            <w:vertAlign w:val="baseline"/>
          </w:rPr>
          <w:t>Id. at 534-535.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6"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6"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7"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proposal to expand the features of the enterprise license set forth at Rule 7047(b)(5) without increasing fees is an equitable allocation of reasonable dues, fees and other charges in accordance with Section 6(b)(4) of the Act, and not designed to permit unfair discrimination between customers, issuers, brokers, or dealers in accordance with Section 6(b)(5) of the Act. As described above, the proposed changes will: (i) Allow distribution of Nasdaq Basic data to certain Professional Subscribers that are currently excluded from the license; and (ii) permit the distribution of NLS data along with Nasdaq Basic data without paying per user, per query, per visitor or per household fees. The proposal will provide greater value to the broker-dealers purchasing the enterprise license, and increase market transparency by lowering the cost of distributing both NLS and Basic to </w:t>
      </w:r>
      <w:r>
        <w:rPr>
          <w:rFonts w:ascii="arial" w:eastAsia="arial" w:hAnsi="arial" w:cs="arial"/>
          <w:b/>
          <w:i w:val="0"/>
          <w:strike w:val="0"/>
          <w:noProof w:val="0"/>
          <w:color w:val="000000"/>
          <w:position w:val="0"/>
          <w:sz w:val="20"/>
          <w:u w:val="none"/>
          <w:vertAlign w:val="baseline"/>
        </w:rPr>
        <w:t> [*45642] </w:t>
      </w:r>
      <w:r>
        <w:rPr>
          <w:rFonts w:ascii="arial" w:eastAsia="arial" w:hAnsi="arial" w:cs="arial"/>
          <w:b w:val="0"/>
          <w:i w:val="0"/>
          <w:strike w:val="0"/>
          <w:noProof w:val="0"/>
          <w:color w:val="000000"/>
          <w:position w:val="0"/>
          <w:sz w:val="20"/>
          <w:u w:val="none"/>
          <w:vertAlign w:val="baseline"/>
        </w:rPr>
        <w:t xml:space="preserve"> investors. The proposal is an equitable allocation of reasonable dues, fees and other charges because the services will be the same for all broker-dealers that purchase the license. The services are not designed to permit unfair discrimination because all broker-dealers will be able to purchase the same license at the same price. As is the case for the current enterprise licenses, offering the enterprise license only to broker-dealers is not unfair discrimination because the license is primarily designed to allow data distribution to investors, and investors execute trades through broker-dealers. It is reasonable to limit use of the expanded enterprise license to internal Subscribers operating on approved platforms to ensure that the data is being used to support brokerage services for investors, rather than any other purpose. Moreover, enterprise license fees, like all market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exchanges and among broker-dealers for customers. If Nasdaq is incorrect in its assessment of price, it may lose market share as a result.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will effectively lower the cost to broker-dealers to distribute NLS and Nasdaq Basic by expanding the features of the enterprise license set forth at Rule 7047(b)(5) without increasing fees. This proposal to lower costs is itself evidence of the need to maintain low prices is [sic]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forces constrain the prices for NLS and Nasdaq Basic in two respects. First, market data fees are one element of the total cost of interacting with the Exchange and, if the price of these products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would be harmed. Second,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for customers will provide another constraint on the cost of NLS and Nasdaq Basic.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data fees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self-regulatory organization ("SRO") markets, as well as internalizing broker-dealers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broker-dealers,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broker-dealer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broker-dealers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broker-dealers to produce proprietary products cooperatively in a manner never before possible. Order routers and market data vendors can facilitate production of proprietary data products for single or multiple broker-dealers.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The cost of market data is one factor in this total platform analysis. A supracompetitive price for NLS and Nasdaq Basic has the potential to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and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for order flow will constrain its price.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that purchase NLS and Nasdaq Basic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If the price of these products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the broker-dealers that purchase these products would be at a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such, they may lower costs by curtailing their purchases of Nasdaq products, thereby providing a constraint on the price of NLS and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NLS and Nasdaq Basic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for customers. For these reasons, the Exchange has provided a substantial basis for demonstrating that the fee is equitable, fair, reasonable, and not unreasonably discriminatory, and that it is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written comments were either solicited or received. </w:t>
      </w:r>
      <w:r>
        <w:rPr>
          <w:rFonts w:ascii="arial" w:eastAsia="arial" w:hAnsi="arial" w:cs="arial"/>
          <w:b/>
          <w:i w:val="0"/>
          <w:strike w:val="0"/>
          <w:noProof w:val="0"/>
          <w:color w:val="000000"/>
          <w:position w:val="0"/>
          <w:sz w:val="20"/>
          <w:u w:val="none"/>
          <w:vertAlign w:val="baseline"/>
        </w:rPr>
        <w:t> [*45643]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SR-NASDAQ-2017-095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SR-NASDAQ-2017-095. This file number should be included on the subject line if email is used. To help the Commission process and review your comments more efficiently, please use only one method. The Commission will post all comments on the Commission's Internet Web site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SR-NASDAQ-2017-095 and should be submitted on or before October 20,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authority.&lt;15&gt;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2017-20886 Filed 9-28-17;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45639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BC0-G1V0-006W-844C-00000-00&amp;context=" TargetMode="External" /><Relationship Id="rId12" Type="http://schemas.openxmlformats.org/officeDocument/2006/relationships/hyperlink" Target="http://nasdaq.cchwallstreet.com/NASDAQ/pdf/nasdaq-filings/2006/SR-NASDAQ-2006-060_Amendment_2.pdf" TargetMode="External" /><Relationship Id="rId13" Type="http://schemas.openxmlformats.org/officeDocument/2006/relationships/hyperlink" Target="https://advance.lexis.com/api/document?collection=administrative-codes&amp;id=urn:contentItem:4ST3-7660-006W-855B-00000-00&amp;context="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administrative-codes&amp;id=urn:contentItem:4GH9-4PB0-014W-D1VJ-00000-00&amp;context=" TargetMode="External" /><Relationship Id="rId16" Type="http://schemas.openxmlformats.org/officeDocument/2006/relationships/hyperlink" Target="https://advance.lexis.com/api/document?collection=cases&amp;id=urn:contentItem:803V-DT30-YB0V-T01B-00000-00&amp;context=" TargetMode="External" /><Relationship Id="rId17" Type="http://schemas.openxmlformats.org/officeDocument/2006/relationships/hyperlink" Target="https://advance.lexis.com/api/document?collection=administrative-codes&amp;id=urn:contentItem:4V3T-8BP0-006W-834G-00000-00&amp;context=" TargetMode="External" /><Relationship Id="rId18" Type="http://schemas.openxmlformats.org/officeDocument/2006/relationships/hyperlink" Target="http://www.sec.gov/rules/sro.shtml" TargetMode="External" /><Relationship Id="rId19" Type="http://schemas.openxmlformats.org/officeDocument/2006/relationships/hyperlink" Target="mailto:rule-comments@sec.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PP-2120-008G-Y2ND-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KJ-WM60-006W-8201-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4092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