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46238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191, Wednesday, October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46238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Integra LifeSciences Holdings Corporation and Johnson &amp; Johnson;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171 0084]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orders--embodied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a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September 27, 2017), on the World Wide Web, at </w:t>
      </w:r>
      <w:hyperlink r:id="rId10" w:history="1">
        <w:r>
          <w:rPr>
            <w:rFonts w:ascii="arial" w:eastAsia="arial" w:hAnsi="arial" w:cs="arial"/>
            <w:b w:val="0"/>
            <w:i/>
            <w:strike w:val="0"/>
            <w:noProof w:val="0"/>
            <w:color w:val="0077CC"/>
            <w:position w:val="0"/>
            <w:sz w:val="20"/>
            <w:u w:val="single"/>
            <w:vertAlign w:val="baseline"/>
          </w:rPr>
          <w:t>https://www.ftc.gov/news-events/commission-actions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October 27, 2017. Write "Integra LifeSciences et al.; FTC File No. 1710084"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https://www.ftc.gov/policy/public-comments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2" w:history="1">
        <w:r>
          <w:rPr>
            <w:rFonts w:ascii="arial" w:eastAsia="arial" w:hAnsi="arial" w:cs="arial"/>
            <w:b w:val="0"/>
            <w:i/>
            <w:strike w:val="0"/>
            <w:noProof w:val="0"/>
            <w:color w:val="0077CC"/>
            <w:position w:val="0"/>
            <w:sz w:val="20"/>
            <w:u w:val="single"/>
            <w:vertAlign w:val="baseline"/>
          </w:rPr>
          <w:t>https://ftcpublic.commentworks.com/ftc/integradivest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prefer to file your comment on paper, write "Integra LifeSciences et al.; FTC File No. 1710084"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placed on the publicly accessible FTC Web site at </w:t>
      </w:r>
      <w:hyperlink r:id="rId14" w:history="1">
        <w:r>
          <w:rPr>
            <w:rFonts w:ascii="arial" w:eastAsia="arial" w:hAnsi="arial" w:cs="arial"/>
            <w:b w:val="0"/>
            <w:i/>
            <w:strike w:val="0"/>
            <w:noProof w:val="0"/>
            <w:color w:val="0077CC"/>
            <w:position w:val="0"/>
            <w:sz w:val="20"/>
            <w:u w:val="single"/>
            <w:vertAlign w:val="baseline"/>
          </w:rPr>
          <w:t>https://www.ftc.gov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are solely responsible for making sure that your comment does not include any sensitive or confidential information. In particular, your comment should not include any sensitive personal information, such as your or anyone else's Social Security number; date of </w:t>
      </w:r>
      <w:r>
        <w:rPr>
          <w:rFonts w:ascii="arial" w:eastAsia="arial" w:hAnsi="arial" w:cs="arial"/>
          <w:b/>
          <w:i w:val="0"/>
          <w:strike w:val="0"/>
          <w:noProof w:val="0"/>
          <w:color w:val="000000"/>
          <w:position w:val="0"/>
          <w:sz w:val="20"/>
          <w:u w:val="none"/>
          <w:vertAlign w:val="baseline"/>
        </w:rPr>
        <w:t> [*46239] </w:t>
      </w:r>
      <w:r>
        <w:rPr>
          <w:rFonts w:ascii="arial" w:eastAsia="arial" w:hAnsi="arial" w:cs="arial"/>
          <w:b w:val="0"/>
          <w:i w:val="0"/>
          <w:strike w:val="0"/>
          <w:noProof w:val="0"/>
          <w:color w:val="000000"/>
          <w:position w:val="0"/>
          <w:sz w:val="20"/>
          <w:u w:val="none"/>
          <w:vertAlign w:val="baseline"/>
        </w:rPr>
        <w:t xml:space="preserve">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your comment should not include any "trade secret or any commercial or financial information which . . . is privileged or confidential"--as provided by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5"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--including in particular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material for which confidential treatment is requested must be filed in paper form, must be clearly labeled "Confidential," and must comply with FTC Rule 4.9(c).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Your comment will be kept confidential only if the General Counsel grants your request in accordance with the law and the public interest. Once your comment has been posted on the public FTC Web site--as legally required by FTC Rule 4.9(b)--we cannot redact or remove your comment from the FTC Web site, unless you submit a confidentiality request that meets the requirements for such treatment under FTC Rule 4.9(c), and the General Counsel grants that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FTC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October 27, 2017.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https://www.ftc.gov/site-information/privacy-policy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subject to final approval, an Agreement Containing Consent Orders ("Consent Agreement") from Integra LifeSciences Holdings Corporation ("Integra") and Johnson &amp; Johnson designed to remedy the anticompetitive effects resulting from Integra's proposed purchase of certain assets of Johnson &amp; Johnson's Codman Neuro ("Codman") division. The proposed Decision and Order ("Order") contained in the Consent Agreement requires the parties to divest all rights and assets to Natus Medical Incorporated ("Natus") related to Integra's intracranial pressure monitoring systems and fixed pressure valve shunt systems, as well as Codman's cerebrospinal fluid collection systems, non-antimicrobial external ventricular drainage catheters, and dural grafts.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has been placed on the public record for thirty days for receipt of comments by interested persons. Comments received during this period will become part of the public record. After thirty days, the Commission will review the comments received and decide whether it should withdraw, modify, or make the Consent Agreement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Asset Purchase Agreement signed on February 14, 2017, Integra will acquire Codman in a transaction valued at approximately $ 1.0 billion (the "Acquisition"). The Commission's Complaint alleges that the proposed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markets for intracranial pressure monitoring systems, cerebrospinal fluid collection systems, non-antimicrobial external ventricular drainage catheters, fixed pressure valve shunt systems, and dural grafts. The proposed Consent Agreement will remedy the alleged violations by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in these markets as a result of the proposed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 headquartered in Plainsboro, New Jersey, is a medical device company with worldwide operations and one of the largest surgical instrument suppliers in the United States. The company has two U.S. business units: Specialty Surgical Solutions and Orthopedics and Tissue Technologies. The Specialty Surgical Solutions division offers instruments and systems for, among other specialties, neurosurgery and critical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Codman, part of Johnson &amp; Johnson's DePuy Synthes Inc. business unit, is a global medical device company that offers a diverse portfolio of neurosurgery, neurovascular, and drug delivery products, including instruments and systems for hydrocephalus management, neurointensive care, and cranial surgery, as well as implantable drug infusion systems. The proposed transaction excludes Codman's neurovascular and drug delivery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Relevant Products and Structure of the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Intracranial Pressure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Intracranial pressure monitoring systems are used in intensive care units and operating rooms to measure pressure inside the skull, which can increase in the event of traumatic brain injury, hydrocephalus, intracranial tumors, and other medical conditions. An increase in intracranial pressure can severely damage the brain or spinal cord and is a common cause of death in neurosurgical patients, making quick detection of pressure buildup critical. Intracranial pressure monitoring systems use a pressure-sensitive probe inserted through the skull to send measurements via a transducer cable to a monitor at the patient's bedside. Customers would not switch to an alternative product in response to a small but significant increase in the price of intracranial pressure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 and Codman are the only significant suppliers in the U.S. market for intracranial pressure monitoring systems, accounting for 68% and 26% of 2016 sales, respectively. The remainder of the market is comprised of small, fringe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have limited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Cerebrospinal Fluid Collection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Cerebrospinal fluid collection systems drain excess cerebrospinal fluid and monitor pressures within the fluid. They consist of a plastic drainage bag, tubing, and other accessories that connect to a patient through an external ventricular drainage catheter. There are no viable alternatives to cerebrospinal fluid collection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 Codman, and Medtronic are the only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suppliers of cerebrospinal fluid collection systems in the United States. Integra is the leading supplier with 57% </w:t>
      </w:r>
      <w:r>
        <w:rPr>
          <w:rFonts w:ascii="arial" w:eastAsia="arial" w:hAnsi="arial" w:cs="arial"/>
          <w:b/>
          <w:i w:val="0"/>
          <w:strike w:val="0"/>
          <w:noProof w:val="0"/>
          <w:color w:val="000000"/>
          <w:position w:val="0"/>
          <w:sz w:val="20"/>
          <w:u w:val="none"/>
          <w:vertAlign w:val="baseline"/>
        </w:rPr>
        <w:t> [*46240] </w:t>
      </w:r>
      <w:r>
        <w:rPr>
          <w:rFonts w:ascii="arial" w:eastAsia="arial" w:hAnsi="arial" w:cs="arial"/>
          <w:b w:val="0"/>
          <w:i w:val="0"/>
          <w:strike w:val="0"/>
          <w:noProof w:val="0"/>
          <w:color w:val="000000"/>
          <w:position w:val="0"/>
          <w:sz w:val="20"/>
          <w:u w:val="none"/>
          <w:vertAlign w:val="baseline"/>
        </w:rPr>
        <w:t xml:space="preserve"> of the market. Medtronic accounts for an additional 27% of the market, and Codman has a share of 14%. The next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Moeller Medical, which offers a more complex technology and only accounts for a nominal share of the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Non-Antimicrobial External Ventricular Drainage Catheters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ventricular drainage catheters funnel excess cerebrospinal fluid from the brain to cerebrospinal fluid collection systems to relieve intracranial pressure. External ventricular drainage catheters are either antimicrobial or non-antimicrobial, and the two types constitute distinct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because of the substantial differences between them. Non-antimicrobial external ventricular drainage catheters lack an antibiotic coating and are suitable for less critical patients; they also may be used to avoid the risk of antibiotic interference when diagnosing infections. They are significantly less expensive than antimicrobial external ventricular drainage catheters. Customers would not switch from non-antimicrobial external ventricular drainage catheters to the antimicrobial versions or any other product in response to a 5% to 10% increase in the price of non-antimicrobial external ventricular drainage catheters, in part because even with such a price increase, antimicrobial external ventricular drainage catheters would still be considerably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 and Codman account for 29% and 17% of the relevant market in the United States. The only other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firm is Medtronic, with a 51% share.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Fixed Pressure Valve Shunt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Shunts are the primary tool that neurosurgeons use to treat hydrocephalus, or excessive accumulation of cerebrospinal fluid. Shunt systems redirect excess cerebrospinal fluid from the brain or spinal cord to another area of the body, usually the abdomen, for reabsorption. Shunt systems consist of three components: A ventricular catheter inserted into the brain, a valve to regulate the flow of the fluid, and another catheter that is threaded to the location where the fluid is emptied. Once implanted, the one-way valve in the shunt system regulates the pressure in the brain by governing the amount and pressure of cerebrospinal fluid passing through the catheter.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main types of hydrocephalus shunts: Fixed pressure valve shunts and programmable valve shunts. Fixed pressure valve shunts allow cerebrospinal fluid to pass through the shunt only when the pressure has exceeded some predetermined setting, which medical providers cannot adjust once implanted without another surgery. The settings on a programmable valve shunt system, which is significantly more expensive, can be adjusted non-invasively using specially designed magnetic tools. An insufficient number of customers are likely to switch to programmable valve shunts to prevent a small but significant increase in the price of fixed pressure valve shunt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 Codman, and Medtronic are the only significant suppliers of fixed pressure valve shunt systems. Medtronic accounts for 55% of U.S. sales, and Integra follows at 23% share and Codman at 15% share. Aesculap and Sophysa hold small, fringe positions in the market and their products are not close substitutes to those of Integra and Codman.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Dural Grafts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Dural grafts are used to repair or replace a patient's dura mater, the thick membrane that surrounds the brain and spinal cord and keeps cerebrospinal fluid in place. Integra leads the U.S. market with 66% share of 2016 sales. In addition, Integra manufactures approximately 77% of the dural grafts sold in the United States. Medtronic, Codman, and Stryker account for 11%, 9%, and 8% of sales, respectively. Other suppliers account for only a nominal share of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is the relevant geographic market in which to analyze the effects of the proposed Acquisition. These products are medical devices regulated by the U.S. Food and Drug Administration ("FDA"). Medical devices sold outside of the United States, but not approved for sale in the United States, do not provide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for U.S. consumers.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would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the relevant markets. The parties are the only significant suppliers of intracranial pressure monitoring systems in the U.S. market, and two of only three significant suppliers of cerebrospinal fluid collection systems, non-antimicrobial external ventricular drainage catheters, and fixed pressure valve shunt systems in the United States. In the dural grafts market, a combined Integra/Codman would control the vast majority of the U.S. market and eliminate the 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between the parties today. Eliminating the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Integra and Codman in all of these highly concentrated markets would allow the combined firm to exercise market power unilaterally, resulting in higher prices and reduced choice for customers in these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in the relevant markets would not be timely, likely, or sufficient in magnitude, character, and scope to deter or counteract the anticompetitive effects of the proposed Acquisition. New entry would require significant investment of time and money to design and develop an effective product, obtain FDA approval, and develop clinical history supporting the long-term efficacy of a product. A new entrant must also establish a sales and marketing infrastructure, have or develop a track record of service and support, and offer a robust line of neurosurgical products sufficient to convince potential customers of the viability of its new product offerings. Such development efforts are difficult, time-consuming, and expensive, and often fail to result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reaching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Agreement and Order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the proposed Acquisition by requiring the parties to divest to Natus all assets and rights to research, develop, manufacture, market, and sell Integra's intracranial pressure monitoring systems and fixed pressure valve shunt systems, as well as Codman's cerebrospinal fluid collection systems, non-antimicrobial external ventricular drainage catheters, and dural grafts. Integra is also required to divest its San Diego, California facility that manufactures a key component of its intracranial pressure monitoring systems. Additionally, to further ensure the divestitures are successful, the proposed Order requires the parties to supply Natus with cranial access kits for a limited time until Natus is able to secure supply of that product independently. The kit, which is often sold with the divestiture assets, includes items such as a hand drill, forceps, and sutures used during cranial surgery. The provisions of the Consent Agreement ensure that Natus becomes an independent, viable, and effective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respective U.S. markets in order to maintain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currently exists. </w:t>
      </w:r>
      <w:r>
        <w:rPr>
          <w:rFonts w:ascii="arial" w:eastAsia="arial" w:hAnsi="arial" w:cs="arial"/>
          <w:b/>
          <w:i w:val="0"/>
          <w:strike w:val="0"/>
          <w:noProof w:val="0"/>
          <w:color w:val="000000"/>
          <w:position w:val="0"/>
          <w:sz w:val="20"/>
          <w:u w:val="none"/>
          <w:vertAlign w:val="baseline"/>
        </w:rPr>
        <w:t> [*46241]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in Pleasanton, California, Natus is a global healthcare company that provides screening, diagnostic, and monitoring solutions for its three business units: Neurology, newborn care, and hearing and balance care. Its neurology business includes systems that are highly complementary to the divestiture assets and test for a variety of medical conditions, including epilepsy, head injury, tumors, Parkinson's, and sleep apnea. Natus is well positioned to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have been lost pursuant to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must accomplish the divestitures and relinquish their rights to Natus no later than ten days after consummating the proposed Acquisition. If the Commission determines that Natus is not an acceptable acquirer, or that the manner of the divestitures is not acceptable, the proposed Order requires the parties to unwind the sale of rights to Natus and then divest the products to a Commission-approved acquirer(s) within six months of the date the Order becomes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compliance with the Order, the Commission has agreed to appoint a Monitor to ensure that Integra and Johnson &amp; Johnson comply with all of their obligations pursuant to the Consent Agreement and to keep the Commission informed about the status of the transfer of the rights and assets to Natus. The proposed Order further allows the Commission to appoint a trustee in the event the parties fail to divest the products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and it is not intended to constitute an official interpretation of the proposed Order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2017-21291 Filed 10-3-17;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October 27,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"Integra LifeSciences et al.; FTC File No. 1710084" on your comment, and file your comment online at </w:t>
      </w:r>
      <w:hyperlink r:id="rId12" w:history="1">
        <w:r>
          <w:rPr>
            <w:rFonts w:ascii="arial" w:eastAsia="arial" w:hAnsi="arial" w:cs="arial"/>
            <w:b w:val="0"/>
            <w:i/>
            <w:strike w:val="0"/>
            <w:noProof w:val="0"/>
            <w:color w:val="0077CC"/>
            <w:position w:val="0"/>
            <w:sz w:val="20"/>
            <w:u w:val="single"/>
            <w:vertAlign w:val="baseline"/>
          </w:rPr>
          <w:t>https://ftcpublic.commentworks.com/ftc/integradivest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"Integra LifeSciences et al.; FTC File No. 1710084"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Aylin M. Skroejer, (202-326-2459),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46238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tc.gov/news-events/commission-actions" TargetMode="External" /><Relationship Id="rId11" Type="http://schemas.openxmlformats.org/officeDocument/2006/relationships/hyperlink" Target="https://www.ftc.gov/policy/public-comments" TargetMode="External" /><Relationship Id="rId12" Type="http://schemas.openxmlformats.org/officeDocument/2006/relationships/hyperlink" Target="https://ftcpublic.commentworks.com/ftc/integradivest" TargetMode="External" /><Relationship Id="rId13" Type="http://schemas.openxmlformats.org/officeDocument/2006/relationships/hyperlink" Target="http://www.regulations.gov/#!home" TargetMode="External" /><Relationship Id="rId14" Type="http://schemas.openxmlformats.org/officeDocument/2006/relationships/hyperlink" Target="https://www.ftc.gov" TargetMode="External" /><Relationship Id="rId15" Type="http://schemas.openxmlformats.org/officeDocument/2006/relationships/hyperlink" Target="https://advance.lexis.com/api/document?collection=administrative-codes&amp;id=urn:contentItem:5MH6-6J50-008G-Y1DH-00000-00&amp;context=" TargetMode="External" /><Relationship Id="rId16" Type="http://schemas.openxmlformats.org/officeDocument/2006/relationships/hyperlink" Target="http://www.ftc.gov" TargetMode="External" /><Relationship Id="rId17" Type="http://schemas.openxmlformats.org/officeDocument/2006/relationships/hyperlink" Target="https://www.ftc.gov/site-information/privacy-policy"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MN-8WK0-006W-82DS-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60902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