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48255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199, Tuesday, October 17,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48255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October 17,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Showa Denko K.K., SGL Carbon SE, and SGL GE Carbon Holding LLC (USA);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Hold Separate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[*48256] </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Showa Denko K.K., SGL Carbon SE, and SGL GE Carbon Holding LLC (USA),</w:t>
      </w:r>
      <w:r>
        <w:rPr>
          <w:rFonts w:ascii="arial" w:eastAsia="arial" w:hAnsi="arial" w:cs="arial"/>
          <w:b w:val="0"/>
          <w:i w:val="0"/>
          <w:strike w:val="0"/>
          <w:noProof w:val="0"/>
          <w:color w:val="000000"/>
          <w:position w:val="0"/>
          <w:sz w:val="20"/>
          <w:u w:val="none"/>
          <w:vertAlign w:val="baseline"/>
        </w:rPr>
        <w:t xml:space="preserve"> Civil Action No. 1:17-cv-1992. On September 27, 2017, the United States filed a Complaint alleging that Showa Denko K.K.'s ("SDK") proposed acquisition of the global graphite electrodes business of SGL Carbon SE ("SGL")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at the same time as the Complaint, requires SDK to divest SGL's entire U.S. graphite electrodes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Comments should be directed to Maribeth Petrizzi, 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8700, Washington, DC 20530 (telephone: 202-307-0924).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8700,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Showa Denko K.K., 13-9 Shiba Daimon 1-chome, Minato-ku, Tokyo 105-8518, Japan, SGL Carbon SE, Soehnleinstrasse 8, 65201 Weisbaden, Germany,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SGL GE Carbon Holding LLC (USA), 10130 Perimeter Parkway, Suite 500, Charlotte, NC 28216,</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James E. Boasberg</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acting under the direction of the Attorney General of the United States,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enjoin Showa Denko K.K.'s ("SDK") proposed acquisition of SGL Carbon SE's ("SGL Carbon") global graphite electrode business and to obtain other equitable relief. The United States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 October 20, 2016, SDK announced an agreement to acquire SGL Carbon's global graphite electrode business for approximately $ 264.5 million. SDK and SGL Carbon manufacture and sell large ultra-high power ("UHP") graphite electrodes, a critical input needed to melt scrap steel in electric arc furnaces ("EAFs") at steel mills. SDK and SGL Carbon are two of the three leading suppliers of large UHP graphite electrodes utilized in EAFs in the United States and have a combined market share of approximately 56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proposed acquisition would eliminate vigorous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SDK and SGL Carbon for the business of U.S. EAF customers. For a significant number of U.S. EAF steel mills, SDK and SGL Carbon are two of the top suppliers of large UHP graphite electrodes, and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SDK and SGL Carbon has resulted in lower prices, higher quality electrodes, and better service. Notably, SDK and SGL Carbon are two of only three firms that operate manufacturing facilities in North America in an industry where a local manufacturing presence is important to customers to ensure reliability of supply at an affordable cost. The proposed acquisition likely would give SDK the ability to raise prices or decrease the quality of delivery and service provided to these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As a result, the proposed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manufacture and sale of large UHP graphite electrodes sold to EAF steel mills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should be enjoined.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United States brings this action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defendants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Defendants manufacture and sell large UHP graphite electrodes throughout the United States. They are engaged in a regular, continuous, and substantial flow of interstate commerce, and their activities in the manufacture and sale of large UHP graphite electrodes have a substantial effect upon interstate commerce. The Court has subject 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Defendants have consented to venue and personal jurisdiction in this district. This court has personal jurisdiction over each defendant and venue is proper in this district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DEFENDANTS AND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Defendant SDK is a corporation organized under the laws of Japan and headquartered in Tokyo, Japan. SDK is one of Japan's leading chemical companies and graphite electrodes are a primary line of business. SDK, which operates in approximately 14 countries, had revenues of approximately $ 5.8 billion in 2016. SDK's worldwide revenues from sales of graphite electrodes in 2016 were $ 248 million, and its U.S. revenues from sales of graphite electrodes in 2016 were approximately $ 85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Defendant SGL Carbon is a publicly-owned company organized under the laws of Germany and headquartered in Wiesbaden, Germany. SGL Carbon is a leading manufacturer of carbon-based products, ranging from carbon and graphite products to carbon fibers and composites, and its operations extend to 34 countries. In 2016, SGL Carbon had global revenues of approximately $ 885 million. SGL Carbon's worldwide revenues from sales of graphite electrodes in 2016 were approximately $ 326.6 million, and its U.S. revenues from sales of graphite electrodes in 2016 were approximately $ 58.6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Defendant SGL GE Carbon Holding LLC (USA) ("SGL US"), an indirect, wholly-owned subsidiary of SGL Carbon, is a Delaware limited liability company headquartered in Charlotte, North Carolina. SGL US is the sole shareholder of SGL GE Carbon LLC, which owns the assets of SGL US's operations in the United States, including SGL's Hickman and Ozark graphite electrode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Pursuant to an October 20, 2016 Sale and Purchase Agreement, SDK agreed to acquire all of the corporate entities comprising SGL Carbon's graphite electrodes global operations, including SGL US, for approximately $ 264.5 million.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TRADE AND COMMERCE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Industry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Graphite electrodes are used as conductors of electricity to generate sufficient heat to melt scrap metal in EAFs or to refine steel in ladle </w:t>
      </w:r>
      <w:r>
        <w:rPr>
          <w:rFonts w:ascii="arial" w:eastAsia="arial" w:hAnsi="arial" w:cs="arial"/>
          <w:b/>
          <w:i w:val="0"/>
          <w:strike w:val="0"/>
          <w:noProof w:val="0"/>
          <w:color w:val="000000"/>
          <w:position w:val="0"/>
          <w:sz w:val="20"/>
          <w:u w:val="none"/>
          <w:vertAlign w:val="baseline"/>
        </w:rPr>
        <w:t> [*48257] </w:t>
      </w:r>
      <w:r>
        <w:rPr>
          <w:rFonts w:ascii="arial" w:eastAsia="arial" w:hAnsi="arial" w:cs="arial"/>
          <w:b w:val="0"/>
          <w:i w:val="0"/>
          <w:strike w:val="0"/>
          <w:noProof w:val="0"/>
          <w:color w:val="000000"/>
          <w:position w:val="0"/>
          <w:sz w:val="20"/>
          <w:u w:val="none"/>
          <w:vertAlign w:val="baseline"/>
        </w:rPr>
        <w:t xml:space="preserve"> metallurgical furnaces. In a typical EAF operation, a series of electrodes (usually three) are attached to a crane-like device with connecting pins to form columns that are suspended over a large bucket of scrap steel. Large amounts of electricity are sent through the electrodes and the resulting heat melts the scrap into liquid.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Graphite electrodes are consumed as they are used and continually need to be replaced with fresh electrodes. Electrodes are designed in a range of sizes to fit the characteristics of each furnace and are suited to the electrical properties of a specific EAF. In particular, the opening through which electrodes are inserted into the furnace is only wide enough to admit electrodes of a certain diameter.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Graphite electrodes are subdivided into three grades: low power, high power, and UHP, where grade refers to the level of current-carrying capacity of the graphite electrode. EAFs typically utilize large UHP graphite electrodes that are between 18 and 32 inches in diameter and are characterized by an ability to withstand high currents and significant thermal stasis. Given that they are the most sophisticated products used for the most demanding steelmaking applications, large UHP graphite electrodes are produced by a smaller number of manufacturers than low power and high power graphite electrodes.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EAF steel mills, which are part of a vital U.S. industry involved in the manufacture and sale of steel and steel products used for many applications, represent an average of 45 percent of all domestic steel production. Large UHP graphite electrodes constitute a material operational input cost to these EAF steel mills that affects their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vigorously with steel made in blast furnaces both domestically and internationally. Over the past three years, U.S. EAF steel mills collectively averaged $ 262 million in large UHP graphite electrode purchases, and that number is expected to increase in the coming years due to a recent increase in steel demand and a decrease in the volume of steel imported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Large UHP graphite electrodes are purchased through an annual bid process where manufacturers are invited to bid for an entire year or partial year's supply. Manufacturers are qualified through a trialing process where graphite electrodes are evaluated based on both commercial risks and the total cost per ton of melted steel. EAF customers evaluate electrode suppliers based on the reliability and efficiency of their electrodes, the timeliness of electrode delivery, the supplier's commercial business practices, and ongoing technical service capabilities. Many customers prefer qualified suppliers with domestic manufacturing capability (which helps ensure reliable on-time delivery) and a robust local service operation (which enables prompt deployment of established technical expertise and support). EAF customers typically avoid suppliers that develop a reputation for graphite electrode breakages even when they offer electrodes at steep discounts because the costs of temporarily shutting down a furnace to remove broken electrode pieces can be significantly greater than the potential short-term savings from cheaper electrodes.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Large UHP graphite electrodes are priced by the pound, and quantities are described using metric tons. A typical U.S. EAF furnace operating at an average utilization rate may spend up to $ 4 million per year on electrodes for that furnace. Electrodes usually are ordered in advance and are expected to be shipped in a timely manner by truck to each steel mill, where they are stored until used, although some customers have consignment arrangements with manufacturers that keep inventories of graphite electrodes in the manufacturers' own warehouses.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The Relevant Product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There are no functional substitutes for large UHP graphite electrodes for U.S. EAF steel mills. Without large UHP graphite electrodes, an EAF steel mill cannot be operated and must be idled. Moreover, each EAF steel mill requires large UHP graphite electrodes of a specific diameter; a customer cannot substitute a different size graphite electrode than that for which its EAF is outfitted because the electrode would not fit and could not handle the level of current. Thus, it is likely that every individual size of large UHP graphite electrodes is a separate relevant product market. Because market participation by manufacturers is similar, and potential anticompetitive effects likely are similar across the entire range of sizes, all large UHP graphite electrodes can be grouped together in a single market for purposes of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 small but significant increase in the price of large UHP graphite electrodes sold to EAF steel mills would not cause customers of such electrodes to substitute a different kind of electrode or any other product, or to reduce purchases of such electrodes in volumes sufficient to make such a price increase unprofitable. Accordingly, the manufacture and sale of large UHP graphite electrodes sold to EAF steel mills is a line of commerce and relevant product market within the meaning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The Relevant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Individual U.S. EAF customers solicit bids from large UHP graphite electrode producers and these producers develop individualized bids based on each U.S. EAF customer Request for Proposal ("RFP"). This bidding process enables large UHP graphite electrode producers to engage in "price discrimination,"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charge different prices to different EAF customers. A small but significant increase in the prices of large UHP graphite electrodes can therefore be targeted to customers in the United States, and would not cause a sufficient number of these customers to buy electrodes from customers outside the United States so as to make such a price increase unprofitable. Since the availability of domestic technical services is important to U.S. customers, these customers would not buy electrodes from customers outside the United States. Accordingly, the United States is a relevant geographic market within the meaning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SDK and SGL Carbon have market shares of approximately 35 and 21 percent, respectively, in the relevant market. The third major seller of large UHP graphite electrodes to U.S. EAF customers has a market share of 22 percent. The remaining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combined account for only 22 percent of the market and are comprised of firms based in Japan, India, Russia, and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As articulated in the Horizontal Merger Guidelines issued by the Department of Justice and the Federal Trade Commission (the "Horizontal Merger Guidelines"), the Herfindahl-Hirschman Index ("HHI"), discussed in Appendix A, is a widely-used measure of market concentration. Market concentration is often a useful indicator of the level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vigor in a market and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merger. The more concentrated a market, the more likely it is that a transaction would result in a meaningful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harm consumers. Markets in which the HHI exceeds 2,500 points are considered highly concentrated, and transactions that result in highly concentrated markets and increase the HHI by more than 200 points are presumed to be likely to enhance market power. </w:t>
      </w:r>
      <w:r>
        <w:rPr>
          <w:rFonts w:ascii="arial" w:eastAsia="arial" w:hAnsi="arial" w:cs="arial"/>
          <w:b/>
          <w:i w:val="0"/>
          <w:strike w:val="0"/>
          <w:noProof w:val="0"/>
          <w:color w:val="000000"/>
          <w:position w:val="0"/>
          <w:sz w:val="20"/>
          <w:u w:val="none"/>
          <w:vertAlign w:val="baseline"/>
        </w:rPr>
        <w:t> [*48258]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In the market for the manufacture and sale of large UHP graphite electrodes used in U.S. EAF steel mills, the pre-merger HHI is 2230 and the post-merger HHI is 3693, representing an increase in the HHI of 1,463. Under the Horizontal Merger Guidelines, the proposed acquisition will result in a highly concentrated market and is thus presumed likely to enhance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In addition to increasing concentration, SDK's acquisition of SGL Carbon's global graphite electrode business would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SDK and SGL Carbon to supply large UHP graphite electrodes to U.S. EAF steel mills. SDK and SGL Carbon both have a strong reputation for high-quality graphite electrodes, a robust local manufacturing presence, an established delivery infrastructure, and superior technical service capabilities and support, including proprietary software specifically designed to assist steel mills in the installation and efficient maintenance of electrodes within their EAFs. SDK and SGL Carbon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on price, quality, delivery, and technical service, and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 has directly benefitted U.S. EAF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Only one other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besides SDK and SGL Carbon sells large UHP graphite electrodes in the U.S. and has a similar reputation for quality, shipment and delivery logistics, and local technical service. The transaction is likely to lead to higher prices because, for most customers, it will reduce the number of significant bidders from three to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Although other firms have participated in the U.S. market with limited sales, none of these firms individually or collectively are positioned to constrain a unilateral exercise of market power by SDK after the acquisition. The most significant of these firms, based in Japan, has a long history of sales of large UHP graphite electrodes in the United States, a good reputation for quality, and an enduring small presence in the market. However, it and the remaining small firms that have made sales to U.S. EAF steel mills are disadvantaged by their lack of domestic manufacturing capability, limited delivery and technical service infrastructure, and high costs. Some additionally are disadvantaged because of lower product quality. The response of other participants in the relevant market therefore would not be sufficient to constrain a unilateral exercise of market power by SDK after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For all of these reasons, the proposed transaction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manufacture and sale of large UHP graphite electrodes sold to U.S. EAF steel mills and lead to higher prices and decreased quality of delivery and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Difficulty of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Entry of additional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into the manufacture and sale of large UHP graphite electrodes sold to U.S. EAF steel mills is unlikely to be timely, likely, or sufficient to prevent the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caused by the elimination of SGL Carbon as an independent supplier. Over the past two decades, several firms have attempted to make a meaningful entry into the U.S. market, notably from India and China, but have not been able to make substantial sales or become preferred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Firms attempting to enter into the manufacture and sale of large UHP graphite electrodes sold to U.S. EAF steel mills face significant entry barriers in terms of cost and time. First, a new entrant into this business must be able to construct a manufacturing facility, which entails substantial time and expense. Second, such an entrant must have the technical capabilities necessary to design and manufacture high quality graphite electrodes that meet customer requirements for performance and reliability. Third, both new entrants and graphite electrode manufacturers who do not currently participate in the U.S. market must typically demonstrate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to EAF customers in the U.S. through a lengthy qualification and trial period during which the supplier must establish a strong performance record and avoid product breakages that can cause EAF outages. Fourth, an entrant must have a strong local infrastructure in place to assure customers of reliable delivery and the prompt deployment of qualified expertise, including technical services associated with installation and maintenance of the electrodes.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As a result of these barriers, entry into the market for the manufacture and sale of large UHP graphite electrodes sold to U.S. EAF steel mills would not be timely, likely, or sufficient to defeat the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likely would result from SDK's acquisition of SGL Carbon's global graphite electrode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VIOLATION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The acquisition of SGL Carbon's global graphite electrode business by SDK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manufacture and sale of large UHP graphite electrodes sold to U.S. EAF steel mills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Unless enjoined, the transaction likely would have the following anticompetitive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SDK and SGL Carbon in the market for the manufacture and sale of large UHP graphite electrodes sold to U.S. EAF steel mills would be eliminated;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prices for large UHP graphite electrodes sold to U.S. EAF steel mills likely would be less favorable, and quality of delivery and service likely would decline.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The United States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SDK's proposed acquisition of SGL Carbon's global graphite electrode business to be unlawful and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preliminarily and permanently enjoin and restrain defendants and all persons acting on their behalf from consummating the proposed acquisition or from entering into or carrying out any contract, agreement, plan, or understanding, the effect of which would be to combine SGL Carbon's global graphite electrode business with the operations of SDK;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its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the United States such other and further relief as the Court deems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 Finch,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Bernard A. Nigro, Jr.,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Maribeth Petrizzi,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Litigation II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D.C. Bar # 435204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E. Altschuler,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Litigation II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D.C. Bar # 983023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Bashiri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K. Foster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Attorneys,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 Section, 450 Fifth Street NW., Suite 8700, Washington, DC </w:t>
      </w:r>
      <w:r>
        <w:rPr>
          <w:rFonts w:ascii="arial" w:eastAsia="arial" w:hAnsi="arial" w:cs="arial"/>
          <w:b/>
          <w:i/>
          <w:strike w:val="0"/>
          <w:noProof w:val="0"/>
          <w:color w:val="000000"/>
          <w:position w:val="0"/>
          <w:sz w:val="20"/>
          <w:u w:val="none"/>
          <w:vertAlign w:val="baseline"/>
        </w:rPr>
        <w:t> [*48259] </w:t>
      </w:r>
      <w:r>
        <w:rPr>
          <w:rFonts w:ascii="arial" w:eastAsia="arial" w:hAnsi="arial" w:cs="arial"/>
          <w:b w:val="0"/>
          <w:i/>
          <w:strike w:val="0"/>
          <w:noProof w:val="0"/>
          <w:color w:val="000000"/>
          <w:position w:val="0"/>
          <w:sz w:val="20"/>
          <w:u w:val="none"/>
          <w:vertAlign w:val="baseline"/>
        </w:rPr>
        <w:t xml:space="preserve"> 20530, Tel.: (202) 514-8362, Fax: (202) 514-9033, Email: </w:t>
      </w:r>
      <w:hyperlink r:id="rId16" w:history="1">
        <w:r>
          <w:rPr>
            <w:rFonts w:ascii="arial" w:eastAsia="arial" w:hAnsi="arial" w:cs="arial"/>
            <w:b w:val="0"/>
            <w:i/>
            <w:strike w:val="0"/>
            <w:noProof w:val="0"/>
            <w:color w:val="0077CC"/>
            <w:position w:val="0"/>
            <w:sz w:val="20"/>
            <w:u w:val="single"/>
            <w:vertAlign w:val="baseline"/>
          </w:rPr>
          <w:t>bashiri.wilson@usdoj.gov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of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DEFINITION OF HHI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"HHI" means the Herfindahl-Hirschman Index, a commonly accepted measure of market concentration.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market and then summing the resulting numbers. For example, for a market consisting of four firms with shares of 30, 30, 20, and 20 percent, the HHI is 2,600 (30&lt;2&gt; + 30&lt;2&gt; + 20&lt;2&gt; + 20&lt;2&gt; = 2,600). The HHI takes into account the relative size distribution of the firms in a market. It approaches zero when a market is occupied by a large number of firms of relatively equal size and reaches a maximum of 10,000 points when it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Markets in which the HHI is between 1,500 and 2,500 points are considered to be moderately concentrated and markets in which the HHI is in excess of 2,500 points are considered to be highly concentrated. </w:t>
      </w:r>
      <w:r>
        <w:rPr>
          <w:rFonts w:ascii="arial" w:eastAsia="arial" w:hAnsi="arial" w:cs="arial"/>
          <w:b w:val="0"/>
          <w:i/>
          <w:strike w:val="0"/>
          <w:noProof w:val="0"/>
          <w:color w:val="000000"/>
          <w:position w:val="0"/>
          <w:sz w:val="20"/>
          <w:u w:val="none"/>
          <w:vertAlign w:val="baseline"/>
        </w:rPr>
        <w:t>See Horizontal Merger Guidelines</w:t>
      </w:r>
      <w:r>
        <w:rPr>
          <w:rFonts w:ascii="arial" w:eastAsia="arial" w:hAnsi="arial" w:cs="arial"/>
          <w:b w:val="0"/>
          <w:i w:val="0"/>
          <w:strike w:val="0"/>
          <w:noProof w:val="0"/>
          <w:color w:val="000000"/>
          <w:position w:val="0"/>
          <w:sz w:val="20"/>
          <w:u w:val="none"/>
          <w:vertAlign w:val="baseline"/>
        </w:rPr>
        <w:t xml:space="preserve"> § 5.3 (issued by the U.S. Department of Justice and the Federal Trade Commission on August 19, 2010). Transactions that increase the HHI by more than 200 points in highly concentrated markets will be presumed likely to enhance market power.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Showa Denko K.K., SGL Carbon SE, and SGL GE Carbon Holding LLC (USA),</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James E. Boasberg</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20, 2016, defendants Showa Denko K.K. ("SDK"), SGL Carbon SE ("SGL Carbon"), and SGL GE Carbon Holding LLC (USA) ("SGL US") entered into an agreement pursuant to which SDK agreed to acquire SGL Carbon's global graphite electrode business for approximately $ 264.5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September 27, 2017 seeking to enjoin the proposed acquisition. The Complaint alleges that the likely effect of this acquisition would be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for the manufacture and sale of large ultra-high power ("UHP") graphite electrodes sold to electric arc furnace (EAF) steel mills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This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would give SDK the ability and incentive to increase prices or decrease the quality of delivery and service provided to U.S. EAF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Hold Separate Stipulation and Order ("Hold Separate") and proposed Final Judgment, which are designed to eliminate the anticompetitive effects of the acquisition. Under the proposed Final Judgment, which is explained more fully below, defendants are required to divest SGL Carbon's entire U.S. graphite electrodes business (the "Divestiture Assets") to Tokai Carbon Co., Ltd. ("Tokai") or to an alternate Acquirer approved by the United States. Under the terms of the Hold Separate, defendants will take certain steps to ensure that the Divestiture Assets are operated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 that the Divestiture Assets will remain independent and uninfluenced by the consummation of the acquisition,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SDK, a Japanese corporation headquartered in Tokyo, Japan, is one of Japan's leading chemical companies, and had global sales of approximately $ 5.8 billion in 2016. SDK is one of the world's largest providers of graphite electrodes, with global sales of $ 248 million in 2016, including approximately $ 85 million in U.S. revenues from graphite electrodes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SGL Carbon is a German-based corporation headquartered in Wiesbaden, Germany. SGL Carbon is a leading manufacturer of carbon-based products, ranging from carbon and graphite products to carbon fibers and composites, with operations in 34 countries. SGL Carbon is a leading global producer of graphite electrodes, with worldwide graphite electrode revenues of approximately $ 326.6 million in 2016, including approximately $ 58.6 million from sales of graphite electrodes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SGL US, an indirect, wholly-owned subsidiary of SGL Carbon, is a Delaware limited liability company headquartered in Charlotte, North Carolina. SGL US is the sole shareholder of SGL GE Carbon LLC, which owns the assets of SGL US's operations in the United States, including SGL Carbon's Hickman and Ozark graphite electrode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an agreement dated October 20, 2016, SDK intends to acquire SGL Carbon's global graphite electrode operations, including SGL US, for approximately $ 264.5 million. The proposed acquisition, as initially agreed to by defendants,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the manufacture and sale of large UHP graphite electrodes to U.S. EAF customers. This acquisition is the subject of the Complaint and proposed Final Judgment filed today by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Graphite Electrode Industry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Graphite electrodes are used to conduct electricity to generate sufficient heat to melt scrap metal in EAFs or to refine steel in ladle metallurgical furnaces. In a typical EAF operation, a series of electrodes are attached to a steel arm with connecting pins to form columns that are suspended over a large bucket of scrap steel. Large amounts of electricity are sent through the electrodes and the resulting heat melts the scrap into liquid. Graphite electrodes are consumed as they are used and continually need to be replaced with fresh electrodes. Electrodes are designed in a range of sizes to fit the characteristics of each furnace and are suited to the electrical properties of a specific EAF.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Graphite electrodes are subdivided into three grades based on their level of current-carrying capacity: low power, high power, and UHP. EAFs typically utilize UHP graphite electrodes that are between 18 and 32 inches in diameter and are characterized by an ability to withstand high currents. Large UHP graphite electrodes are the most sophisticated products used for the most demanding steelmaking applications and, as a result, are produced by a smaller number of manufacturers than </w:t>
      </w:r>
      <w:r>
        <w:rPr>
          <w:rFonts w:ascii="arial" w:eastAsia="arial" w:hAnsi="arial" w:cs="arial"/>
          <w:b/>
          <w:i w:val="0"/>
          <w:strike w:val="0"/>
          <w:noProof w:val="0"/>
          <w:color w:val="000000"/>
          <w:position w:val="0"/>
          <w:sz w:val="20"/>
          <w:u w:val="none"/>
          <w:vertAlign w:val="baseline"/>
        </w:rPr>
        <w:t> [*48260] </w:t>
      </w:r>
      <w:r>
        <w:rPr>
          <w:rFonts w:ascii="arial" w:eastAsia="arial" w:hAnsi="arial" w:cs="arial"/>
          <w:b w:val="0"/>
          <w:i w:val="0"/>
          <w:strike w:val="0"/>
          <w:noProof w:val="0"/>
          <w:color w:val="000000"/>
          <w:position w:val="0"/>
          <w:sz w:val="20"/>
          <w:u w:val="none"/>
          <w:vertAlign w:val="baseline"/>
        </w:rPr>
        <w:t xml:space="preserve"> low power or high power graphite electrodes.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EAF steel mills, which are a part of a vital U.S. industry involved in the manufacture and sale of steel and steel products used for many applications, represent an average of 45 percent of all domestic steel production. Over the past three years, U.S. EAF steel mills collectively averaged $ 262 million in large UHP graphite electrode purchases, and that number is expected to increase in the coming years due to a recent increase in steel demand and a decrease in the volume of steel imported into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 UHP graphite electrodes are purchased through an annual bid process where manufacturers are invited to bid for an entire year or partial year's supply. EAF customers evaluate electrode suppliers based on the reliability and efficiency of their electrodes, the timeliness of electrode delivery, the supplier's commercial business practices, and ongoing technical service capabilities. Many U.S. customers prefer suppliers that have a domestic manufacturing capability and a robust local service operation. Given the high costs of temporarily shutting down a furnace to remove broken electrode pieces, EAF customers typically avoid suppliers that develop a reputation for graphite electrode breakages even if the supplier offers electrodes at steep discounts. Electrodes usually are ordered in advance and are expected to be shipped in a timely manner by truck to each steel mill, where they are stored until used, although some customers have consignment arrangements with manufacturers that keep inventories of graphite electrodes in the manufacturers' own warehouses.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Relevant Markets Affected by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alleged in the Complaint, there are no functional substitutes for large UHP graphite electrodes for U.S. EAF steel mills. Without large UHP graphite electrodes, EAF steel mills cannot be operated and must be idled. Moreover, customers cannot substitute a different size graphite electrode for use in an EAF because the electrode size and current-carrying capacity is tailored to the specific facility. For these reasons, the Complaint alleges that it is likely that every individual size of large UHP graphite electrodes is a separate relevant product market. Because market participation by manufacturers is similar, and potential anticompetitive effects likely are similar across the entire range of sizes, all large UHP graphite electrodes can be grouped together in a single market for purposes of analysis. The Complaint alleges that a hypothetical profit-maximizing monopolist of large UHP graphite electrodes likely would impose a small but significant non-transitory increase in price ("SSNIP") that would not be defeated by substitution to a different kind of electrode or any other product, or result in a reduction in purchases of such electrodes in volumes sufficient to make such a price increase unprofitable. Accordingly, the manufacture and sale of large UHP graphite electrodes sold to U.S. EAF steel mills is a line of commerce and relevant market within the meaning of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alleged in the Complaint, the United States is the relevant geographic market for the manufacture and sale of large UHP graphite electrodes sold to U.S. EAF steel mills. In the United States, individual EAF customers solicit bids from producers of large UHP graphite electrodes, and these producers develop individualized bids based on each customer's Request for Proposal. The bidding process enables large UHP graphite electrode producers to engage in "price discrimination,"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charge different prices to different EAF customers. A small but significant increase in the prices of large UHP graphite electrodes can therefore be targeted to customers in the United States without causing a sufficient number of these customers to use arbitrage to defeat the price increase, such as by buying electrodes from customers outside the country so as to make such a price increase unprofitable. Since the availability of domestic technical services is important to U.S. customers, these customers would not buy electrodes from customers outside the United States. Accordingly, the United States is a relevant geographic market within the meaning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Complaint, the proposed acquisition would substantially increase concentration in the relevant market. SDK and SGL Carbon have market shares of approximately 35 and 21 percent, respectively, in the relevant market; a third major seller of large UHP graphite electrodes to U.S. EAF customers has a market share of 22 percent. The remaining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which include firms from Japan, India, Russia, and China, have a combined 22 percent share. Under the Herfindahl-Hirschman Index ("HHI"), a widely-used measure of market concentration utilized in the Horizontal Merger Guidelines issued by the Department of Justice and the Federal Trade Commission (the "Horizontal Merger Guidelines"), the pre-merger HHI is 2230 and the post-merger HHI is 3693, representing an increase in the HHI of 1,463. As discussed in the Horizontal Merger Guidelines and alleged in the Complaint, these HHIs indicate that the proposed acquisition will result in a highly concentrated market and is presumed likely to enhance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increasing concentration, the Complaint alleges that SDK's acquisition of SGL Carbon's global graphite electrode business would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SDK and SGL Carbon in the relevant market. Both SDK and SGL Carbon have a strong reputation for high-quality graphite electrodes, a robust local manufacturing presence, an established delivery infrastructure, and superior technical service capabilities and support, including proprietary software specifically designed to assist steel mills in the installation and efficient maintenance of electrodes within their EAFs. As alleged in the Complaint, SDK and SGL Carbon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on price, quality, delivery, and technical service, and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them has directly benefitted U.S. EAF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further alleges that the acquisition is likely to lead to higher prices because there is only one other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with a comparable reputation for product quality, shipment and delivery logistics, and local technical service, and therefore, for most customers, the transaction will reduce the number of significant bidders from three to two. According to the Complaint, the remaining market participants, each of which has participated in the U.S. market with only limited sales, are not in a position to constrain a unilateral exercise of market power by SDK after the acquisition. The most significant of these firms, based in Japan, has a long history of sales of large UHP graphite electrodes in the United States, a good reputation for quality, and an enduring small presence in the market. However, this firm and the other remaining firms that have made limited sales to U.S. EAF steel mills are each disadvantaged by a lack of domestic manufacturing capability, limited delivery and technical service infrastructure, and high costs. As a result, none of these firms will be able to replace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lost as a result of SDK's acquisition of SGL Carbon's global graphite electrode business. </w:t>
      </w:r>
      <w:r>
        <w:rPr>
          <w:rFonts w:ascii="arial" w:eastAsia="arial" w:hAnsi="arial" w:cs="arial"/>
          <w:b/>
          <w:i w:val="0"/>
          <w:strike w:val="0"/>
          <w:noProof w:val="0"/>
          <w:color w:val="000000"/>
          <w:position w:val="0"/>
          <w:sz w:val="20"/>
          <w:u w:val="none"/>
          <w:vertAlign w:val="baseline"/>
        </w:rPr>
        <w:t> [*48261]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alleged in the Complaint, entry of additional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into the manufacture and sale of large UHP graphite electrodes sold to U.S. EAF steel mills is unlikely to be timely, likely, or sufficient to prevent the harm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caused by the elimination of SGL Carbon as an independent supplier. New entrants face significant entry barriers in terms of cost and time, including the substantial time and expense required to construct a manufacturing facility, the need to build technical capabilities sufficient to meet customer expectations, the requirement that a new supplier demonstrate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to U.S. customers through a lengthy qualification and trialing period, and the need to create a strong local infrastructure to ensure reliable and prompt delivery and technical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 of the proposed Final Judgment will eliminate the anticompetitive effects of the acquisition by establishing an independent and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manufacture and sale of large UHP graphite electrodes in the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proposed Final Judgment, defendants must divest SGL Carbon's entire U.S. graphite electrodes business, which is defined in Paragraph II(F) to include SGL Carbon's manufacturing facilities located in Ozark, Arkansas and Hickman, Kentucky and all tangible and intangible assets used in connection with SGL Carbon's U.S. graphite electrodes business. Among the assets to be divested is SGL Carbon's CEDIS(R) EAF performance monitoring system, proprietary software specifically designed to assist steel mills in the installation and efficient maintenance of electrodes within their EAFs.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IV(A) of the proposed Final Judgment provides that defendants must divest the Divestiture Assets to Tokai Carbon Co., Ltd., or to an alternative acquirer acceptable to the United States within 45 days of the Court's signing of the Hold Separate. The Divestiture Assets must be divested in such a way as to satisfy the United States, in its sole discretion, that the operations can and will be operated by Tokai or an alternate purchaser as a viable, ongoing business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relevant market. Defendants must take all reasonable steps necessary to accomplish the divestiture quickly and shall cooperate with Tokai or any other prospective purchaser.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contains several provisions designed to facilitate the Acquirer's immediate use of the Divestiture Assets. Paragraph IV(J) provides the Acquirer with the option to enter into a transition services agreement with SGL Carbon to obtain back office and information technology services and support for the Divestiture Assets for a period of up to one year. The United States, in its sole discretion, may approve one or more extensions of this agreement for a total of up to an additional 12 months. Paragraph IV(K) provides the Acquirer with the option to enter into a supply contract with SDK for connecting pins sufficient to meet all or part of the Acquirer's needs for a period of up to three years. Connecting pins are a component used to connect graphite electrodes in an EAF, and the inclusion of a supply option in the proposed Final Judgment will enable Tokai or an alternate acquirer to devote additional capacity to the manufacture of large UHP graphite electrodes if it so chooses. The proposed Final Judgment provides that the United States, in its sole discretion, may approve one or more extensions of this supply contract for a total of up to an additional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also contains provisions intended to facilitate the Acquirer's efforts to hire the employees involved in SGL Carbon's U.S. graphite electrode business. Paragraph IV(D) of the proposed Final Judgment requires defendants to provide the Acquirer with organization charts and information relating to these employees and make them available for interviews, and provides that defendants will not interfere with any negotiations by the Acquirer to hire them. In addition, Paragraph IV(E) provides that for employees who elect employment with the Acquirer, defendants, subject to exceptions, shall waive all noncompete and nondisclosure agreements, vest all unvested pension and other equity rights, and provide all benefits to which the employees would generally be provided if transferred to a buyer of an ongoing business. The paragraph further provides, that for a period of 12 months from the filing of the Complaint, defendants may not solicit to hire, or hire any such person who was hired by the Acquirer, unless such individual is terminated or laid off by the Acquirer or the Acquirer agrees in writing that defendants may solicit or hire that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defendants do not accomplish the divestiture within the period provided in the proposed Final Judgment, Paragraph V(A) provides that the Court will appoint a trustee selected by the United States to effect the divestitures. If a trustee is appointed, the proposed Final Judgment provides that defendants will pay all costs and expenses of the trustee. The trustee's commission will be structured so as to provide an incentive for the trustee based on the price obtained and the speed with which the divestiture is accomplished. After its appointment becomes effective, the trustee will file monthly reports with the Court and the United States setting forth its efforts to accomplish the divestiture. At the end of six months, if the divestiture has not been accomplished, the trustee and the United States will make recommendations to the Court, which shall enter such orders as appropriate, in order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7"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w:t>
      </w:r>
      <w:r>
        <w:rPr>
          <w:rFonts w:ascii="arial" w:eastAsia="arial" w:hAnsi="arial" w:cs="arial"/>
          <w:b/>
          <w:i w:val="0"/>
          <w:strike w:val="0"/>
          <w:noProof w:val="0"/>
          <w:color w:val="000000"/>
          <w:position w:val="0"/>
          <w:sz w:val="20"/>
          <w:u w:val="none"/>
          <w:vertAlign w:val="baseline"/>
        </w:rPr>
        <w:t> [*48262] </w:t>
      </w:r>
      <w:r>
        <w:rPr>
          <w:rFonts w:ascii="arial" w:eastAsia="arial" w:hAnsi="arial" w:cs="arial"/>
          <w:b w:val="0"/>
          <w:i w:val="0"/>
          <w:strike w:val="0"/>
          <w:noProof w:val="0"/>
          <w:color w:val="000000"/>
          <w:position w:val="0"/>
          <w:sz w:val="20"/>
          <w:u w:val="none"/>
          <w:vertAlign w:val="baseline"/>
        </w:rPr>
        <w:t xml:space="preserv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website and, under certain circumstances, published in the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should be submitted to: Maribeth Petrizzi, 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Fifth Street NW.,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SDK's acquisition of SGL Carbon's global graphite electrode business.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manufacture and sale of large UHP graphite electrodes sold to U.S. EAF steel mills.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8"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0"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(explaining that the "court's inquiry is limited" in Tunney Act settlements); </w:t>
      </w:r>
      <w:hyperlink r:id="rId21"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2"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3"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5"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2"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6"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w:t>
      </w:r>
      <w:r>
        <w:rPr>
          <w:rFonts w:ascii="arial" w:eastAsia="arial" w:hAnsi="arial" w:cs="arial"/>
          <w:b/>
          <w:i w:val="0"/>
          <w:strike w:val="0"/>
          <w:noProof w:val="0"/>
          <w:color w:val="000000"/>
          <w:position w:val="0"/>
          <w:sz w:val="20"/>
          <w:u w:val="none"/>
          <w:vertAlign w:val="baseline"/>
        </w:rPr>
        <w:t> [*48263] </w:t>
      </w:r>
      <w:r>
        <w:rPr>
          <w:rFonts w:ascii="arial" w:eastAsia="arial" w:hAnsi="arial" w:cs="arial"/>
          <w:b w:val="0"/>
          <w:i w:val="0"/>
          <w:strike w:val="0"/>
          <w:noProof w:val="0"/>
          <w:color w:val="000000"/>
          <w:position w:val="0"/>
          <w:sz w:val="20"/>
          <w:u w:val="none"/>
          <w:vertAlign w:val="baseline"/>
        </w:rPr>
        <w:t xml:space="preserv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6"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7"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18"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19"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8"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8"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19"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19"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0"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w:t>
      </w:r>
      <w:hyperlink r:id="rId28"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29"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27,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Bashiri Wilson*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 Section, 450 Fifth Street NW., Suite 8700, Washington, DC 20530, Tel.: (202) 598-8794, Fax: (202) 514-9033</w:t>
      </w:r>
      <w:r>
        <w:rPr>
          <w:rFonts w:ascii="arial" w:eastAsia="arial" w:hAnsi="arial" w:cs="arial"/>
          <w:b w:val="0"/>
          <w:i w:val="0"/>
          <w:strike w:val="0"/>
          <w:noProof w:val="0"/>
          <w:color w:val="000000"/>
          <w:position w:val="0"/>
          <w:sz w:val="20"/>
          <w:u w:val="none"/>
          <w:vertAlign w:val="baseline"/>
        </w:rPr>
        <w:t xml:space="preserve">, Email: </w:t>
      </w:r>
      <w:hyperlink r:id="rId16" w:history="1">
        <w:r>
          <w:rPr>
            <w:rFonts w:ascii="arial" w:eastAsia="arial" w:hAnsi="arial" w:cs="arial"/>
            <w:b w:val="0"/>
            <w:i/>
            <w:strike w:val="0"/>
            <w:noProof w:val="0"/>
            <w:color w:val="0077CC"/>
            <w:position w:val="0"/>
            <w:sz w:val="20"/>
            <w:u w:val="single"/>
            <w:vertAlign w:val="baseline"/>
          </w:rPr>
          <w:t>bashiri.wilson@usdoj.gov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Showa Denko K.K., SGL Carbon 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SGL GE Carbon Holding LLC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1:17-cv-01992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James E. Boasberg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United States of America, filed its Complaint on September 27, 2017, the United States and defendants, Showa Denko K.K., SGL Carbon SE, and SGL GE Carbon Holding LLC (USA),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means Tokai or another entity to which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"SDK" means defendant Showa Denko K.K., a Japanese corporation headquartered in Tokyo, Japan, its successors and assigns, and its subsidiaries, divisions, groups, affiliates, partnerships, and joint ventures, and their directors, officers, managers, agents, and employees. </w:t>
      </w:r>
      <w:r>
        <w:rPr>
          <w:rFonts w:ascii="arial" w:eastAsia="arial" w:hAnsi="arial" w:cs="arial"/>
          <w:b/>
          <w:i w:val="0"/>
          <w:strike w:val="0"/>
          <w:noProof w:val="0"/>
          <w:color w:val="000000"/>
          <w:position w:val="0"/>
          <w:sz w:val="20"/>
          <w:u w:val="none"/>
          <w:vertAlign w:val="baseline"/>
        </w:rPr>
        <w:t> [*48264]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"SGL" means defendant SGL Carbon SE, a German corporation headquartered in Wiesbaden, Germany, its successors and assigns, and its subsidiaries, divisions, groups, affiliates, partnerships, and joint ventures, and their directors, officers, managers, agents, and employees, including defendant SGL GE Carbon Holding LLC (USA), a Delaware limited liability company that is an indirect, wholly-owned subsidiary of SGL Carbon SE, and is headquartered in Charlotte,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"Tokai" means Tokai Carbon Co., Ltd., a Japanese corporation headquartered in Tokyo, Japan,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"Divestiture Assets" means SGL's U.S. Graphite Electrodes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"SGL's U.S. Graphite Electrodes Business" means SGL GE Carbon Holding LLC (USA), all of its subsidiaries, and all additional operations of SGL related to the production, distribution, engineering, development, sale, and servicing of graphite electrodes manufactured in the United States, including, but not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manufacturing facility located at 3931 Carbon Plant Rd., Ozark, Arkansas 72949 (the "Ozark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manufacturing facility located at 2320 Myron Cory Dr., Hickman, Kentucky 42050 (the "Hickman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 tangible assets used in connection with SGL's U.S. Graphite Electrodes Business, including research and development activities; all manufacturing equipment, tooling and fixed assets, personal property, inventory, office furniture, materials, supplies, and other tangible property and all assets used exclusively in connection with SGL's U.S. Graphite Electrodes Business; all licenses, permits, and authorizations issued by any governmental organization relating to SGL's U.S. Graphite Electrodes Business; all contracts, teaming arrangements, agreements, leases, commitments, certifications, and understandings, including supply agreements relating to SGL's U.S. Graphite Electrodes Business; all customer lists, contracts, accounts, and credit records relating to SGL's U.S. Graphite Electrodes Business; all repair and performance records and all other records relating to SGL's U.S. Graphite Electrodes Business;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All intangible assets used in connection with SGL's U.S. Graphite Electrodes Business, including, but not limited to, all patents, licenses and sublicenses, intellectual property, copyrights, trademarks, trade names, service marks, service names (excluding any trademark, trade name, service mark, or service name containing the name "SGL"), technical information, computer software (including, but not limited to, SGL's CEDIS(R) EAF performance monitoring system) and related documentation, know-how, trade secrets, drawings, blueprints, designs, design protocols, specifications for materials, specifications for parts and devices, safety procedures for the handling of materials and substances, quality assurance and control procedures, design tools and simulation capability, all manuals and technical information SGL provides to its own employees, customers, suppliers, agents, or licensees, and all research data concerning historic and current research and development efforts relating to SGL's U.S. Graphite Electrodes Business, including, but not limited to, designs of experiments, and the results of successful and unsuccessful designs and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"Relevant Employees" means all SGL personnel involved in the production, distribution, engineering, development, sale, or servicing of graphite electrodes for SGL's U.S. Graphite Electrodes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SDK and SGL,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 IV and Section V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45 calendar days after the Court's signing of the Hold Separate Stipulation and Order in this matter, to divest the Divestiture Assets in a manner consistent with this Final Judgment to Tokai or an alternative Acquirer acceptable to the United States, in its sole discretion. The United States, in its sole discretion, may agree to one or more extensions of this time period not to exceed sixty (60) calendar days in total, and shall notify the Court in such circumstances. Defendants agree to use their best efforts to divest the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event defendants are attempting to divest the Divestiture Assets to an Acquirer other than Tokai, defendants promptly shall make known, by usual and customary means (to the extent defendants have not already done so), the availability of the Divestiture Assets. Defendants shall inform any person making an inquiry regarding a possible purchase of the Divestiture Assets that they are being divested pursuant to this Final Judgment and provide that person with a copy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accomplishing the divestiture ordered by this Final Judgment, defendants shall offer to furnish to all prospective Acquirers, subject to customary confidentiality assurances, all information and documents relating to the Divestiture Assets customarily provided in a due diligence process except such information or documents subject to the attorney-client privileges or work-product doctrine.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provide the Acquirer and the United States with organization charts and information relating to Relevant Employees, including name, job title, past experience relating to SGL's U.S. Graphite Electrodes Business, responsibilities, training and educational history, relevant certifications, and to the extent permissible by law, job performance evaluations, and current salary and benefits information, to enable the Acquirer to make offers of employment. Upon request, defendants shall make Relevant Employees available for interviews with the Acquirer during normal business hours at a mutually agreeable location and will not interfere with any negotiations by the Acquirer to employ any Relevant Employees. Interference with respect to this paragraph includes, but is not limited to, offering to increase the salary or benefits of Relevant Employees other than as part of a company-wide increase in salary or benefits granted in the ordinary course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For any Relevant Employees who elect employment with the Acquirer, defendants shall waive all noncompete and nondisclosure agreements, vest all unvested pension and other equity rights, and provide all benefits to which </w:t>
      </w:r>
      <w:r>
        <w:rPr>
          <w:rFonts w:ascii="arial" w:eastAsia="arial" w:hAnsi="arial" w:cs="arial"/>
          <w:b/>
          <w:i w:val="0"/>
          <w:strike w:val="0"/>
          <w:noProof w:val="0"/>
          <w:color w:val="000000"/>
          <w:position w:val="0"/>
          <w:sz w:val="20"/>
          <w:u w:val="none"/>
          <w:vertAlign w:val="baseline"/>
        </w:rPr>
        <w:t> [*48265] </w:t>
      </w:r>
      <w:r>
        <w:rPr>
          <w:rFonts w:ascii="arial" w:eastAsia="arial" w:hAnsi="arial" w:cs="arial"/>
          <w:b w:val="0"/>
          <w:i w:val="0"/>
          <w:strike w:val="0"/>
          <w:noProof w:val="0"/>
          <w:color w:val="000000"/>
          <w:position w:val="0"/>
          <w:sz w:val="20"/>
          <w:u w:val="none"/>
          <w:vertAlign w:val="baseline"/>
        </w:rPr>
        <w:t xml:space="preserve"> the Relevant Employees would generally be provided if transferred to a buyer of an ongoing business. For a period of twelve (12) months from the filing of the Complaint in this matter, defendants may not solicit to hire, or hire, any such person who was hired by the Acquirer, unless (1) such individual is terminated or laid off by the Acquirer or (2) the Acquirer agrees in writing that defendants may solicit or hire that individual. Nothing in Paragraphs IV(D) and (E) shall prohibit defendants from maintaining any reasonable restrictions on the disclosure by any employee who accepts an offer of employment with the Acquirer of the defendant's proprietary non-public information that is (1) not otherwise required to be disclosed by this Final Judgment, (2) related solely to defendants' businesses and clients, and (3) unrelated to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permit prospective Acquirers of the Divestiture Assets to have reasonable access to personnel and to make inspections of the physical facilities of SGL's U.S. Graphite Electrodes Business;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warrant to the Acquirer that each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Defendants shall warrant to the Acquirer that there are no material defects in the environmental, zoning, or other permits pertaining to the operation of each asset, and that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At the option of the Acquirer, SGL shall enter a transition services agreement to provide back office and information technology services and support for SGL's U.S. Graphite Electrodes Business for a period of up to one (1) year. The United States, in its sole discretion, may approve one or more extensions of this agreement for a total of up to an additional twelve (12) months. If the Acquirer seeks an extension of the term of this transition services agreement, it shall so notify the United States in writing at least three (3) months prior to the date the transition services contract expires. If the United States approves such an extension, it shall so notify the Acquirer in writing at least two (2) months prior to the date the transition services contract expires. The terms and conditions of any contractual arrangement intended to satisfy this provision must be reasonably related to the market value of the expertise of the personnel providing any needed assistance. The SGL employee(s) tasked with providing these transition services may not share any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of the Acquirer with any other SGL or SDK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At the option of the Acquirer, SDK shall enter into a supply contract for connecting pins sufficient to meet all or part of the Acquirer's needs for a period of up to three (3) years. The terms and conditions of any contractual arrangement meant to satisfy this provision must be reasonably related to market conditions for connecting pins. The United States, in its sole discretion, may approve one or more extensions of this supply contract for a total of up to an additional twelve (12) months. If the Acquirer seeks an extension of the term of this supply contract, it shall so notify the United States in writing at least three (3) months prior to the date the supply contract expires. If the United States approves such an extension, it shall so notify the Acquirer in writing at least two (2) months prior to the date the supply contract expires.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Unless the United States otherwise consents in writing, the divestiture pursuant to Section IV, or by Divestiture Trustee appointed pursuant to Section V, of this Final Judgment, shall include the entire Divestiture Assets, and shall be accomplished in such a way as to satisfy the United States, in its sole discretion, that the Divestiture Assets can and will be used by the Acquirer as part of a viable, ongoing business of the production, distribution, engineering, development, sale, or servicing of large diameter ultra-high power graphite electrodes in the United States. The divestitures,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production, distribution, engineering, development, sale, or servicing of large diameter ultra-high power graphite electrodes in the United States;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 and defendants give defendants the ability unreasonably to raise the Acquirer's costs, to lower the Acquirer's efficiency, or otherwise to interfere in the ability of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Paragraph IV(A), defendants shall notify the United States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 acceptable to the United States at such price and on such terms as are then obtainable upon reasonable effort by the Divestiture Trustee, subject to the provisions of Sections IV, V, and VI of this Final Judgment, and shall have such other powers as this Court deems appropriate. Subject to Paragraph V(D) of this Final Judgment, the Divestiture Trustee may hire at the cost and expense of defendants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Divestiture Trustee shall serve at the cost and expense of defendants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w:t>
      </w:r>
      <w:r>
        <w:rPr>
          <w:rFonts w:ascii="arial" w:eastAsia="arial" w:hAnsi="arial" w:cs="arial"/>
          <w:b/>
          <w:i w:val="0"/>
          <w:strike w:val="0"/>
          <w:noProof w:val="0"/>
          <w:color w:val="000000"/>
          <w:position w:val="0"/>
          <w:sz w:val="20"/>
          <w:u w:val="none"/>
          <w:vertAlign w:val="baseline"/>
        </w:rPr>
        <w:t> [*48266] </w:t>
      </w:r>
      <w:r>
        <w:rPr>
          <w:rFonts w:ascii="arial" w:eastAsia="arial" w:hAnsi="arial" w:cs="arial"/>
          <w:b w:val="0"/>
          <w:i w:val="0"/>
          <w:strike w:val="0"/>
          <w:noProof w:val="0"/>
          <w:color w:val="000000"/>
          <w:position w:val="0"/>
          <w:sz w:val="20"/>
          <w:u w:val="none"/>
          <w:vertAlign w:val="baseline"/>
        </w:rPr>
        <w:t xml:space="preserve"> Trustee, all remaining money shall be paid to defendants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defendants are unable to reach agreement on the Divestiture Trustee's or any agents' or consultants' compensation or other terms and conditions of engagement within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 ordered under this Final Judgment within six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reports contain information that the Divestiture Trustee deems confidential, such reports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the event defendants are divesting the Divestiture Assets to an Acquirer other than Tokai, within two (2) business days following execution of a definitive divestiture agreement, defendants or the Divestiture Trustee, whichever is then responsible for effecting the divestiture required herein, shall notify the United States of any proposed divestiture required by Section IV or Section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 any other third party, or the Divestiture Trustee, if applicable, additional information concerning the proposed divestiture, the proposed Acquirer, and any other potential Acquirer. Defendants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Paragraph V(C) of this Final Judgment. Absent written notice that the United States does not object to the proposed Acquirer or upon objection by the United States, a divestiture proposed under Section IV or Section V shall not be consummated. Upon objection by defendants under Paragraph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Section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Within twenty (20) calendar days of the filing of the Complaint in this matter, and every thirty (30) calendar days thereafter until the divestiture has been completed under Section IV or Section V, defendants shall deliver to the United States an affidavit as to the fact and manner of its compliance with Section IV or Section V of this Final Judgment. Each such affidavit shall include the name, address, and telephone number of each person who, during the preceding thirty (30) </w:t>
      </w:r>
      <w:r>
        <w:rPr>
          <w:rFonts w:ascii="arial" w:eastAsia="arial" w:hAnsi="arial" w:cs="arial"/>
          <w:b/>
          <w:i w:val="0"/>
          <w:strike w:val="0"/>
          <w:noProof w:val="0"/>
          <w:color w:val="000000"/>
          <w:position w:val="0"/>
          <w:sz w:val="20"/>
          <w:u w:val="none"/>
          <w:vertAlign w:val="baseline"/>
        </w:rPr>
        <w:t> [*48267] </w:t>
      </w:r>
      <w:r>
        <w:rPr>
          <w:rFonts w:ascii="arial" w:eastAsia="arial" w:hAnsi="arial" w:cs="arial"/>
          <w:b w:val="0"/>
          <w:i w:val="0"/>
          <w:strike w:val="0"/>
          <w:noProof w:val="0"/>
          <w:color w:val="000000"/>
          <w:position w:val="0"/>
          <w:sz w:val="20"/>
          <w:u w:val="none"/>
          <w:vertAlign w:val="baseline"/>
        </w:rPr>
        <w:t xml:space="preserve">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Stipulation and Order, or of determining whether the Final Judgment should be modified or vacated, and subject to any legally-recognized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2017-22443 Filed 10-16-17;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48255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bashiri.wilson@usdoj.gov" TargetMode="External" /><Relationship Id="rId17" Type="http://schemas.openxmlformats.org/officeDocument/2006/relationships/hyperlink" Target="https://advance.lexis.com/api/document?collection=statutes-legislation&amp;id=urn:contentItem:4YF7-GTP1-NRF4-44B7-00000-00&amp;context=" TargetMode="External" /><Relationship Id="rId18" Type="http://schemas.openxmlformats.org/officeDocument/2006/relationships/hyperlink" Target="https://advance.lexis.com/api/document?collection=cases&amp;id=urn:contentItem:3RTP-83N0-001T-D0C7-00000-00&amp;context=" TargetMode="External" /><Relationship Id="rId19" Type="http://schemas.openxmlformats.org/officeDocument/2006/relationships/hyperlink" Target="https://advance.lexis.com/api/document?collection=cases&amp;id=urn:contentItem:4NCK-65B0-TVT3-D3D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C2F-7GX1-F04C-Y0FY-00000-00&amp;context=" TargetMode="External" /><Relationship Id="rId21" Type="http://schemas.openxmlformats.org/officeDocument/2006/relationships/hyperlink" Target="https://advance.lexis.com/api/document?collection=cases&amp;id=urn:contentItem:4X85-40M0-TXFP-H385-00000-00&amp;context=" TargetMode="External" /><Relationship Id="rId22" Type="http://schemas.openxmlformats.org/officeDocument/2006/relationships/hyperlink" Target="https://advance.lexis.com/api/document?collection=cases&amp;id=urn:contentItem:3S4W-Y8S0-001B-K1MJ-00000-00&amp;context=" TargetMode="External" /><Relationship Id="rId23" Type="http://schemas.openxmlformats.org/officeDocument/2006/relationships/hyperlink" Target="https://advance.lexis.com/api/document?collection=cases&amp;id=urn:contentItem:3S4X-16H0-0039-W1PJ-00000-00&amp;context=" TargetMode="External" /><Relationship Id="rId24" Type="http://schemas.openxmlformats.org/officeDocument/2006/relationships/hyperlink" Target="https://advance.lexis.com/api/document?collection=cases&amp;id=urn:contentItem:44N5-9DK0-0038-Y4CW-00000-00&amp;context=" TargetMode="External" /><Relationship Id="rId25" Type="http://schemas.openxmlformats.org/officeDocument/2006/relationships/hyperlink" Target="https://advance.lexis.com/api/document?collection=cases&amp;id=urn:contentItem:494T-VD60-0038-Y0P1-00000-00&amp;context=" TargetMode="External" /><Relationship Id="rId26" Type="http://schemas.openxmlformats.org/officeDocument/2006/relationships/hyperlink" Target="https://advance.lexis.com/api/document?collection=cases&amp;id=urn:contentItem:3S4V-KH30-0054-6289-00000-00&amp;context=" TargetMode="External" /><Relationship Id="rId27" Type="http://schemas.openxmlformats.org/officeDocument/2006/relationships/hyperlink" Target="https://advance.lexis.com/api/document?collection=cases&amp;id=urn:contentItem:3S4X-53H0-003B-S0M5-00000-00&amp;context=" TargetMode="External" /><Relationship Id="rId28" Type="http://schemas.openxmlformats.org/officeDocument/2006/relationships/hyperlink" Target="https://advance.lexis.com/api/document?collection=cases&amp;id=urn:contentItem:40T2-X8J0-0038-Y2SJ-00000-00&amp;context=" TargetMode="External" /><Relationship Id="rId29" Type="http://schemas.openxmlformats.org/officeDocument/2006/relationships/hyperlink" Target="https://advance.lexis.com/api/document?collection=cases&amp;id=urn:contentItem:3S4N-V3J0-0054-72HT-00000-00&amp;context=" TargetMode="Externa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RD-75G0-006W-83VR-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57205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71338759</vt:lpwstr>
  </property>
  <property fmtid="{D5CDD505-2E9C-101B-9397-08002B2CF9AE}" pid="3" name="LADocCount">
    <vt:lpwstr>1</vt:lpwstr>
  </property>
  <property fmtid="{D5CDD505-2E9C-101B-9397-08002B2CF9AE}" pid="4" name="UserPermID">
    <vt:lpwstr>urn:user:PA185916758</vt:lpwstr>
  </property>
</Properties>
</file>