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50171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208, Monday, October 30,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50171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30,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Miami International Securities Exchange LLC; Notice of Filing and Immediate Effectiveness of a Proposed Rule Change To Amend Its Fee Schedule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34-81933; File No. SR-MIAX-2017-42]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October 24,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October 11, 2017, Miami International Securities Exchange LLC ("MIAX Options" or "Exchange") filed with the Securities and Exchange Commission (the "Commission") the proposed rule change as described in Items I and 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is filing a proposal to amend the MIAX Options Fee Schedule (the "Fee Schedule") to adopt a fee for the sale of certain historical market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http://www.miaxoptions.com/rule-filings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MIAX's principal office,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its Fee Schedule to adopt a fee for the sale of certain historical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historical market data that the Exchange proposes to sell provides information about the past activity of all option products traded on the Exchange for each trading session conducted during a particular calendar month. The data is intended to enhance the user's ability to analyze option trade and volume data, evaluate historical trends in the trading activity of a particular option product, and enable the testing of trading models and analytical strategies. Specifically, the historical market data that the Exchange proposes to sell includes all data that is captured and disseminated on the following proprietary MIAX Options data feeds, on a T+1 basis: MIAX Top of Market data feed ("ToM"); MIAX Order Feed ("MOR"); MIAX Administrative Information Subscriber Feed ("AIS"); and MIAX Complex Top of Market data feed ("cToM") ("Historical Market Data"). All such proprietary MIAX Options data feeds that, on a T+1 basis, comprise the Historical Market Data are described on the Exchange's Fee Schedule.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MIAX Fee Schedule,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provides real-time updates of the MIAX Best Bid or Offer, or MBBO, n4 price with aggregate orders and quote size of contracts that can be displayed, display of Public Customer n5 interest at the MBBO, display of Priority Customer n6 interest at the MBBO, and MIAX Options last sale. n7 MOR provides real-time updates of options orders, products traded on MIAX Options, MIAX Options System n8 status, and MIAX Options underlying trading status. n9 AIS provides real-time updates of products traded on MIAX Options, trading status for MIAX Options and products traded on MIAX Options, and liquidity seeking event notifications. n10 cToM provides real-time updates of MIAX Options strategy best bid or offer, or cMBBO, n11 price with aggregated complex order sizes of a strategy that can be displayed at that price, and MIAX Options strategy last sale.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term "MBBO" means the best bid or offer on the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Rule 506(c)(2).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term "Public Customer" means a person that is not a broker or dealer in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term "Priority Customer" means a person or entity that (i) is not a broker or dealer in securities, and (ii) does not place more than 390 orders in listed options per day on average during a calendar month for its own beneficial account(s).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69007 (February 28, 2013), 78FR 14617 (March 6, 2013) (SR-MIAX-2013-05).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term "System" means the automated trading system used by the Exchange for the trading of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74759 (April 17, 2015), </w:t>
      </w:r>
      <w:hyperlink r:id="rId11" w:history="1">
        <w:r>
          <w:rPr>
            <w:rFonts w:ascii="arial" w:eastAsia="arial" w:hAnsi="arial" w:cs="arial"/>
            <w:b w:val="0"/>
            <w:i/>
            <w:strike w:val="0"/>
            <w:noProof w:val="0"/>
            <w:color w:val="0077CC"/>
            <w:position w:val="0"/>
            <w:sz w:val="20"/>
            <w:u w:val="single"/>
            <w:vertAlign w:val="baseline"/>
          </w:rPr>
          <w:t>80 FR 22749</w:t>
        </w:r>
      </w:hyperlink>
      <w:r>
        <w:rPr>
          <w:rFonts w:ascii="arial" w:eastAsia="arial" w:hAnsi="arial" w:cs="arial"/>
          <w:b w:val="0"/>
          <w:i w:val="0"/>
          <w:strike w:val="0"/>
          <w:noProof w:val="0"/>
          <w:color w:val="000000"/>
          <w:position w:val="0"/>
          <w:sz w:val="20"/>
          <w:u w:val="none"/>
          <w:vertAlign w:val="baseline"/>
        </w:rPr>
        <w:t xml:space="preserve"> (April 23, 2015) (SR-MIAX-2015-28).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73326 (October 9, 2014), </w:t>
      </w:r>
      <w:hyperlink r:id="rId12" w:history="1">
        <w:r>
          <w:rPr>
            <w:rFonts w:ascii="arial" w:eastAsia="arial" w:hAnsi="arial" w:cs="arial"/>
            <w:b w:val="0"/>
            <w:i/>
            <w:strike w:val="0"/>
            <w:noProof w:val="0"/>
            <w:color w:val="0077CC"/>
            <w:position w:val="0"/>
            <w:sz w:val="20"/>
            <w:u w:val="single"/>
            <w:vertAlign w:val="baseline"/>
          </w:rPr>
          <w:t>79 FR 62233</w:t>
        </w:r>
      </w:hyperlink>
      <w:r>
        <w:rPr>
          <w:rFonts w:ascii="arial" w:eastAsia="arial" w:hAnsi="arial" w:cs="arial"/>
          <w:b w:val="0"/>
          <w:i w:val="0"/>
          <w:strike w:val="0"/>
          <w:noProof w:val="0"/>
          <w:color w:val="000000"/>
          <w:position w:val="0"/>
          <w:sz w:val="20"/>
          <w:u w:val="none"/>
          <w:vertAlign w:val="baseline"/>
        </w:rPr>
        <w:t xml:space="preserve"> (October 16, 2014) (SR-MIAX-2014-51).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506(c)(2).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79146 (October 24, 2016), </w:t>
      </w:r>
      <w:r>
        <w:rPr>
          <w:rFonts w:ascii="arial" w:eastAsia="arial" w:hAnsi="arial" w:cs="arial"/>
          <w:b w:val="0"/>
          <w:i/>
          <w:strike w:val="0"/>
          <w:noProof w:val="0"/>
          <w:color w:val="000000"/>
          <w:position w:val="0"/>
          <w:sz w:val="20"/>
          <w:u w:val="none"/>
          <w:vertAlign w:val="baseline"/>
        </w:rPr>
        <w:t>81 FR 75171</w:t>
      </w:r>
      <w:r>
        <w:rPr>
          <w:rFonts w:ascii="arial" w:eastAsia="arial" w:hAnsi="arial" w:cs="arial"/>
          <w:b w:val="0"/>
          <w:i w:val="0"/>
          <w:strike w:val="0"/>
          <w:noProof w:val="0"/>
          <w:color w:val="000000"/>
          <w:position w:val="0"/>
          <w:sz w:val="20"/>
          <w:u w:val="none"/>
          <w:vertAlign w:val="baseline"/>
        </w:rPr>
        <w:t>(October 28, 2016) (SR-MIAX-2016-36).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MIAX Options will only assess the fee for Historical Market Data on a user (whether Member or Non-Member) that specifically requests such Historical Market Data. Historical Market Data will be uploaded onto an Exchange-provided device. The amount of the fee is $ 500, and it will be assessed on a per device basis. Each device shall have a maximum storage capacity of 8 Terabytes and will be configured to include data for both MIAX Options and MIAX PEARL. Users may request up to six months of Historical Market Data per device, subject to the device's storage capacity. Historical Market Data is available from August 1, 2017 to the present (always on a T+1 basis), </w:t>
      </w:r>
      <w:r>
        <w:rPr>
          <w:rFonts w:ascii="arial" w:eastAsia="arial" w:hAnsi="arial" w:cs="arial"/>
          <w:b/>
          <w:i w:val="0"/>
          <w:strike w:val="0"/>
          <w:noProof w:val="0"/>
          <w:color w:val="000000"/>
          <w:position w:val="0"/>
          <w:sz w:val="20"/>
          <w:u w:val="none"/>
          <w:vertAlign w:val="baseline"/>
        </w:rPr>
        <w:t> [*50172] </w:t>
      </w:r>
      <w:r>
        <w:rPr>
          <w:rFonts w:ascii="arial" w:eastAsia="arial" w:hAnsi="arial" w:cs="arial"/>
          <w:b w:val="0"/>
          <w:i w:val="0"/>
          <w:strike w:val="0"/>
          <w:noProof w:val="0"/>
          <w:color w:val="000000"/>
          <w:position w:val="0"/>
          <w:sz w:val="20"/>
          <w:u w:val="none"/>
          <w:vertAlign w:val="baseline"/>
        </w:rPr>
        <w:t xml:space="preserve"> however only the most recent six months of Historical Market Data shall be available for purchase from the request date. Historical Market Data usage is restricted to internal use only, and thus may not be distributed to any third-party.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this filing is substantially similar to a companion MIAX PEARL filing establishing a fee for historical market data on its exchange.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SR-PEARL-2017-35 (filed on October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to amend its fee schedule is consistent with Section 6(b) of the Act n14 in general, and furthers the objectives of Section 6(b)(4) of the Act n15 in particular, in that it is an equitable allocation of reasonable dues, fees and other charges among Exchange members and issuers and other persons using its facilities. The proposal provides for the equitable allocation of reasonable fees and other charges among Exchange members and other persons using its facilities because all persons and entities will have equal access to Historical Market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3"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the proposed fees are a reasonable allocation of its costs and expenses among its Members and other persons using its facilities since it is recovering the costs associated with distributing such data. Access to the Exchange is provided on fair and non-discriminatory terms. The Exchange believes the proposed fees are equitable and not unfairly discriminatory because the fee level results in a reasonable and equitable allocation of fees amongst users for similar services. Moreover, the decision as to whether or not to purchase Historical Market Data is entirely optional to all users. Potential purchasers are not required to purchase the Historical Market Data, and the Exchange is not required to make the Historical Market Data available. Purchasers may request the data at any time or may decline to purchase such data. The allocation of fees among users is fair and reasonable because, if the market deems the proposed fees to be unfair or inequitable, firms can diminish or discontinue their use of this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when broker-dealers may choose to receive (and pay for) additional market data based on their own internal analysis of the need for such data."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4"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broker-dealers at all, it follows that the price at which such data is sold should be set by the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2010, Congress adopted H.R. 4173, the Dodd-Frank Wall Street Reform and Consumer Protection Act of 2010 ("Dodd-Frank Act"), which amended Section 19 of the Act. Among other things, Section 916 of the Dodd-Frank Act amended paragraph (A) of Section 19(b)(3) of the Act by inserting the phrase "on any person, whether or not the person is a member of the self-regulatory organization" after "due, fee or other charge imposed by the self-regulatory organization." As a result, all SRO rule proposals establishing or changing dues, fees or other charges are immediately effective upon filing regardless of whether such dues, fees or other charges are imposed on members of the SRO, non-members, or both. Section 916 further amended paragraph (C) of Section 19(b)(3) of the Act to read, in pertinent part, "At any time within the 60-day period beginning on the date of filing of such a proposed rule change in accordance with the provisions of paragraph (1) [of Section 19(b)], the Commission summarily may temporarily suspend the change in the rules of the self-regulatory organization made thereby, if it appears to the Commission that such action is necessary or appropriate in the public interest, for the protection of investors, or otherwise in furtherance of the purposes of this title. If the Commission takes such action, the Commission shall institute proceedings under paragraph (2)(B) [of Section 19(b)] to determine whether the proposed rule should be approved or disapproved."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these amendments to Section 19 of the Act reflect Congress's intent to allow the Commission to rely upon the forces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fees for market data are reasonable and equitably allocated. Although Section 19(b) had formerly authorized immediate effectiveness for a "due, fee or other charge imposed by the self-regulatory organization," the Commission adopted a policy and subsequently a rule stating that fees for data and other products available to persons that are not members of the self-regulatory organization must be approved by the Commission after first being published for comment. At the time, the Commission supported the adoption of the policy and the rule by pointing out that unlike members, whose representation in self-regulatory organization governance was mandated by the Act, non-members should be given the opportunity to comment on fees before being required to pay them, and that the Commission should specifically approve all such fees. The Exchange believes that the amendment to Section 19 reflects Congress's conclusion that the evolution of self-regulatory organization governance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structure have rendered the Commission's prior policy on non-member fees obsolete. Specifically, many exchanges have evolved from member-owned, not-for-profit corporations into for-profit, investor-owned corporations (or subsidiaries of investor-owned corporations). Accordingly, exchanges no longer have narrow incentives to manage their affairs for the exclusive benefit of their members, but rather have incentives to maximize the appeal of their products to all customers, whether members or non-members, so as to broaden distribution and grow revenues. Moreover, the Exchange believes that the change also reflects an endorsement of the Commission's determinations that reliance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is an appropriate means to ensure equitable and reasonable prices. Simply put, the change reflects a presumption that all fee changes should be permitted to take effect immediately, since the level of all fees are constrained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Selling proprietary market data, such as Historical Market Data, is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business.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provide.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business places substantial pressure </w:t>
      </w:r>
      <w:r>
        <w:rPr>
          <w:rFonts w:ascii="arial" w:eastAsia="arial" w:hAnsi="arial" w:cs="arial"/>
          <w:b/>
          <w:i w:val="0"/>
          <w:strike w:val="0"/>
          <w:noProof w:val="0"/>
          <w:color w:val="000000"/>
          <w:position w:val="0"/>
          <w:sz w:val="20"/>
          <w:u w:val="none"/>
          <w:vertAlign w:val="baseline"/>
        </w:rPr>
        <w:t> [*50173] </w:t>
      </w:r>
      <w:r>
        <w:rPr>
          <w:rFonts w:ascii="arial" w:eastAsia="arial" w:hAnsi="arial" w:cs="arial"/>
          <w:b w:val="0"/>
          <w:i w:val="0"/>
          <w:strike w:val="0"/>
          <w:noProof w:val="0"/>
          <w:color w:val="000000"/>
          <w:position w:val="0"/>
          <w:sz w:val="20"/>
          <w:u w:val="none"/>
          <w:vertAlign w:val="baseline"/>
        </w:rPr>
        <w:t xml:space="preserve"> upon exchanges to keep their fees for both executions and data reasonable. n17 The Exchange therefore believes that the fees for Historical Market Data are properly assessed on Members and Non-Member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Sec. Indus. Fin. Mkts. Ass'n (SIFMA), Initial Decision Release No. 1015, 2016 SEC LEXIS 2278</w:t>
        </w:r>
      </w:hyperlink>
      <w:r>
        <w:rPr>
          <w:rFonts w:ascii="arial" w:eastAsia="arial" w:hAnsi="arial" w:cs="arial"/>
          <w:b w:val="0"/>
          <w:i w:val="0"/>
          <w:strike w:val="0"/>
          <w:noProof w:val="0"/>
          <w:color w:val="000000"/>
          <w:position w:val="0"/>
          <w:sz w:val="20"/>
          <w:u w:val="none"/>
          <w:vertAlign w:val="baseline"/>
        </w:rPr>
        <w:t xml:space="preserve"> (ALJ June 1, 2016) (finding the existence of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respect to non-core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w:t>
      </w:r>
      <w:r>
        <w:rPr>
          <w:rFonts w:ascii="arial" w:eastAsia="arial" w:hAnsi="arial" w:cs="arial"/>
          <w:b w:val="0"/>
          <w:i w:val="0"/>
          <w:strike w:val="0"/>
          <w:noProof w:val="0"/>
          <w:color w:val="000000"/>
          <w:position w:val="0"/>
          <w:sz w:val="20"/>
          <w:u w:val="none"/>
          <w:vertAlign w:val="baseline"/>
        </w:rPr>
        <w:t xml:space="preserve"> No. 09-1042 (D.C. Cir. 2010), although reviewing a Commission decision made prior to the effective date of the Dodd-Frank Act, upheld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 "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at 15 (quoting H.R. Rep. No. 94-229, at 92 (1975), as reprinted in 1975 U.S.C.C.A.N. 321, 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conclusions about Congressional intent are therefore reinforced by the Dodd-Frank Act amendments, which create a presumption that exchange fees, including market data fees, may take effect immediately, without prior Commission approval, and that the Commission should take action to suspend a fee change and institute a proceeding to determine whether the fee change should be approved or disapproved only where the Commission has concerns that the change may not be consistent with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Indeed, the Exchange believes that offering certain Historical Market Data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encouraging sales, which will make analytical data more readily available to investors. Notwithstanding its determination that the Commission may rely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establish fair and equitably allocated fees for market data,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Court found that the Commission had not, in that case, compiled a record that adequately supported its conclusion that the market for the data at issue in the case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Exchange believes that a record may readily be established to demonstrate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data products is extremely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users may freely choose alternative venues and data vendors based on the aggregate fees assessed, the data offered, and the value provided.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and distribution of its data products. Without trade executions, exchange data products cannot exist. Moreover, data products are valuable to many end users only insofar as they provide information that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distribution industries such as software, where developing new software typically requires a large initial investment (and continuing large investments to upgrade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n19 In the case of any exchange,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evidence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 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the Nasdaq exchanges, NYSE exchanges, and CBOE/Bats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an "excessive" price for one product will have to be reflected in lower prices for other products sold by the Exchange, or otherwise the Exchange may experience a loss in sales that may adversely affect its profitability. In this case, the proposed rule change enhances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providing Historical Market Data at a fixed price. As such, the Exchange believes that the proposed changes will enhance, not impair,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market data products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to the creation of proprietary data and strict pricing discipline for the </w:t>
      </w:r>
      <w:r>
        <w:rPr>
          <w:rFonts w:ascii="arial" w:eastAsia="arial" w:hAnsi="arial" w:cs="arial"/>
          <w:b/>
          <w:i w:val="0"/>
          <w:strike w:val="0"/>
          <w:noProof w:val="0"/>
          <w:color w:val="000000"/>
          <w:position w:val="0"/>
          <w:sz w:val="20"/>
          <w:u w:val="none"/>
          <w:vertAlign w:val="baseline"/>
        </w:rPr>
        <w:t> [*50174] </w:t>
      </w:r>
      <w:r>
        <w:rPr>
          <w:rFonts w:ascii="arial" w:eastAsia="arial" w:hAnsi="arial" w:cs="arial"/>
          <w:b w:val="0"/>
          <w:i w:val="0"/>
          <w:strike w:val="0"/>
          <w:noProof w:val="0"/>
          <w:color w:val="000000"/>
          <w:position w:val="0"/>
          <w:sz w:val="20"/>
          <w:u w:val="none"/>
          <w:vertAlign w:val="baseline"/>
        </w:rPr>
        <w:t xml:space="preserv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This proprietary data is produced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Broker-dealers currently have numerous alternative venues for their order flow, including fifteen existing options markets.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 The large number of SROs that currently produce proprietary data or are currently capable of producing it provides further pricing discipline for proprietary data products. Each SRO is currently permitted to produce proprietary data products, and many in addition to MIAX Options currently do, including NASDAQ, CBOE, Nasdaq ISE, NYSE American, and NYSE Arca. Additionally, order routers and market data vendors can facilitate single or multiple broker-dealers' production of proprietary data products. The potential sources of proprietary products are virtually limitless.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data vendors provide another form of price discipline for proprietary data products because they control the primary means of access to end subscribers. Vendors impose price restraints based upon their business models. For example, vendors such as Bloomberg and Thomson Reuters that assess a surcharge on data they sell may refuse to offer proprietary products that end subscribers will not purchase in sufficient numbers. Internet portals, such as Google, impose a discipline by providing only data that will enable them to attract "eyeballs" that contribute to their advertising revenue. Retail broker-dealers, such as Schwab and Fidelity, offer their customers proprietary data only if it promotes trading and generates sufficient commission revenue. Although the business models may differ, these vendors' pricing discipline is the same: they can simply refuse to purchase any proprietary data product that fails to provide sufficient value. The Exchange and other producers of proprietary data products must understand and respond to these varying business models and pricing disciplines in order to market proprietary data products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BATS Trading and Direct Edge.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contestability of that market. While broker-dealers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broker-dealers to produce proprietary products cooperatively in a manner never before possible. Multiple market data vendors already have the capability to aggregate data and disseminate it on a profitable scale, including Bloomberg, and Thomson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concluded that the Commission had failed to demonstrate that the market for market data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based on the reasoning of the Commission's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order because, in the Court's view, the Commission had not adequately demonstrated that the proprietary data at issue in the case is used to attract order flow. The Exchange believes, however, that evidence not then before the court clearly demonstrates that availability of data attracts order flow. Due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platforms, the Exchange intends to improve its platform data offerings on a continuing basis, and to respond promptly to customers' data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intensity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proprietary information is significant and the Exchange believes that this proposal itself clearly evidences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is offering Historical Market Data in order to keep pace with changes in the industry and evolving customer needs. It is entirely optional and is geared towards attracting new order flow. MIAX Options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continue to create new market data products and innovative pricing in this space. In all cases, the Exchange expects firms and other parties to make decisions on how much and what types of data to consume on the basis of the total cost of interacting with MIAX Options or other exchanges. Of course, the explicit data fees are only one factor in a total platform analysis. Some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lower transactions fees and higher data fees, and others are vice versa. The market for this proprietary information is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continually evolves as products develop and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were neither solicited nor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pursuant to Section 19(b)(3)(A)(ii) of the Act, n20 and subparagraph (f)(2) of Rule 19b-4 n21 thereunder, because it establishes a due, fee, or other charge imposed by the Exchange. 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n22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the Commission's Internet comment form </w:t>
      </w:r>
      <w:r>
        <w:rPr>
          <w:rFonts w:ascii="arial" w:eastAsia="arial" w:hAnsi="arial" w:cs="arial"/>
          <w:b w:val="0"/>
          <w:i/>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7"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SR-MIAX-2017-42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SR-MIAX-2017-42. This file number should be included on the subject line if email is used. To help the Commission process and review your comments more efficiently, please use only one method. The Commission will post all comments on the Commission's Internet Web site (</w:t>
      </w:r>
      <w:hyperlink r:id="rId1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t>
      </w:r>
      <w:r>
        <w:rPr>
          <w:rFonts w:ascii="arial" w:eastAsia="arial" w:hAnsi="arial" w:cs="arial"/>
          <w:b/>
          <w:i w:val="0"/>
          <w:strike w:val="0"/>
          <w:noProof w:val="0"/>
          <w:color w:val="000000"/>
          <w:position w:val="0"/>
          <w:sz w:val="20"/>
          <w:u w:val="none"/>
          <w:vertAlign w:val="baseline"/>
        </w:rPr>
        <w:t> [*50175] </w:t>
      </w:r>
      <w:r>
        <w:rPr>
          <w:rFonts w:ascii="arial" w:eastAsia="arial" w:hAnsi="arial" w:cs="arial"/>
          <w:b w:val="0"/>
          <w:i w:val="0"/>
          <w:strike w:val="0"/>
          <w:noProof w:val="0"/>
          <w:color w:val="000000"/>
          <w:position w:val="0"/>
          <w:sz w:val="20"/>
          <w:u w:val="none"/>
          <w:vertAlign w:val="baseline"/>
        </w:rPr>
        <w:t xml:space="preserve">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SR-MIAX-2017-42 and should be submitted on or before November 20,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18"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authority.&lt;23&gt;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2017-23482 Filed 10-27-17;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50171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iaxoptions.com/rule-filings" TargetMode="External" /><Relationship Id="rId11" Type="http://schemas.openxmlformats.org/officeDocument/2006/relationships/hyperlink" Target="https://advance.lexis.com/api/document?collection=administrative-codes&amp;id=urn:contentItem:5FTT-0SR0-006W-80PF-00000-00&amp;context=" TargetMode="External" /><Relationship Id="rId12" Type="http://schemas.openxmlformats.org/officeDocument/2006/relationships/hyperlink" Target="https://advance.lexis.com/api/document?collection=administrative-codes&amp;id=urn:contentItem:5DCH-9WT0-006W-81TV-00000-00&amp;context=" TargetMode="External" /><Relationship Id="rId13" Type="http://schemas.openxmlformats.org/officeDocument/2006/relationships/hyperlink" Target="https://advance.lexis.com/api/document?collection=statutes-legislation&amp;id=urn:contentItem:4YF7-GPC1-NRF4-4309-00000-00&amp;context=" TargetMode="External" /><Relationship Id="rId14" Type="http://schemas.openxmlformats.org/officeDocument/2006/relationships/hyperlink" Target="https://advance.lexis.com/api/document?collection=administrative-codes&amp;id=urn:contentItem:4GH9-4PB0-014W-D1VJ-00000-00&amp;context=" TargetMode="External" /><Relationship Id="rId15" Type="http://schemas.openxmlformats.org/officeDocument/2006/relationships/hyperlink" Target="https://advance.lexis.com/api/document?collection=administrative-materials&amp;id=urn:contentItem:5K44-XNM0-000Y-43WY-00000-00&amp;context=" TargetMode="External" /><Relationship Id="rId16" Type="http://schemas.openxmlformats.org/officeDocument/2006/relationships/hyperlink" Target="http://www.sec.gov/rules/sro.shtml" TargetMode="External" /><Relationship Id="rId17" Type="http://schemas.openxmlformats.org/officeDocument/2006/relationships/hyperlink" Target="mailto:rule-comments@sec.gov" TargetMode="External" /><Relationship Id="rId18" Type="http://schemas.openxmlformats.org/officeDocument/2006/relationships/hyperlink" Target="https://advance.lexis.com/api/document?collection=administrative-codes&amp;id=urn:contentItem:5SPP-2120-008G-Y2ND-00000-00&amp;context=" TargetMode="Externa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V5-SST0-006W-855T-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12535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71343290</vt:lpwstr>
  </property>
  <property fmtid="{D5CDD505-2E9C-101B-9397-08002B2CF9AE}" pid="3" name="LADocCount">
    <vt:lpwstr>1</vt:lpwstr>
  </property>
  <property fmtid="{D5CDD505-2E9C-101B-9397-08002B2CF9AE}" pid="4" name="UserPermID">
    <vt:lpwstr>urn:user:PA185916758</vt:lpwstr>
  </property>
</Properties>
</file>