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50181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208, Monday, October 30,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50181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30,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MIAX PEARL, LLC; Notice of Filing and Immediate Effectiveness of a Proposed Rule Change To Amend the MIAX PEARL Fee Schedule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34-81932; File No. SR-PEARL-2017-35]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October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 4 thereunder, n2 notice is hereby given that on October 11, 2017, MIAX PEARL, LLC ("MIAX PEARL" or "Exchange") filed with the Securities and Exchange Commission (the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is filing a proposal to amend the MIAX PEARL Fee Schedule (the "Fee Schedule") to adopt a fee for the sale of certain historical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http://www.miaxoptions.com/rule-filings/pearl</w:t>
        </w:r>
      </w:hyperlink>
      <w:r>
        <w:rPr>
          <w:rFonts w:ascii="arial" w:eastAsia="arial" w:hAnsi="arial" w:cs="arial"/>
          <w:b w:val="0"/>
          <w:i w:val="0"/>
          <w:strike w:val="0"/>
          <w:noProof w:val="0"/>
          <w:color w:val="000000"/>
          <w:position w:val="0"/>
          <w:sz w:val="20"/>
          <w:u w:val="none"/>
          <w:vertAlign w:val="baseline"/>
        </w:rPr>
        <w:t xml:space="preserve"> at MIAX PEARL's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 Schedule to adopt a fee for the sale of certain historical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historical market data that the Exchange proposes to sell provides information about the past activity of all option products traded on the Exchange for each trading session conducted during a particular calendar month. The data is intended to enhance the user's ability to analyze option trade and volume data, evaluate historical trends in the trading activity of a particular option product, and enable the testing of trading models and analytical strategies. Specifically, the historical market data that the Exchange proposes to sell includes all data that is captured and disseminated on the following proprietary MIAX PEARL data feeds, on a T+1 basis: MIAX PEARL Top of Market ("ToM"); and MIAX PEARL Liquidity Feed ("PLF") ("Historical Market Data"). All such proprietary MIAX PEARL data feeds that, on a T+1 basis, comprise the Historical Market Data are described on the Exchange's Fee Schedule.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PEARL Fee Schedule,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provides real-time, ultra-low latency updates of the MIAX PEARL Best Bid or Offer, or PBBO, n4 the last sale with trade price, size and condition, last sale cancellations, listed series updates, system state, and underlying trading state. n5 PLF provides real-time, ultra-low latency updates of new simple orders added to the MIAX PEARL order book, updates to simple orders resting on the MIAX PEARL order book, listed series updates, System n6 state, and underlying trading state.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term "PBBO" means the best bid or offer on the PEARL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Rule 506(d).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79913 (February 1, 2017), </w:t>
      </w:r>
      <w:hyperlink r:id="rId11" w:history="1">
        <w:r>
          <w:rPr>
            <w:rFonts w:ascii="arial" w:eastAsia="arial" w:hAnsi="arial" w:cs="arial"/>
            <w:b w:val="0"/>
            <w:i/>
            <w:strike w:val="0"/>
            <w:noProof w:val="0"/>
            <w:color w:val="0077CC"/>
            <w:position w:val="0"/>
            <w:sz w:val="20"/>
            <w:u w:val="single"/>
            <w:vertAlign w:val="baseline"/>
          </w:rPr>
          <w:t>82 FR 9617</w:t>
        </w:r>
      </w:hyperlink>
      <w:r>
        <w:rPr>
          <w:rFonts w:ascii="arial" w:eastAsia="arial" w:hAnsi="arial" w:cs="arial"/>
          <w:b w:val="0"/>
          <w:i w:val="0"/>
          <w:strike w:val="0"/>
          <w:noProof w:val="0"/>
          <w:color w:val="000000"/>
          <w:position w:val="0"/>
          <w:sz w:val="20"/>
          <w:u w:val="none"/>
          <w:vertAlign w:val="baseline"/>
        </w:rPr>
        <w:t xml:space="preserve"> (February 7, 2017) (SR-PEARL-2017-01) (Establishing MIAX PEARL ToM and PLF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term "System" means the automated trading system used by the Exchange for the trading of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MIAX PEARL will only assess the fee for Historical Market Data on a user (whether Member or Non-Member) that specifically requests such Historical Market Data. Historical Market Data will be uploaded onto an Exchange-provided device. The amount of the fee is $ 500, and it will be assessed on a per device basis. Each device shall have a maximum storage capacity of 8 Terabytes and will be configured to include data for both MIAX Options and MIAX PEARL. Users may request up to six months of Historical Market Data per device, subject to the device's storage capacity. Historical Market Data is available from August 1, 2017 to the present (always on a T+1 basis), however only the most recent six months of Historical Market Data shall be available for purchase from the request date. Historical Market Data usage is restricted to internal use only, and thus may not be distributed to any third-party.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this filing is substantially similar to a companion MIAX Options filing n8 establishing a fee for historical market data on its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SR-MIAX-2017-42 (filed on October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proposal to amend its Fee Schedule is consistent with Section 6(b) of the Act n9 in general, and furthers the objectives of Section 6(b)(4) of the Act, n10 in particular, in that it is an equitable allocation of reasonable dues, fees and other charges among Exchange members and issuers and other persons using its facilities. The proposal provides for the equitable allocation of reasonable fees and other charges among Exchange </w:t>
      </w:r>
      <w:r>
        <w:rPr>
          <w:rFonts w:ascii="arial" w:eastAsia="arial" w:hAnsi="arial" w:cs="arial"/>
          <w:b/>
          <w:i w:val="0"/>
          <w:strike w:val="0"/>
          <w:noProof w:val="0"/>
          <w:color w:val="000000"/>
          <w:position w:val="0"/>
          <w:sz w:val="20"/>
          <w:u w:val="none"/>
          <w:vertAlign w:val="baseline"/>
        </w:rPr>
        <w:t> [*50182] </w:t>
      </w:r>
      <w:r>
        <w:rPr>
          <w:rFonts w:ascii="arial" w:eastAsia="arial" w:hAnsi="arial" w:cs="arial"/>
          <w:b w:val="0"/>
          <w:i w:val="0"/>
          <w:strike w:val="0"/>
          <w:noProof w:val="0"/>
          <w:color w:val="000000"/>
          <w:position w:val="0"/>
          <w:sz w:val="20"/>
          <w:u w:val="none"/>
          <w:vertAlign w:val="baseline"/>
        </w:rPr>
        <w:t xml:space="preserve"> members and other persons using its facilities because all persons and entities will have equal access to Historical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the proposed fees are a reasonable allocation of its costs and expenses among its Members and other persons using its facilities since it is recovering the costs associated with distributing such data. Access to the Exchange is provided on fair and non-discriminatory terms. The Exchange believes the proposed fees are equitable and not unfairly discriminatory because the fee level results in a reasonable and equitable allocation of fees amongst users for similar services. Moreover, the decision as to whether or not to purchase Historical Market Data is entirely optional to all users. Potential purchasers are not required to purchase the Historical Market Data, and the Exchange is not required to make the Historical Market Data available. Purchasers may request the data at any time or may decline to purchase such data. The allocation of fees among users is fair and reasonable because, if the market deems the proposed fees to be unfair or inequitable, firms can diminish or discontinue their use of this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when broker-dealers may choose to receive (and pay for) additional market data based on their own internal analysis of the need for such data.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3"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2010, Congress adopted H.R. 4173, the Dodd-Frank Wall Street Reform and Consumer Protection Act of 2010 ("Dodd-Frank Act"), which amended Section 19 of the Act. Among other things, Section 916 of the Dodd-Frank Act amended paragraph (A) of Section 19(b)(3) of the Act by inserting the phrase "on any person, whether or not the person is a member of the self-regulatory organization" after "due, fee or other charge imposed by the self-regulatory organization." As a result, all SRO rule proposals establishing or changing dues, fees or other charges are immediately effective upon filing regardless of whether such dues, fees or other charges are imposed on members of the SRO, non-members, or both. Section 916 further amended paragraph (C) of Section 19(b)(3) of the Act to read, in pertinent part, "At any time within the 60-day period beginning on the date of filing of such a proposed rule change in accordance with the provisions of paragraph (1) [of Section 19(b)], the Commission summarily may temporarily suspend the change in the rules of the self-regulatory organization made thereby, if it appears to the Commission that such action is necessary or appropriate in the public interest, for the protection of investors, or otherwise in furtherance of the purposes of this title. If the Commission takes such action, the Commission shall institute proceedings under paragraph (2)(B) [of Section 19(b)] to determine whether the proposed rule should be approved or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these amendments to Section 19 of the Act reflect Congress's intent to allow the Commission to rely upon the forces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fees for market data are reasonable and equitably allocated. Although Section 19(b) had formerly authorized immediate effectiveness for a "due, fee or other charge imposed by the self-regulatory organization," the Commission adopted a policy and subsequently a rule stating that fees for data and other products available to persons that are not members of the self-regulatory organization must be approved by the Commission after first being published for comment. At the time, the Commission supported the adoption of the policy and the rule by pointing out that unlike members, whose representation in self-regulatory organization governance was mandated by the Act, non-members should be given the opportunity to comment on fees before being required to pay them, and that the Commission should specifically approve all such fees. The Exchange believes that the amendment to Section 19 reflects Congress's conclusion that the evolution of self-regulatory organization governance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structure have rendered the Commission's prior policy on non-member fees obsolete. Specifically, many exchanges have evolved from member-owned, not-for-profit corporations into for-profit, investor-owned corporations (or subsidiaries of investor-owned corporations). Accordingly, exchanges no longer have narrow incentives to manage their affairs for the exclusive benefit of their members, but rather have incentives to maximize the appeal of their products to all customers, whether members or non-members, so as to broaden distribution and grow revenues. Moreover, the Exchange believes that the change also reflects an endorsement of the Commission's determinations that reliance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is an appropriate means to ensure equitable and reasonable prices. Simply put, the change reflects a presumption that all fee changes should be permitted to take effect immediately, since the level of all fees are constrained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Selling proprietary market data, such as Historical Market Data, is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business.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provide.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places substantial pressure upon exchanges to keep their fees for both executions and data reasonable. n12 The Exchange therefore believes that the fees for Historical Market Data are properly assessed on Members and Non-Member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No. 09-1042 (D.C. Cir. 2010), although reviewing a Commission decision made prior to the effective date of the Dodd-Frank Act,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w:t>
      </w:r>
      <w:r>
        <w:rPr>
          <w:rFonts w:ascii="arial" w:eastAsia="arial" w:hAnsi="arial" w:cs="arial"/>
          <w:b/>
          <w:i w:val="0"/>
          <w:strike w:val="0"/>
          <w:noProof w:val="0"/>
          <w:color w:val="000000"/>
          <w:position w:val="0"/>
          <w:sz w:val="20"/>
          <w:u w:val="none"/>
          <w:vertAlign w:val="baseline"/>
        </w:rPr>
        <w:t> [*50183] </w:t>
      </w:r>
      <w:r>
        <w:rPr>
          <w:rFonts w:ascii="arial" w:eastAsia="arial" w:hAnsi="arial" w:cs="arial"/>
          <w:b w:val="0"/>
          <w:i w:val="0"/>
          <w:strike w:val="0"/>
          <w:noProof w:val="0"/>
          <w:color w:val="000000"/>
          <w:position w:val="0"/>
          <w:sz w:val="20"/>
          <w:u w:val="none"/>
          <w:vertAlign w:val="baseline"/>
        </w:rPr>
        <w:t xml:space="preserve"> in the creation of a consolidated transactional reporting system.'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at 15 (quoting H.R. Rep. No. 94-229, at 92 (1975), as reprinted in 1975 U.S.C.C.A.N. 321,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conclusions about Congressional intent are therefore reinforced by the Dodd-Frank Act amendments, which create a presumption that exchange fees, including market data fees, may take effect immediately, without prior Commission approval, and that the Commission should take action to suspend a fee change and institute a proceeding to determine whether the fee change should be approved or disapproved only where the Commission has concerns that the change may not be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MIAX PEARL does not believe that the proposed rule changes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Indeed, the Exchange believes that offering certain Historical Market Data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encouraging sales, which will make analytical data more readily available to investors.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Exchange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users may freely choose alternative venues and data vendors based on the aggregate fees assessed, the data offered, and the value provided.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distribution industries such as software, where developing new software typically requires a large initial investment (and continuing large investments to upgrade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n14 In the case of any exchange,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evidence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the Nasdaq exchanges, NYSE exchanges, and CBOE/Bats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an "excessive" price for one product will have to be reflected in lower prices for other products sold by the Exchange, or otherwise the Exchange may experience a loss in sales that may adversely affect its profitability. In this case, the proposed rule change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providing Historical Market Data at a fixed price. As such, the Exchange believes that the proposed changes will enhance, not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market data products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currently have numerous alternative venues for their order flow, including fifteen existing options markets.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that currently produce proprietary data or are currently capable of producing it provides further pricing discipline for proprietary data products. Each SRO is currently permitted to produce proprietary data products, and many in addition to MIAX PEARL currently do, including NASDAQ, CBOE, Nasdaq ISE, NYSE American, and NYSE Arca. Additionally, order routers and market data vendors can </w:t>
      </w:r>
      <w:r>
        <w:rPr>
          <w:rFonts w:ascii="arial" w:eastAsia="arial" w:hAnsi="arial" w:cs="arial"/>
          <w:b/>
          <w:i w:val="0"/>
          <w:strike w:val="0"/>
          <w:noProof w:val="0"/>
          <w:color w:val="000000"/>
          <w:position w:val="0"/>
          <w:sz w:val="20"/>
          <w:u w:val="none"/>
          <w:vertAlign w:val="baseline"/>
        </w:rPr>
        <w:t> [*50184] </w:t>
      </w:r>
      <w:r>
        <w:rPr>
          <w:rFonts w:ascii="arial" w:eastAsia="arial" w:hAnsi="arial" w:cs="arial"/>
          <w:b w:val="0"/>
          <w:i w:val="0"/>
          <w:strike w:val="0"/>
          <w:noProof w:val="0"/>
          <w:color w:val="000000"/>
          <w:position w:val="0"/>
          <w:sz w:val="20"/>
          <w:u w:val="none"/>
          <w:vertAlign w:val="baseline"/>
        </w:rPr>
        <w:t xml:space="preserve"> facilitate single or multiple broker-dealers' production of proprietary data products.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data vendors provide another form of price discipline for proprietary data products because they control the primary means of access to end subscribers. Vendors impose price restraints based upon their business models. For example, vendors such as Bloomberg and Thomson Reuters that assess a surcharge on data they sell may refuse to offer proprietary products that end subscribers will not purchase in sufficient numbers. Internet portals, such as Google, impose a discipline by providing only data that will enable them to attract "eyeballs" that contribute to their advertising revenue. Retail broker-dealers,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The Exchange and other producers of proprietary data products must understand and respond to these varying business models and pricing disciplines in order to market proprietary data products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BATS Trading and Direct Edge.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broker-dealers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broker-dealers to produce proprietary products cooperatively in a manner never before possible. Multiple market data vendors already have the capability to aggregate data and disseminate it on a profitable scale, including Bloomberg, and Thomson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concluded that the Commission had failed to demonstrate that the market for market data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based on the reasoning of the Commission's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order because, in the Court's view, the Commission had not adequately demonstrated that the proprietary data at issue in the case is used to attract order flow. The Exchange believes, however, that evidence not then before the court clearly demonstrates that availability of data attracts order flow.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platforms, the Exchange intends to improve its platform data offerings on a continuing basis, and to respond promptly to customers' data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intensity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proprietary information is significant and the Exchange believes that this proposal itself clearly evidences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is offering Historical Market Data in order to keep pace with changes in the industry and evolving customer needs. It is entirely optional and is geared towards attracting new order flow. MIAX PEARL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continue to create new market data products and innovative pricing in this space. In all cases, the Exchange expects firms and other parties to make decisions on how much and what types of data to consume on the basis of the total cost of interacting with MIAX PEARL or other exchanges. Of course, the explicit data fees are only one factor in a total platform analysis. Some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lower transactions fees and higher data fees, and others are vice versa. The market for this proprietary information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continually evolves as products develop and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pursuant to Section 19(b)(3)(A)(ii) of the Act, n15 and subparagraph (f)(2) of Rule 19b-4 n16 thereunder, because it establishes a due, fee, or other charge imposed by the Exchange. 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n17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SR-PEARL-2017-35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SR-PEARL-2017-35. This file number should be included on the subject line if email is used. To help the Commission process and review your comments more efficiently, please use only one method. The Commission will post all comments on the Commission's Internet Web site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SR-PEARL-2017-35 and should be submitted on or before November 20,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[*50185]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authority.&lt;18&gt;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2017-23480 Filed 10-27-17;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50181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iaxoptions.com/rule-filings/pearl" TargetMode="External" /><Relationship Id="rId11" Type="http://schemas.openxmlformats.org/officeDocument/2006/relationships/hyperlink" Target="https://advance.lexis.com/api/document?collection=administrative-codes&amp;id=urn:contentItem:5MTN-YPT0-006W-800C-00000-00&amp;context=" TargetMode="External" /><Relationship Id="rId12" Type="http://schemas.openxmlformats.org/officeDocument/2006/relationships/hyperlink" Target="https://advance.lexis.com/api/document?collection=statutes-legislation&amp;id=urn:contentItem:4YF7-GPC1-NRF4-4309-00000-00&amp;context=" TargetMode="External" /><Relationship Id="rId13" Type="http://schemas.openxmlformats.org/officeDocument/2006/relationships/hyperlink" Target="https://advance.lexis.com/api/document?collection=administrative-codes&amp;id=urn:contentItem:4GH9-4PB0-014W-D1VJ-00000-00&amp;context=" TargetMode="External" /><Relationship Id="rId14" Type="http://schemas.openxmlformats.org/officeDocument/2006/relationships/hyperlink" Target="https://advance.lexis.com/api/document?collection=administrative-materials&amp;id=urn:contentItem:5K44-XNM0-000Y-43WY-00000-00&amp;context=" TargetMode="External" /><Relationship Id="rId15" Type="http://schemas.openxmlformats.org/officeDocument/2006/relationships/hyperlink" Target="http://www.sec.gov/rules/sro.shtml" TargetMode="External" /><Relationship Id="rId16" Type="http://schemas.openxmlformats.org/officeDocument/2006/relationships/hyperlink" Target="mailto:rule-comments@sec.gov" TargetMode="External" /><Relationship Id="rId17" Type="http://schemas.openxmlformats.org/officeDocument/2006/relationships/hyperlink" Target="https://advance.lexis.com/api/document?collection=administrative-codes&amp;id=urn:contentItem:5SPP-2120-008G-Y2ND-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V5-SST0-006W-855X-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50181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