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50309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209, Tuesday, October 31,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50309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October 31,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Order Establishing a New De Minimis Threshold Phase-In Termination Date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Order.</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Commodity Futures Trading Commission ("Commission" or "CFTC") is issuing an order ("Order"), pursuant to the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the swap dealer definition, to establish December 31, 2019 as the new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phase-in termination date.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Dodd-Frank Wall Street Reform and Consumer Protection Act ("Dodd-Frank Act") n1 directed the CFTC and the U.S. Securities and Exchange Commission to jointly further define the term "swap dealer" and to include therein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n2 The CFTC's further definition of swap dealer is provided in § 1.3(ggg). n3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therein provides that a person shall not be deemed to be a swap dealer unless its swap dealing activity exceeds an aggregate gross notional amount threshold of $ 3 billion (measured over the prior 12-month period), subject to a phase-in period during which the gross notional amount threshold is set at $ 8 billion. n4 Absent further action by the Commission, the phase-in period is scheduled to terminate on December 31, 2018, at which time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would decrease to $ 3 billion.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The text of the Dodd-Frank Act can be accessed on the Commission's Web site, at </w:t>
      </w:r>
      <w:hyperlink r:id="rId8"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sections 712(d) and 721. The definition of "swap dealer" can be found in section 1a(49) of the Commodity Exchange Act and as further defined in § 1.3(ggg). </w:t>
      </w:r>
      <w:hyperlink r:id="rId9" w:history="1">
        <w:r>
          <w:rPr>
            <w:rFonts w:ascii="arial" w:eastAsia="arial" w:hAnsi="arial" w:cs="arial"/>
            <w:b w:val="0"/>
            <w:i/>
            <w:strike w:val="0"/>
            <w:noProof w:val="0"/>
            <w:color w:val="0077CC"/>
            <w:position w:val="0"/>
            <w:sz w:val="20"/>
            <w:u w:val="single"/>
            <w:vertAlign w:val="baseline"/>
          </w:rPr>
          <w:t>7 U.S.C. 1a(49)</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17 CFR 1.3(ggg)</w:t>
        </w:r>
      </w:hyperlink>
      <w:r>
        <w:rPr>
          <w:rFonts w:ascii="arial" w:eastAsia="arial" w:hAnsi="arial" w:cs="arial"/>
          <w:b w:val="0"/>
          <w:i w:val="0"/>
          <w:strike w:val="0"/>
          <w:noProof w:val="0"/>
          <w:color w:val="000000"/>
          <w:position w:val="0"/>
          <w:sz w:val="20"/>
          <w:u w:val="none"/>
          <w:vertAlign w:val="baseline"/>
        </w:rPr>
        <w:t xml:space="preserve">. The Commodity Exchange Act is at </w:t>
      </w:r>
      <w:hyperlink r:id="rId11"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(2014), and is accessible on the Commission's Web site at </w:t>
      </w:r>
      <w:hyperlink r:id="rId8"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1.3(ggg)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1.3(ggg)(4)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Further Definition of "Swap Dealer," "Security-Based Swap Dealer," "Major Swap Participant," "Major Security-Based Swap Participant" and "Eligible Contract Participant", </w:t>
      </w:r>
      <w:hyperlink r:id="rId12" w:history="1">
        <w:r>
          <w:rPr>
            <w:rFonts w:ascii="arial" w:eastAsia="arial" w:hAnsi="arial" w:cs="arial"/>
            <w:b w:val="0"/>
            <w:i/>
            <w:strike w:val="0"/>
            <w:noProof w:val="0"/>
            <w:color w:val="0077CC"/>
            <w:position w:val="0"/>
            <w:sz w:val="20"/>
            <w:u w:val="single"/>
            <w:vertAlign w:val="baseline"/>
          </w:rPr>
          <w:t>77 FR 30596</w:t>
        </w:r>
      </w:hyperlink>
      <w:r>
        <w:rPr>
          <w:rFonts w:ascii="arial" w:eastAsia="arial" w:hAnsi="arial" w:cs="arial"/>
          <w:b w:val="0"/>
          <w:i w:val="0"/>
          <w:strike w:val="0"/>
          <w:noProof w:val="0"/>
          <w:color w:val="000000"/>
          <w:position w:val="0"/>
          <w:sz w:val="20"/>
          <w:u w:val="none"/>
          <w:vertAlign w:val="baseline"/>
        </w:rPr>
        <w:t xml:space="preserve"> (May 23, 2012). This Order does not impact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for swaps with "special entities" as defined in the Commodity Exchange Act, section 4s(h)(2)(C). </w:t>
      </w:r>
      <w:hyperlink r:id="rId13" w:history="1">
        <w:r>
          <w:rPr>
            <w:rFonts w:ascii="arial" w:eastAsia="arial" w:hAnsi="arial" w:cs="arial"/>
            <w:b w:val="0"/>
            <w:i/>
            <w:strike w:val="0"/>
            <w:noProof w:val="0"/>
            <w:color w:val="0077CC"/>
            <w:position w:val="0"/>
            <w:sz w:val="20"/>
            <w:u w:val="single"/>
            <w:vertAlign w:val="baseline"/>
          </w:rPr>
          <w:t>7 U.S.C. 6s(h)(2)(C)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Order Establishing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Phase-In Termination Date, </w:t>
      </w:r>
      <w:hyperlink r:id="rId14" w:history="1">
        <w:r>
          <w:rPr>
            <w:rFonts w:ascii="arial" w:eastAsia="arial" w:hAnsi="arial" w:cs="arial"/>
            <w:b w:val="0"/>
            <w:i/>
            <w:strike w:val="0"/>
            <w:noProof w:val="0"/>
            <w:color w:val="0077CC"/>
            <w:position w:val="0"/>
            <w:sz w:val="20"/>
            <w:u w:val="single"/>
            <w:vertAlign w:val="baseline"/>
          </w:rPr>
          <w:t>81 FR 71605, 71607</w:t>
        </w:r>
      </w:hyperlink>
      <w:r>
        <w:rPr>
          <w:rFonts w:ascii="arial" w:eastAsia="arial" w:hAnsi="arial" w:cs="arial"/>
          <w:b w:val="0"/>
          <w:i w:val="0"/>
          <w:strike w:val="0"/>
          <w:noProof w:val="0"/>
          <w:color w:val="000000"/>
          <w:position w:val="0"/>
          <w:sz w:val="20"/>
          <w:u w:val="none"/>
          <w:vertAlign w:val="baseline"/>
        </w:rPr>
        <w:t xml:space="preserve"> (Oct.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 1.3(ggg) was adopted, establishing the $ 3 billion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the Commission explained that there was little swap dealing data available that could be used to guide it in setting a threshold level. The Commission expected that the implementation of swap data reporting may enable reassessment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n6 Accordingly, in § 1.3(ggg), the Commission directed CFTC staff to issue a report, after a specified period of time, on topics relating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"as appropriate, based on the availability of data and information." n7 Section 1.3(ggg) further provides that after giving due consideration to the report and any associated public comment, the Commission may by order establish a termination date for the phase-in period or propose through rulemaking modifications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77 FR at 30634, 30640.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1.3(ggg)(4)(ii)(B)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1.3(ggg)(4)(ii)(C)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Staff issued for public comment the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Preliminary Report on November 18, 2015 ("Preliminary Report"). n9 After consideration of the public comments received, and further data analysis, staff issued the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Final Staff Report n10 on August 15, 2016 ("Final Report," and together with the Preliminary Report, the "Staff Reports"). The Staff Reports analyzed the available swap data in conjunction with relevant policy considerations to assess alternative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levels and other potential changes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The Staff Reports noted that the swap market data available, while much improved since § 1.3(ggg) was first adopted, was still somewhat limited in providing detailed information for assessing appropriate changes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For example, notional amounts could only be analyzed for the interest rate and credit default swap asset classes because, at the time, sufficient reliable notional data was not available for the other asset classes. As a further example, some of the data analyzed for the Staff Reports had significant quality issues. One of the "key issues" identified in the Final Report for Commission consideration was whether to delay reduction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to allow efforts to improve data quality to progress so that the Commission could better determine the appropriate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http://www.cftc.gov/idc/groups/public/@swaps/documents/file/dfreport_sddeminis_1115.pdf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http://www.cftc.gov/idc/groups/public/@swaps/documents/file/dfreport_sddeminis081516.pdf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Final Report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2016, the Commission issued an order, pursuant to § 1.3(ggg)(4)(ii)(C)(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establishing December 31, 2018 as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phase-in termination date, thereby extending the original phase-in period by one year ("October 2016 Order"). n12 In the order, the Commission stated that the phase-in period extension provides additional time for further information to become available to more effectively reassess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n13 Given the twelve month lookback for calculating the swap dealing notional amount, a firm may need to start tracking its swap dealing activity on January 1, 2018 to determine whether its dealing activity would require it to register when the phase-in period ends on December 31,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4" w:history="1">
        <w:r>
          <w:rPr>
            <w:rFonts w:ascii="arial" w:eastAsia="arial" w:hAnsi="arial" w:cs="arial"/>
            <w:b w:val="0"/>
            <w:i/>
            <w:strike w:val="0"/>
            <w:noProof w:val="0"/>
            <w:color w:val="0077CC"/>
            <w:position w:val="0"/>
            <w:sz w:val="20"/>
            <w:u w:val="single"/>
            <w:vertAlign w:val="baseline"/>
          </w:rPr>
          <w:t>81 FR 71605;</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1.3(ggg)(4)(ii)(C)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4" w:history="1">
        <w:r>
          <w:rPr>
            <w:rFonts w:ascii="arial" w:eastAsia="arial" w:hAnsi="arial" w:cs="arial"/>
            <w:b w:val="0"/>
            <w:i/>
            <w:strike w:val="0"/>
            <w:noProof w:val="0"/>
            <w:color w:val="0077CC"/>
            <w:position w:val="0"/>
            <w:sz w:val="20"/>
            <w:u w:val="single"/>
            <w:vertAlign w:val="baseline"/>
          </w:rPr>
          <w:t>81 FR at 71607.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[*50310]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New Phase-In Termination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contemplated by the October 2016 Order, significant strides are being made in updating, improving, and reassessing the available swap data regarding the swap marketplace in a more granular manner. Though this data analysis is ongoing, the Commission believes that it will in the near future have more detailed data analysis to inform its consideration of possible modifications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n14 However, any such modifications, if implemented, would not become effective until some point in 2018, when the Commission completes the proposal, public comment, and final rule amendment process pursuant to the 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The Commission also notes that the continuing efforts by the Division of Market Oversight to improve data quality have improved data analysis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timing creates some uncertainty for currently unregistered swap dealers that may be subject to registration if the $ 3 billion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goes into effect on December 31, 2018. Such entities will not know what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changes, if any, may become effective. Given this uncertainty, firms that might be subject to registration if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decreases to $ 3 billion would need to start managing, and perhaps altering, their swap dealing activity starting in January 2018 to remain below the $ 3 billion threshold by December 31, 2018. Further, some firms might begin analyzing and adjusting their dealing activities prior to January 2018 if they do not want to be subject to registration. Such changes in behavior could lead to reduced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liquidity, and efficiency in the swap market, which may cause disruptions for the firms and their swap counterparties that might be unnecessary depending on the outcome of the continuing assessment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Commission notes that a year's delay would provide additional time for the new Commissioners n15 and the new Director of the Division of Swap Dealer and Intermediary Oversight, all of whom only joined the Commission in the last two months, to better familiarize themselves with the issues relevant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and results of the swap data analysis currently underway.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Brian Quintenz Sworn In as a Commissioner of the U.S. Commodity Futures Trading Commission (Aug. 15, 2017), </w:t>
      </w:r>
      <w:hyperlink r:id="rId17" w:history="1">
        <w:r>
          <w:rPr>
            <w:rFonts w:ascii="arial" w:eastAsia="arial" w:hAnsi="arial" w:cs="arial"/>
            <w:b w:val="0"/>
            <w:i/>
            <w:strike w:val="0"/>
            <w:noProof w:val="0"/>
            <w:color w:val="0077CC"/>
            <w:position w:val="0"/>
            <w:sz w:val="20"/>
            <w:u w:val="single"/>
            <w:vertAlign w:val="baseline"/>
          </w:rPr>
          <w:t>http://www.cftc.gov/PressRoom/PressReleases/pr7602-17</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Rostin Behnam Sworn In as a Commissioner of the CFTC (Sep. 6, 2017), </w:t>
      </w:r>
      <w:hyperlink r:id="rId18" w:history="1">
        <w:r>
          <w:rPr>
            <w:rFonts w:ascii="arial" w:eastAsia="arial" w:hAnsi="arial" w:cs="arial"/>
            <w:b w:val="0"/>
            <w:i/>
            <w:strike w:val="0"/>
            <w:noProof w:val="0"/>
            <w:color w:val="0077CC"/>
            <w:position w:val="0"/>
            <w:sz w:val="20"/>
            <w:u w:val="single"/>
            <w:vertAlign w:val="baseline"/>
          </w:rPr>
          <w:t>http://www.cftc.gov/PressRoom/PressReleases/pr7610-17</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Additionally, there are currently two additional Commission vacancies that may be filled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Commission believes that it is prudent to extend the phase-in period by one year. This extension will provide additional time for Commission staff to conduct data analysis regarding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give market participants further clarity regarding when they will need to begin preparing for a change, if any,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and provide additional time for new Commissioners and staff to become better apprised of issues relevant to this topic.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Conclusion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and pursuant to its authority under § 1.3(ggg)(4)(ii)(C)(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the Commission is establishing December 31, 2019 as the new termination date for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phase-in period. The Commission notes that prior to the termination of the phase-in period, the Commission plans to take further action regarding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("PRA") n16 imposes certain requirements on Federal agencies in connection with their conducting or sponsoring any collection of information as defined by the PRA. This Order does not impose any new recordkeeping or information collection requirements, or other collections of information that require approval of the Office of Management and Budget under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9"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Commodity Exchange Act ("CEA")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n17 Section 15(a) further specifies that the costs and benefits shall be evaluated in light of five broad areas of market and public concern: (i) Protection of market participants and the public; (ii)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 (iii) price discovery; (iv) sound risk management practices; and (v) other public interest considerations. In this section, the Commission considers the costs and benefits resulting from its determinations with respect to the Section 15(a)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20" w:history="1">
        <w:r>
          <w:rPr>
            <w:rFonts w:ascii="arial" w:eastAsia="arial" w:hAnsi="arial" w:cs="arial"/>
            <w:b w:val="0"/>
            <w:i/>
            <w:strike w:val="0"/>
            <w:noProof w:val="0"/>
            <w:color w:val="0077CC"/>
            <w:position w:val="0"/>
            <w:sz w:val="20"/>
            <w:u w:val="single"/>
            <w:vertAlign w:val="baseline"/>
          </w:rPr>
          <w:t>7 U.S.C. 19(a)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 1.3(ggg)(4)(i) provides an exception from the swap dealer definition for persons who engage in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swap dealing activity. Currently, under § 1.3(ggg)(4)(i), a person shall not be deemed to be a swap dealer unless its swap dealing activity exceeds an aggregate gross notional amount threshold of $ 3 billion (measured over the prior 12-month period), subject to a phase-in period during which the gross notional amount threshold is set at $ 8 billion. n18 The phase-in period would have terminated on December 31, 2018, and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would have decreased to $ 3 billion, absent this Order. n19 This would have required firms to start tracking their swap activity beginning January 1, 2018 to determine whether their dealing activity over the course of that year would require them to register as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10" w:history="1">
        <w:r>
          <w:rPr>
            <w:rFonts w:ascii="arial" w:eastAsia="arial" w:hAnsi="arial" w:cs="arial"/>
            <w:b w:val="0"/>
            <w:i/>
            <w:strike w:val="0"/>
            <w:noProof w:val="0"/>
            <w:color w:val="0077CC"/>
            <w:position w:val="0"/>
            <w:sz w:val="20"/>
            <w:u w:val="single"/>
            <w:vertAlign w:val="baseline"/>
          </w:rPr>
          <w:t>17 CFR 1.3(ggg)(4)(i)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77 FR at 30626-35.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4,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81 FR 71605.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$ 3 billion threshold, which, absent this Order, would be effective on December 31, 2018, sets the baseline for the Commission's consideration of the costs and benefits of this Order. n20 Accordingly, the Commission considers the costs and benefits that will result from extending the phase-in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77 FR at 30702-14 (discussing the cost-benefit considerations with regard to the final swap dealer definition); </w:t>
      </w:r>
      <w:hyperlink r:id="rId14" w:history="1">
        <w:r>
          <w:rPr>
            <w:rFonts w:ascii="arial" w:eastAsia="arial" w:hAnsi="arial" w:cs="arial"/>
            <w:b w:val="0"/>
            <w:i/>
            <w:strike w:val="0"/>
            <w:noProof w:val="0"/>
            <w:color w:val="0077CC"/>
            <w:position w:val="0"/>
            <w:sz w:val="20"/>
            <w:u w:val="single"/>
            <w:vertAlign w:val="baseline"/>
          </w:rPr>
          <w:t>81 FR at 71607.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Cost and 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several policy objectives underlying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the swap dealer definition. The primary policy objectives of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 the reduction of systemic risk, increased counterparty protections, and market efficiency, orderliness, and transparency. n21 Registered swap dealers are subject to a broad range of requirements, including,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registration, internal and external business conduct standards, reporting, recordkeeping, risk management, posting and collecting margin, and chief compliance officer designation and responsibilities. As noted in the § 1.3(ggg) adopting release, generally, the lower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the greater the number of entities that are subject to these requirements, which could decrease systemic risk, increase counterparty protections, and promote swap market efficiency, orderliness, and transparency.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2" w:history="1">
        <w:r>
          <w:rPr>
            <w:rFonts w:ascii="arial" w:eastAsia="arial" w:hAnsi="arial" w:cs="arial"/>
            <w:b w:val="0"/>
            <w:i/>
            <w:strike w:val="0"/>
            <w:noProof w:val="0"/>
            <w:color w:val="0077CC"/>
            <w:position w:val="0"/>
            <w:sz w:val="20"/>
            <w:u w:val="single"/>
            <w:vertAlign w:val="baseline"/>
          </w:rPr>
          <w:t>77 FR at 30628-30, 30707-08.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12" w:history="1">
        <w:r>
          <w:rPr>
            <w:rFonts w:ascii="arial" w:eastAsia="arial" w:hAnsi="arial" w:cs="arial"/>
            <w:b w:val="0"/>
            <w:i/>
            <w:strike w:val="0"/>
            <w:noProof w:val="0"/>
            <w:color w:val="0077CC"/>
            <w:position w:val="0"/>
            <w:sz w:val="20"/>
            <w:u w:val="single"/>
            <w:vertAlign w:val="baseline"/>
          </w:rPr>
          <w:t>Id. at 30628-30, 30703, 30707-08.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[*50311]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considers policy objectives furthered by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which include regulatory certainty, allowing limited ancillary dealing, encouraging new participants to enter the swap dealing market, and regulatory efficiency. n23 Generally, the higher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the greater the number of entities that are able to engage in dealing activity without being required to register, which could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liquidity in the swap market. n24 In addition, because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may be more efficient, a higher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might improve swap market efficiency. Further, the Commission notes that it has been suggested that a higher threshold could allow the Commission to expend its resources on entities with larger swap dealing activities warranting more oversight. An alternative view is that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should be set based on policy independent of consideration of the Commission's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12" w:history="1">
        <w:r>
          <w:rPr>
            <w:rFonts w:ascii="arial" w:eastAsia="arial" w:hAnsi="arial" w:cs="arial"/>
            <w:b w:val="0"/>
            <w:i/>
            <w:strike w:val="0"/>
            <w:noProof w:val="0"/>
            <w:color w:val="0077CC"/>
            <w:position w:val="0"/>
            <w:sz w:val="20"/>
            <w:u w:val="single"/>
            <w:vertAlign w:val="baseline"/>
          </w:rPr>
          <w:t>Id. at 30628-30, 30707-08.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Alternatively, the Commission notes that a lower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may lead to potential changes in market behavior, including, for example, product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Extending the phase-in period by one year will delay realization of the policy benefits associated with the $ 3 billion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but will also extend the policy benefits associated with a higher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The additional time to adjust to the $ 3 billion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also would potentially increase regulatory certainty for some market participants. Given that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is subject to a 12-month look-back, extending the phase-in period to December 31, 2019 would allow entities that would potentially have to register as swap dealers additional time to adjust their activities and prepare for the compliance obligations related to swap dealer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15(a) of the CEA requires the Commission to consider the effects of its actions in light of the following five factors. This Order will delay the potential costs and benefits discussed below by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Providing regulatory protections for swap counterparties who may be less experienced or knowledgeable about the swap products offered by swap dealers (particularly end-users who use swaps for hedging or investment purposes) is a fundamental policy goal advanced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 dealers. The Commission recognizes that the $ 3 billion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may result in more entities being required to register as swap dealers compared to an $ 8 billion threshold, thereby extending counterparty protections to a greater number of market participants. Further,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reduce systemic risk in the swap market because registered swap dealers are subject to a broad range of requirements, including,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requirements applicable to internal and external business conduct standards, reporting and recordkeeping, risk management, posting and collecting margin, and chief compliance officer designation and responsibilities. Pursuant to the Dodd-Frank Act, the Commission has proposed or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swap dealers--including margin and risk management requirements--designed to mitigate the potential systemic risk inherent in the swap market. Therefore, the Commission recognizes that a lower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may result in more entities being required to register as swap dealers, thereby potentially further reducing systemic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goals of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swap market transparency, orderliness, and efficiency. These benefits are achieved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for example, swap dealers to keep trading records and report trades, provide counterparty disclosures about swap risks and pricing, and undertake portfolio reconciliation and compression exercises. Accordingly, the Commission notes that a lower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may have a positive effect on the efficiency and integrity of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Commission also recognizes that the efficiency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swap market may be negatively impacted if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is set too low by potentially increasing barriers to entry that may stifle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reduce swap market efficiency. For example, if entities choose to reduce or cease their swap dealing activities so that they would not need to register if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decreases to $ 3 billion, the number or availability of market makers for swaps may be reduced, which could lead to increased costs for potential counterparties and end-users through having to pay higher spreads when undertaking swap transactions or foregoing the benefits of engaging in certain swap transactions that they would otherwise have undertaken.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a $ 3 billion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may discourage participation of new swap dealers and ancillary dealing. If there are fewer entities engaged in dealing, there may be a negative effect on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Sound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a $ 3 billion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could lead to better risk management practices because a greater number of entities would be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 Develop and implement detailed risk management programs; (ii) adhere to business conduct standards that reduce operational and other risks; and (iii) satisfy margin requirements for uncleared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not identified any other public purpose considerations for this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15(b) of the CEA requires the Commission to take into consideration the public interest to be protected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endeavor to take the least anticompetitive means of achieving the objectives of the CEA, in issuing any order or adopting any Commission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Commission does not anticipate that the Order discussed herein will result in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foregoing,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pursuant to the Commission's authority under § 1.3(ggg)(4)(ii)(C)(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phase-in termination date shall be December 31,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retains the authority to condition further, modify, suspend, terminate, or otherwise restrict any of the terms of the Order provided herein, in its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October 26, 2017, by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to Order Establishing a New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Phase-In Termination Date--Commission Voting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matter, Chairman Giancarlo and Commissioner Quintenz voted in the affirmative. Commissioner Behnam voted in the negative.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2017-23660 Filed 10-30-17;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Issued by the Commission on October 26,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Matthew Kulkin, Director, 202-418-5213, </w:t>
      </w:r>
      <w:hyperlink r:id="rId21" w:history="1">
        <w:r>
          <w:rPr>
            <w:rFonts w:ascii="arial" w:eastAsia="arial" w:hAnsi="arial" w:cs="arial"/>
            <w:b w:val="0"/>
            <w:i/>
            <w:strike w:val="0"/>
            <w:noProof w:val="0"/>
            <w:color w:val="0077CC"/>
            <w:position w:val="0"/>
            <w:sz w:val="20"/>
            <w:u w:val="single"/>
            <w:vertAlign w:val="baseline"/>
          </w:rPr>
          <w:t>mkulkin@cftc.gov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Erik Remmler, Deputy Director, 202-418-7630, </w:t>
      </w:r>
      <w:hyperlink r:id="rId22" w:history="1">
        <w:r>
          <w:rPr>
            <w:rFonts w:ascii="arial" w:eastAsia="arial" w:hAnsi="arial" w:cs="arial"/>
            <w:b w:val="0"/>
            <w:i/>
            <w:strike w:val="0"/>
            <w:noProof w:val="0"/>
            <w:color w:val="0077CC"/>
            <w:position w:val="0"/>
            <w:sz w:val="20"/>
            <w:u w:val="single"/>
            <w:vertAlign w:val="baseline"/>
          </w:rPr>
          <w:t>eremmler@cftc.gov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Rajal Patel, Associate Director, 202-418-5261, </w:t>
      </w:r>
      <w:hyperlink r:id="rId23" w:history="1">
        <w:r>
          <w:rPr>
            <w:rFonts w:ascii="arial" w:eastAsia="arial" w:hAnsi="arial" w:cs="arial"/>
            <w:b w:val="0"/>
            <w:i/>
            <w:strike w:val="0"/>
            <w:noProof w:val="0"/>
            <w:color w:val="0077CC"/>
            <w:position w:val="0"/>
            <w:sz w:val="20"/>
            <w:u w:val="single"/>
            <w:vertAlign w:val="baseline"/>
          </w:rPr>
          <w:t>rpatel@cftc.gov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Division of Swap Dealer and Intermediary Oversight, Commodity Futures Trading Commission, Three Lafayette Centre, 1155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50309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RS7-P930-008G-Y3YP-00000-00&amp;context=" TargetMode="External" /><Relationship Id="rId11" Type="http://schemas.openxmlformats.org/officeDocument/2006/relationships/hyperlink" Target="https://advance.lexis.com/api/document?collection=statutes-legislation&amp;id=urn:contentItem:4YF7-GRC1-NRF4-427C-00000-00&amp;context=" TargetMode="External" /><Relationship Id="rId12" Type="http://schemas.openxmlformats.org/officeDocument/2006/relationships/hyperlink" Target="https://advance.lexis.com/api/document?collection=administrative-codes&amp;id=urn:contentItem:55PP-R380-006W-8100-00000-00&amp;context=" TargetMode="External" /><Relationship Id="rId13" Type="http://schemas.openxmlformats.org/officeDocument/2006/relationships/hyperlink" Target="https://advance.lexis.com/api/document?collection=statutes-legislation&amp;id=urn:contentItem:50P5-8F91-NRF4-4001-00000-00&amp;context=" TargetMode="External" /><Relationship Id="rId14" Type="http://schemas.openxmlformats.org/officeDocument/2006/relationships/hyperlink" Target="https://advance.lexis.com/api/document?collection=administrative-codes&amp;id=urn:contentItem:5KYT-8JT0-006W-83M4-00000-00&amp;context=" TargetMode="External" /><Relationship Id="rId15" Type="http://schemas.openxmlformats.org/officeDocument/2006/relationships/hyperlink" Target="http://www.cftc.gov/idc/groups/public/@swaps/documents/file/dfreport_sddeminis_1115.pdf" TargetMode="External" /><Relationship Id="rId16" Type="http://schemas.openxmlformats.org/officeDocument/2006/relationships/hyperlink" Target="http://www.cftc.gov/idc/groups/public/@swaps/documents/file/dfreport_sddeminis081516.pdf" TargetMode="External" /><Relationship Id="rId17" Type="http://schemas.openxmlformats.org/officeDocument/2006/relationships/hyperlink" Target="http://www.cftc.gov/PressRoom/PressReleases/pr7602-17" TargetMode="External" /><Relationship Id="rId18" Type="http://schemas.openxmlformats.org/officeDocument/2006/relationships/hyperlink" Target="http://www.cftc.gov/PressRoom/PressReleases/pr7610-17" TargetMode="External" /><Relationship Id="rId19" Type="http://schemas.openxmlformats.org/officeDocument/2006/relationships/hyperlink" Target="https://advance.lexis.com/api/document?collection=statutes-legislation&amp;id=urn:contentItem:4YF7-GNM1-NRF4-408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D1-NRF4-42KS-00000-00&amp;context=" TargetMode="External" /><Relationship Id="rId21" Type="http://schemas.openxmlformats.org/officeDocument/2006/relationships/hyperlink" Target="mailto:mkulkin@cftc.gov" TargetMode="External" /><Relationship Id="rId22" Type="http://schemas.openxmlformats.org/officeDocument/2006/relationships/hyperlink" Target="mailto:eremmler@cftc.gov" TargetMode="External" /><Relationship Id="rId23" Type="http://schemas.openxmlformats.org/officeDocument/2006/relationships/hyperlink" Target="mailto:rpatel@cftc.gov" TargetMode="Externa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VC-MNK0-006W-800V-00000-00&amp;context=" TargetMode="External" /><Relationship Id="rId8" Type="http://schemas.openxmlformats.org/officeDocument/2006/relationships/hyperlink" Target="http://www.cftc.gov" TargetMode="External" /><Relationship Id="rId9" Type="http://schemas.openxmlformats.org/officeDocument/2006/relationships/hyperlink" Target="https://advance.lexis.com/api/document?collection=statutes-legislation&amp;id=urn:contentItem:4YF7-GJB1-NRF4-44J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51892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71343330</vt:lpwstr>
  </property>
  <property fmtid="{D5CDD505-2E9C-101B-9397-08002B2CF9AE}" pid="3" name="LADocCount">
    <vt:lpwstr>1</vt:lpwstr>
  </property>
  <property fmtid="{D5CDD505-2E9C-101B-9397-08002B2CF9AE}" pid="4" name="UserPermID">
    <vt:lpwstr>urn:user:PA185916758</vt:lpwstr>
  </property>
</Properties>
</file>