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55660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224, Wednesday, November 22,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55660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22,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NYSE Arca, Inc.; Notice of Filing and Immediate Effectiveness of Proposed Rule Changes to the NYSE Arca Equities Proprietary Market Data Fees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34-82100; File No. SR-NYSEARCA-2017-130]</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November 3, 2017, NYSE Arca, Inc. (the "Exchange" or "NYSE Arca")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changes to the NYSE Arca Equities Proprietary Market Data Fees ("Fee Schedule") to: (1) Modify the Redistribution Fee for NYSE ArcaBook and NYSE Arca Integrated Feed; (2) modify the Non-Display Fee for NYSE ArcaBook and NYSE Arca Integrated Feed; and (3) modify Professional User Fees for NYSE ArcaBook and NYSE Arca Integrated Feeds and establish tiered Professional User Fees and a Professional User Fee Cap for Broker-Dealers subscribers of NYSE ArcaBook.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changes to the Fee Schedule to: (1) Modify the Redistribution Fee for NYSE ArcaBook n4 and NYSE Arca Integrated Feed; n5 (2) </w:t>
      </w:r>
      <w:r>
        <w:rPr>
          <w:rFonts w:ascii="arial" w:eastAsia="arial" w:hAnsi="arial" w:cs="arial"/>
          <w:b/>
          <w:i w:val="0"/>
          <w:strike w:val="0"/>
          <w:noProof w:val="0"/>
          <w:color w:val="000000"/>
          <w:position w:val="0"/>
          <w:sz w:val="20"/>
          <w:u w:val="none"/>
          <w:vertAlign w:val="baseline"/>
        </w:rPr>
        <w:t> [*55661] </w:t>
      </w:r>
      <w:r>
        <w:rPr>
          <w:rFonts w:ascii="arial" w:eastAsia="arial" w:hAnsi="arial" w:cs="arial"/>
          <w:b w:val="0"/>
          <w:i w:val="0"/>
          <w:strike w:val="0"/>
          <w:noProof w:val="0"/>
          <w:color w:val="000000"/>
          <w:position w:val="0"/>
          <w:sz w:val="20"/>
          <w:u w:val="none"/>
          <w:vertAlign w:val="baseline"/>
        </w:rPr>
        <w:t xml:space="preserve"> modify the Non-Display Fee for NYSE ArcaBook and NYSE Arca Integrated Feed; and (3) modify Professional User Fees for NYSE ArcaBook and NYSE Arca Integrated Feeds and establish tiered Professional User Fees and a Professional User Fee Cap for Broker-Dealer subscribers of NYSE ArcaBook. The Exchange proposes to make these fee changes operative on January 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53592 (June 7, 2006), </w:t>
      </w:r>
      <w:hyperlink r:id="rId12" w:history="1">
        <w:r>
          <w:rPr>
            <w:rFonts w:ascii="arial" w:eastAsia="arial" w:hAnsi="arial" w:cs="arial"/>
            <w:b w:val="0"/>
            <w:i/>
            <w:strike w:val="0"/>
            <w:noProof w:val="0"/>
            <w:color w:val="0077CC"/>
            <w:position w:val="0"/>
            <w:sz w:val="20"/>
            <w:u w:val="single"/>
            <w:vertAlign w:val="baseline"/>
          </w:rPr>
          <w:t>71 FR 33496</w:t>
        </w:r>
      </w:hyperlink>
      <w:r>
        <w:rPr>
          <w:rFonts w:ascii="arial" w:eastAsia="arial" w:hAnsi="arial" w:cs="arial"/>
          <w:b w:val="0"/>
          <w:i w:val="0"/>
          <w:strike w:val="0"/>
          <w:noProof w:val="0"/>
          <w:color w:val="000000"/>
          <w:position w:val="0"/>
          <w:sz w:val="20"/>
          <w:u w:val="none"/>
          <w:vertAlign w:val="baseline"/>
        </w:rPr>
        <w:t xml:space="preserve"> (June 9, 2006) (SR-NYSEArca-2006-21) ("2006 ArcaBook Notice"); 59039 (December 2, 2008), </w:t>
      </w:r>
      <w:hyperlink r:id="rId13" w:history="1">
        <w:r>
          <w:rPr>
            <w:rFonts w:ascii="arial" w:eastAsia="arial" w:hAnsi="arial" w:cs="arial"/>
            <w:b w:val="0"/>
            <w:i/>
            <w:strike w:val="0"/>
            <w:noProof w:val="0"/>
            <w:color w:val="0077CC"/>
            <w:position w:val="0"/>
            <w:sz w:val="20"/>
            <w:u w:val="single"/>
            <w:vertAlign w:val="baseline"/>
          </w:rPr>
          <w:t>73 FR 74770</w:t>
        </w:r>
      </w:hyperlink>
      <w:r>
        <w:rPr>
          <w:rFonts w:ascii="arial" w:eastAsia="arial" w:hAnsi="arial" w:cs="arial"/>
          <w:b w:val="0"/>
          <w:i w:val="0"/>
          <w:strike w:val="0"/>
          <w:noProof w:val="0"/>
          <w:color w:val="000000"/>
          <w:position w:val="0"/>
          <w:sz w:val="20"/>
          <w:u w:val="none"/>
          <w:vertAlign w:val="baseline"/>
        </w:rPr>
        <w:t xml:space="preserve"> (December 9, 2008) (SR-NYSEArca-2006-21); 69315 (April 5, 2013), </w:t>
      </w:r>
      <w:hyperlink r:id="rId14"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("2013 Non-Display Filing"); 72560 (July 8, 2014), </w:t>
      </w:r>
      <w:hyperlink r:id="rId15" w:history="1">
        <w:r>
          <w:rPr>
            <w:rFonts w:ascii="arial" w:eastAsia="arial" w:hAnsi="arial" w:cs="arial"/>
            <w:b w:val="0"/>
            <w:i/>
            <w:strike w:val="0"/>
            <w:noProof w:val="0"/>
            <w:color w:val="0077CC"/>
            <w:position w:val="0"/>
            <w:sz w:val="20"/>
            <w:u w:val="single"/>
            <w:vertAlign w:val="baseline"/>
          </w:rPr>
          <w:t>79 FR 40801</w:t>
        </w:r>
      </w:hyperlink>
      <w:r>
        <w:rPr>
          <w:rFonts w:ascii="arial" w:eastAsia="arial" w:hAnsi="arial" w:cs="arial"/>
          <w:b w:val="0"/>
          <w:i w:val="0"/>
          <w:strike w:val="0"/>
          <w:noProof w:val="0"/>
          <w:color w:val="000000"/>
          <w:position w:val="0"/>
          <w:sz w:val="20"/>
          <w:u w:val="none"/>
          <w:vertAlign w:val="baseline"/>
        </w:rPr>
        <w:t xml:space="preserve"> (July 14, 2014) (SR-NYSEArca-2014-72)("2014 ArcaBook Filing"); 73011 (September 5, 2014), </w:t>
      </w:r>
      <w:hyperlink r:id="rId16"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(September 11, 2014) (SR-NYSEARCA-2014-93) ("2014 Non-Display Filing"); 74011 (January 7, 2015), </w:t>
      </w:r>
      <w:r>
        <w:rPr>
          <w:rFonts w:ascii="arial" w:eastAsia="arial" w:hAnsi="arial" w:cs="arial"/>
          <w:b w:val="0"/>
          <w:i/>
          <w:strike w:val="0"/>
          <w:noProof w:val="0"/>
          <w:color w:val="000000"/>
          <w:position w:val="0"/>
          <w:sz w:val="20"/>
          <w:u w:val="none"/>
          <w:vertAlign w:val="baseline"/>
        </w:rPr>
        <w:t>80 FR 1681</w:t>
      </w:r>
      <w:r>
        <w:rPr>
          <w:rFonts w:ascii="arial" w:eastAsia="arial" w:hAnsi="arial" w:cs="arial"/>
          <w:b w:val="0"/>
          <w:i w:val="0"/>
          <w:strike w:val="0"/>
          <w:noProof w:val="0"/>
          <w:color w:val="000000"/>
          <w:position w:val="0"/>
          <w:sz w:val="20"/>
          <w:u w:val="none"/>
          <w:vertAlign w:val="baseline"/>
        </w:rPr>
        <w:t xml:space="preserve"> (January 13, 2015) (SR-NYSEArca-2014-149) ("2015 ArcaBook Filing"); and 76903 (January 14, 2016), </w:t>
      </w:r>
      <w:hyperlink r:id="rId17" w:history="1">
        <w:r>
          <w:rPr>
            <w:rFonts w:ascii="arial" w:eastAsia="arial" w:hAnsi="arial" w:cs="arial"/>
            <w:b w:val="0"/>
            <w:i/>
            <w:strike w:val="0"/>
            <w:noProof w:val="0"/>
            <w:color w:val="0077CC"/>
            <w:position w:val="0"/>
            <w:sz w:val="20"/>
            <w:u w:val="single"/>
            <w:vertAlign w:val="baseline"/>
          </w:rPr>
          <w:t>81 FR 3547</w:t>
        </w:r>
      </w:hyperlink>
      <w:r>
        <w:rPr>
          <w:rFonts w:ascii="arial" w:eastAsia="arial" w:hAnsi="arial" w:cs="arial"/>
          <w:b w:val="0"/>
          <w:i w:val="0"/>
          <w:strike w:val="0"/>
          <w:noProof w:val="0"/>
          <w:color w:val="000000"/>
          <w:position w:val="0"/>
          <w:sz w:val="20"/>
          <w:u w:val="none"/>
          <w:vertAlign w:val="baseline"/>
        </w:rPr>
        <w:t xml:space="preserve"> (January 21, 2016) (SR-NYSEArca-2016-01).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66128 (Jan. 10, 2012), </w:t>
      </w:r>
      <w:hyperlink r:id="rId18" w:history="1">
        <w:r>
          <w:rPr>
            <w:rFonts w:ascii="arial" w:eastAsia="arial" w:hAnsi="arial" w:cs="arial"/>
            <w:b w:val="0"/>
            <w:i/>
            <w:strike w:val="0"/>
            <w:noProof w:val="0"/>
            <w:color w:val="0077CC"/>
            <w:position w:val="0"/>
            <w:sz w:val="20"/>
            <w:u w:val="single"/>
            <w:vertAlign w:val="baseline"/>
          </w:rPr>
          <w:t>77 FR 2331</w:t>
        </w:r>
      </w:hyperlink>
      <w:r>
        <w:rPr>
          <w:rFonts w:ascii="arial" w:eastAsia="arial" w:hAnsi="arial" w:cs="arial"/>
          <w:b w:val="0"/>
          <w:i w:val="0"/>
          <w:strike w:val="0"/>
          <w:noProof w:val="0"/>
          <w:color w:val="000000"/>
          <w:position w:val="0"/>
          <w:sz w:val="20"/>
          <w:u w:val="none"/>
          <w:vertAlign w:val="baseline"/>
        </w:rPr>
        <w:t xml:space="preserve"> (Jan. 17, 2012) (SR-NYSEArca-2011-96); 69315 (April 5, 2013), </w:t>
      </w:r>
      <w:hyperlink r:id="rId14"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 ("2013 Non-Display Filing"); 73011 (Sept. 5, 2014), </w:t>
      </w:r>
      <w:hyperlink r:id="rId16" w:history="1">
        <w:r>
          <w:rPr>
            <w:rFonts w:ascii="arial" w:eastAsia="arial" w:hAnsi="arial" w:cs="arial"/>
            <w:b w:val="0"/>
            <w:i/>
            <w:strike w:val="0"/>
            <w:noProof w:val="0"/>
            <w:color w:val="0077CC"/>
            <w:position w:val="0"/>
            <w:sz w:val="20"/>
            <w:u w:val="single"/>
            <w:vertAlign w:val="baseline"/>
          </w:rPr>
          <w:t>79 FR 54315</w:t>
        </w:r>
      </w:hyperlink>
      <w:r>
        <w:rPr>
          <w:rFonts w:ascii="arial" w:eastAsia="arial" w:hAnsi="arial" w:cs="arial"/>
          <w:b w:val="0"/>
          <w:i w:val="0"/>
          <w:strike w:val="0"/>
          <w:noProof w:val="0"/>
          <w:color w:val="000000"/>
          <w:position w:val="0"/>
          <w:sz w:val="20"/>
          <w:u w:val="none"/>
          <w:vertAlign w:val="baseline"/>
        </w:rPr>
        <w:t xml:space="preserve"> (Sept. 11, 2014) (SR-NYSEArca-2014-93) ("2014 Non-Display Filing"); 73993 (Jan. 6, 2015), </w:t>
      </w:r>
      <w:hyperlink r:id="rId19" w:history="1">
        <w:r>
          <w:rPr>
            <w:rFonts w:ascii="arial" w:eastAsia="arial" w:hAnsi="arial" w:cs="arial"/>
            <w:b w:val="0"/>
            <w:i/>
            <w:strike w:val="0"/>
            <w:noProof w:val="0"/>
            <w:color w:val="0077CC"/>
            <w:position w:val="0"/>
            <w:sz w:val="20"/>
            <w:u w:val="single"/>
            <w:vertAlign w:val="baseline"/>
          </w:rPr>
          <w:t>80 FR 1527</w:t>
        </w:r>
      </w:hyperlink>
      <w:r>
        <w:rPr>
          <w:rFonts w:ascii="arial" w:eastAsia="arial" w:hAnsi="arial" w:cs="arial"/>
          <w:b w:val="0"/>
          <w:i w:val="0"/>
          <w:strike w:val="0"/>
          <w:noProof w:val="0"/>
          <w:color w:val="000000"/>
          <w:position w:val="0"/>
          <w:sz w:val="20"/>
          <w:u w:val="none"/>
          <w:vertAlign w:val="baseline"/>
        </w:rPr>
        <w:t xml:space="preserve"> (Jan. 12, 2015) (SR-NYSEArca-2014-147); and 76914 (January 14, 2016), </w:t>
      </w:r>
      <w:hyperlink r:id="rId20" w:history="1">
        <w:r>
          <w:rPr>
            <w:rFonts w:ascii="arial" w:eastAsia="arial" w:hAnsi="arial" w:cs="arial"/>
            <w:b w:val="0"/>
            <w:i/>
            <w:strike w:val="0"/>
            <w:noProof w:val="0"/>
            <w:color w:val="0077CC"/>
            <w:position w:val="0"/>
            <w:sz w:val="20"/>
            <w:u w:val="single"/>
            <w:vertAlign w:val="baseline"/>
          </w:rPr>
          <w:t>81 FR 3484</w:t>
        </w:r>
      </w:hyperlink>
      <w:r>
        <w:rPr>
          <w:rFonts w:ascii="arial" w:eastAsia="arial" w:hAnsi="arial" w:cs="arial"/>
          <w:b w:val="0"/>
          <w:i w:val="0"/>
          <w:strike w:val="0"/>
          <w:noProof w:val="0"/>
          <w:color w:val="000000"/>
          <w:position w:val="0"/>
          <w:sz w:val="20"/>
          <w:u w:val="none"/>
          <w:vertAlign w:val="baseline"/>
        </w:rPr>
        <w:t xml:space="preserve"> (January 21, 2016) (SR-NYSEArca-2016-03).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Redistribution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is any person approved by the Exchange that provides an NYSE Arca data product to an external data recipient or to any external system that a data recipient uses, irrespective of the means of transmission or access. The Exchange currently charges a redistribution fee of $ 1,500 per month for NYSE ArcaBook and $ 3,000 per month for NYSE Arca Integrated Feed. The Exchange proposes to increase the redistribution fee to $ 2,000 per month for NYSE ArcaBook and to $ 3,750 per month for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Arca market data means accessing, processing, or consuming NYSE Arca market data delivered via direct and/or Redistributor data distribution for a purpose other than in support of a data recipient's display usage or further internal or external redistribution.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2015 ArcaBook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currently three categories of, and fees applicable to, data recipients for non-display use that are listed on the Fee Schedule:</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1 Fees apply when a data recipient's non-display use of real-time market data is on its own behalf as opposed to use on behalf of its clients;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2 Fees apply when a data recipient's non-display use of real-time market data is on behalf of its clients as opposed to use on its own behalf;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3 Fees apply when a data recipient's non-display use of real-time market data is for the purpose of internally matching buy and sell orders within an organization, including matching customer orders on a data recipient's own behalf and/or on behalf of its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non-display use fees for NYSE ArcaBook and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non-display fee for NYSE ArcaBook is $ 5,000 per month for each of Category 1, Category 2 and Category 3. Category 3 fees are currently capped at $ 15,000 per month. The Exchange proposes to increase the non-display fee for NYSE ArcaBook to $ 6,000 per month for each of Category 1, Category 2 and Category 3. The Exchange proposes a corresponding increase in the cap for Category 3 fees for NYSE ArcaBook to $ 18,000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non-display fee for NYSE Arca Integrated Feed is $ 7,000 per month for each of Category 1, Category 2 and Category 3. Category 3 fees are currently capped at $ 21,000. The Exchange proposes to increase the non-display fee for NYSE Arca Integrated Feed to $ 10,500 per month for each of Category 1, Category 2 and Category 3. The Exchange proposes a corresponding increase in the cap for Category 3 fees for NYSE Arca Integrated Feed to $ 31,500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 flat monthly Professional User Fee of $ 40 per user for NYSE ArcaBook. The Exchange proposes to increase Professional User Fees for NYSE ArcaBook to $ 60 per month. The Exchange also proposes to establish tiered Professional User Fees for broker-dealers that are subscribers of NYSE ArcaBook, as follows: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$ 60 per month for each of 500 or fewer professional users reported for a broker-dealer subscriber,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rate of $ 40 per month for each professional user over 500 reported for a broker-dealer subscriber.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it has not increased NYSE ArcaBook subscriber fees for display use since 2014. n7 With this proposed change, all subscribers would pay more for some of their professional users than they do today. However, some subscribers that qualify for the proposed tiered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subscribers with more than 500 professional users, would pay less under the proposed fee change than they would absent the proposed tiered fees.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71483 (February 5, 2014), </w:t>
      </w:r>
      <w:hyperlink r:id="rId21" w:history="1">
        <w:r>
          <w:rPr>
            <w:rFonts w:ascii="arial" w:eastAsia="arial" w:hAnsi="arial" w:cs="arial"/>
            <w:b w:val="0"/>
            <w:i/>
            <w:strike w:val="0"/>
            <w:noProof w:val="0"/>
            <w:color w:val="0077CC"/>
            <w:position w:val="0"/>
            <w:sz w:val="20"/>
            <w:u w:val="single"/>
            <w:vertAlign w:val="baseline"/>
          </w:rPr>
          <w:t>79 FR 8217</w:t>
        </w:r>
      </w:hyperlink>
      <w:r>
        <w:rPr>
          <w:rFonts w:ascii="arial" w:eastAsia="arial" w:hAnsi="arial" w:cs="arial"/>
          <w:b w:val="0"/>
          <w:i w:val="0"/>
          <w:strike w:val="0"/>
          <w:noProof w:val="0"/>
          <w:color w:val="000000"/>
          <w:position w:val="0"/>
          <w:sz w:val="20"/>
          <w:u w:val="none"/>
          <w:vertAlign w:val="baseline"/>
        </w:rPr>
        <w:t xml:space="preserve"> (February 11, 2014) (SR-NYSEArca-2014-12)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cap the Professional User Fee for broker-dealers that are subscribers of NYSE ArcaBook at $ 75,000 per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illustrate the application of the proposed Professional User Fee increase and the Professional Use Fee cap, a broker-dealer with 2,500 professional users who receive NYSE ArcaBook would currently pay $ 100,000 per month in Professional User Fees (2,500 users at $ 40 per month). If all 2,500 users are internal users, under the proposed fee change, this broker-dealer's Professional User Fees would increase to $ 110,000 per month (500 users at $ 60 per month plus 2,000 users at $ 40 per month). However, the operation of the proposed cap would cause this broker-dealer's fees to drop to $ 75,000 per month. Thus, for this broker-dealer the effect of the proposed changes would be a </w:t>
      </w:r>
      <w:r>
        <w:rPr>
          <w:rFonts w:ascii="arial" w:eastAsia="arial" w:hAnsi="arial" w:cs="arial"/>
          <w:b w:val="0"/>
          <w:i/>
          <w:strike w:val="0"/>
          <w:noProof w:val="0"/>
          <w:color w:val="000000"/>
          <w:position w:val="0"/>
          <w:sz w:val="20"/>
          <w:u w:val="none"/>
          <w:vertAlign w:val="baseline"/>
        </w:rPr>
        <w:t>decrease</w:t>
      </w:r>
      <w:r>
        <w:rPr>
          <w:rFonts w:ascii="arial" w:eastAsia="arial" w:hAnsi="arial" w:cs="arial"/>
          <w:b w:val="0"/>
          <w:i w:val="0"/>
          <w:strike w:val="0"/>
          <w:noProof w:val="0"/>
          <w:color w:val="000000"/>
          <w:position w:val="0"/>
          <w:sz w:val="20"/>
          <w:u w:val="none"/>
          <w:vertAlign w:val="baseline"/>
        </w:rPr>
        <w:t xml:space="preserve"> of $ 25,000 per month in Professional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Exchange currently charges a flat monthly Professional User Fee of $ 40 per month per user for NYSE Arca Integrated Feed. The Exchange proposes to increase the monthly Professional User Fees for NYSE Arca Integrated Feed to $ 60 per month per user. The proposed fee change would apply to all professional users of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n8 in general, and Sections 6(b)(4) and 6(b)(5) of the Act, n9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2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xml:space="preserve"> and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fee changes are fair and reasonable in light of market and technology developments. The Exchange further believes that the proposed fee changes are also equitable and not unfairly discriminatory because they would apply to all data recipients that choose to subscribe to NYSE ArcaBook and NYSE Arca Integrated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Redistribution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changes to the redistribution fee for NYSE ArcaBook and NYSE Arca Integrated Feed are equitable and reasonable because they compare favorably to redistribution fees that are currently charged by other exchanges. n10 The Exchange believes that it is reasonable to charge redistribution fees </w:t>
      </w:r>
      <w:r>
        <w:rPr>
          <w:rFonts w:ascii="arial" w:eastAsia="arial" w:hAnsi="arial" w:cs="arial"/>
          <w:b/>
          <w:i w:val="0"/>
          <w:strike w:val="0"/>
          <w:noProof w:val="0"/>
          <w:color w:val="000000"/>
          <w:position w:val="0"/>
          <w:sz w:val="20"/>
          <w:u w:val="none"/>
          <w:vertAlign w:val="baseline"/>
        </w:rPr>
        <w:t> [*55662] </w:t>
      </w:r>
      <w:r>
        <w:rPr>
          <w:rFonts w:ascii="arial" w:eastAsia="arial" w:hAnsi="arial" w:cs="arial"/>
          <w:b w:val="0"/>
          <w:i w:val="0"/>
          <w:strike w:val="0"/>
          <w:noProof w:val="0"/>
          <w:color w:val="000000"/>
          <w:position w:val="0"/>
          <w:sz w:val="20"/>
          <w:u w:val="none"/>
          <w:vertAlign w:val="baseline"/>
        </w:rPr>
        <w:t xml:space="preserve"> because vendors receive value from redistributing the data in their business products for their customers. The Exchange believes the proposed change to the redistribution fees also are not unfairly discriminatory because they would continue to be charged on an equal basis to any vendor that chooses to redistribute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Cboe BZX U.S. Equities Exchange ("BZX Equities") charges $ 5,000 per month for external distribution of the BZX Depth market data product. </w:t>
      </w:r>
      <w:r>
        <w:rPr>
          <w:rFonts w:ascii="arial" w:eastAsia="arial" w:hAnsi="arial" w:cs="arial"/>
          <w:b w:val="0"/>
          <w:i/>
          <w:strike w:val="0"/>
          <w:noProof w:val="0"/>
          <w:color w:val="000000"/>
          <w:position w:val="0"/>
          <w:sz w:val="20"/>
          <w:u w:val="none"/>
          <w:vertAlign w:val="baseline"/>
        </w:rPr>
        <w:t xml:space="preserve">See </w:t>
      </w:r>
      <w:hyperlink r:id="rId23" w:history="1">
        <w:r>
          <w:rPr>
            <w:rFonts w:ascii="arial" w:eastAsia="arial" w:hAnsi="arial" w:cs="arial"/>
            <w:b w:val="0"/>
            <w:i/>
            <w:strike w:val="0"/>
            <w:noProof w:val="0"/>
            <w:color w:val="0077CC"/>
            <w:position w:val="0"/>
            <w:sz w:val="20"/>
            <w:u w:val="single"/>
            <w:vertAlign w:val="baseline"/>
          </w:rPr>
          <w:t>https://markets.cboe.com/us/equities/membership/fee_schedule/bzx/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the Nasdaq Stock Market ("Nasdaq") charges $ 3,750 per month for external distribution of the NASDAQ TotalView market data product.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https://www.nasdaqtrader.com/Trader.aspx?id=DPUSdata#tv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fee increases for each of Categories 1, 2, and 3 for NYSE ArcaBook and NYSE Arca Integrated Feed are equitable and reasonable. In establishing the non-display fees in April 2013, the Exchange set its fees at levels that were below or comparable to similar fees charged by certain of its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n11 The Exchange then modestly increased such fees in 2014 after gaining further experience with its non-display fee structure. The Exchange believes the proposed fees better reflect the significant value of the non-display data to data recipients, which purchase data on an entirely voluntary basis. Non-display data continues to be used by data recipients for a wide variety of profit-generating purposes, including proprietary and agency trading and smart order routing, as well as by data recipients that operate order matching and execution platforms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for order flow. Non-display data also continues to be used for a variety of non-trading purposes that indirectly support trading, such as risk management and compliance. While some of these non-trading uses do not directly generate profits, they can nonetheless substantially reduce the recipient's costs by automating such functions so that they can be carried out in a more efficient and accurate manner and reduce errors and labor costs, thereby benefitting end users. The Exchange believes that the proposed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69315 (April 5, 2013), </w:t>
      </w:r>
      <w:hyperlink r:id="rId14" w:history="1">
        <w:r>
          <w:rPr>
            <w:rFonts w:ascii="arial" w:eastAsia="arial" w:hAnsi="arial" w:cs="arial"/>
            <w:b w:val="0"/>
            <w:i/>
            <w:strike w:val="0"/>
            <w:noProof w:val="0"/>
            <w:color w:val="0077CC"/>
            <w:position w:val="0"/>
            <w:sz w:val="20"/>
            <w:u w:val="single"/>
            <w:vertAlign w:val="baseline"/>
          </w:rPr>
          <w:t>78 FR 21668</w:t>
        </w:r>
      </w:hyperlink>
      <w:r>
        <w:rPr>
          <w:rFonts w:ascii="arial" w:eastAsia="arial" w:hAnsi="arial" w:cs="arial"/>
          <w:b w:val="0"/>
          <w:i w:val="0"/>
          <w:strike w:val="0"/>
          <w:noProof w:val="0"/>
          <w:color w:val="000000"/>
          <w:position w:val="0"/>
          <w:sz w:val="20"/>
          <w:u w:val="none"/>
          <w:vertAlign w:val="baseline"/>
        </w:rPr>
        <w:t xml:space="preserve"> (April 11, 2013) (SR-NYSEArca-2013-37).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Exchange Act Release No. 69157, March 18, 2013, </w:t>
      </w:r>
      <w:r>
        <w:rPr>
          <w:rFonts w:ascii="arial" w:eastAsia="arial" w:hAnsi="arial" w:cs="arial"/>
          <w:b w:val="0"/>
          <w:i/>
          <w:strike w:val="0"/>
          <w:noProof w:val="0"/>
          <w:color w:val="000000"/>
          <w:position w:val="0"/>
          <w:sz w:val="20"/>
          <w:u w:val="none"/>
          <w:vertAlign w:val="baseline"/>
        </w:rPr>
        <w:t>78 FR 17946, 17949</w:t>
      </w:r>
      <w:r>
        <w:rPr>
          <w:rFonts w:ascii="arial" w:eastAsia="arial" w:hAnsi="arial" w:cs="arial"/>
          <w:b w:val="0"/>
          <w:i w:val="0"/>
          <w:strike w:val="0"/>
          <w:noProof w:val="0"/>
          <w:color w:val="000000"/>
          <w:position w:val="0"/>
          <w:sz w:val="20"/>
          <w:u w:val="none"/>
          <w:vertAlign w:val="baseline"/>
        </w:rPr>
        <w:t xml:space="preserve"> (March 25, 2013) (SR-CTA/CQ-2013-01) ("[D]ata feeds have become more valuable, as recipients now use them to perform a far larger array of non-display functions. Some firms even base their business models on the incorporation of data feeds into black boxes and application programming interfaces that apply trading algorithms to the data, but that do not require widespread data access by the firm's employees. As a result, these firms pay little for data usage beyond access fees, yet their data access and usage is critical to their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the proposed fee increases are also reasonable in that they support the Exchange's efforts to regularly upgrade systems to support more modern data distribution formats and protocols as technology evolves. For example, the Exchange's extensive improvements to its trading platform and feed technology has significantly lowered the latency of its proprietary data products available over the XDP protocol, which transmits data faster and more efficiently than the Exchange's previous data distribution channel. For example, the average latency of NYSE ArcaBook and NYSE Arca Integrated Feed is approximately one-third of what it was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the proposed fees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offerings by other exchanges, which structure and set their fees comparably. For example, Nasdaq charges professional subscribers monthly fees for non-display usage based upon direct access to NASDAQ level 2, NASDAQ TotalView, or NASDAQ OpenView, which range from $ 375 per month for customers with one to 39 subscribers to $ 75,000 per month for customers with 250 or more subscribers. n13 In addition, Nasdaq PHLX ("PHLX") offers an alternative $ 10,000 per month "Non-Display Enterprise License" fee that permits distribution to an unlimited number of internal non-display subscribers without incurring additional fees for each internal subscriber. n14 The Non-Display Enterprise License covers non-display subscriber fees for all PHLX proprietary direct data feed products and is in addition to any other associated distributor fees for PHLX proprietary direct data fee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IX of the PHLX Pricing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Professional User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subscriber fees are reasonable, equitable and not unfairly discriminatory because the fee structure of differentiated professional and non-professional fees has long been used by the Exchange for other products, by other exchanges for their products, and by the CTA and CQ Plans in order to make data more broadly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tiered structure with decreasing fees as the number of professional subscribers increase is equitable and not unfairly discriminatory because it is similar to the tiered structure used for professional subscribers by the CTA and CQ for Network A data n15 Broker-dealers that purchase NYSE ArcaBook typically have more than 500 professional users and would therefore be impacted by the change in fees for up to the first 500 such users. The fees for such broker-dealers for users above that level will remain at the current level. Additionally, as proposed, professional user fees will be based on a tiered fee structure that depends on the number of users, with a reduced per user rate for those professional users that exceed 500. Subscribers would pay $ 60 per user per month for 500 and fewer users, and would pay the current rate of $ 40 per user per month for those users that exceed 500. This tiered structure is an equitable allocation of reasonable dues, fees and other charges because the proposed fees are commensurate with the value of the data feed.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Those monthly fees are $ 50 for 1-2 devices, $ 30 for 3-999 devices, $ 25 for 1,000-9,999 devices, and $ 20 for 10,000 or more devices.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CTA Network A Rate Schedule, available at </w:t>
      </w:r>
      <w:hyperlink r:id="rId25" w:history="1">
        <w:r>
          <w:rPr>
            <w:rFonts w:ascii="arial" w:eastAsia="arial" w:hAnsi="arial" w:cs="arial"/>
            <w:b w:val="0"/>
            <w:i/>
            <w:strike w:val="0"/>
            <w:noProof w:val="0"/>
            <w:color w:val="0077CC"/>
            <w:position w:val="0"/>
            <w:sz w:val="20"/>
            <w:u w:val="single"/>
            <w:vertAlign w:val="baseline"/>
          </w:rPr>
          <w:t>http://www.nyxdata.com/nysedata/default.aspx?tabid=518</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further believes the proposed monthly Professional User Fee of $ 60 for NYSE ArcaBook and NYSE Arca Integrated Feed is reasonable because the proposed fee is comparable to the $ 60 per month fee currently charged by the New York Stock Exchange LLC ("NYSE") to professional users of the NYSE OpenBook market data product, n16 and is lower than the $ 76 per month fee currently charged by Nasdaq to professional users of the Nasdaq TotalView market data product. n17 And as noted above, the Exchange has not raised the subscriber fees for display use of NYSE ArcaBook since 2014 and for NYSE Arca Integrated Feed since 2013 when fees for NYSE Arca Integrated Feed were first adopted. Since then, the Exchange has continually enhanced its market data products through technology upgrades to meet industry and customer demands. The Exchange believes that the proposed fees are fair and reasonable in light of the Exchange's ongoing effort to improve the delivery technology for market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Proprietary Market Data Fees at </w:t>
      </w:r>
      <w:hyperlink r:id="rId26" w:history="1">
        <w:r>
          <w:rPr>
            <w:rFonts w:ascii="arial" w:eastAsia="arial" w:hAnsi="arial" w:cs="arial"/>
            <w:b w:val="0"/>
            <w:i/>
            <w:strike w:val="0"/>
            <w:noProof w:val="0"/>
            <w:color w:val="0077CC"/>
            <w:position w:val="0"/>
            <w:sz w:val="20"/>
            <w:u w:val="single"/>
            <w:vertAlign w:val="baseline"/>
          </w:rPr>
          <w:t>https://www.nyse.com/publicdocs/nyse/data/NYSE_Market_Data_Fee_Schedule.pdf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Price List--U.S. Equities at </w:t>
      </w:r>
      <w:hyperlink r:id="rId24" w:history="1">
        <w:r>
          <w:rPr>
            <w:rFonts w:ascii="arial" w:eastAsia="arial" w:hAnsi="arial" w:cs="arial"/>
            <w:b w:val="0"/>
            <w:i/>
            <w:strike w:val="0"/>
            <w:noProof w:val="0"/>
            <w:color w:val="0077CC"/>
            <w:position w:val="0"/>
            <w:sz w:val="20"/>
            <w:u w:val="single"/>
            <w:vertAlign w:val="baseline"/>
          </w:rPr>
          <w:t>https://www.nasdaqtrader.com/Trader.aspx?id=DPUSdata#tv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 is reasonable to establish the Professional Fee Cap. The purpose of the Professional User Fee is to charge for each use of NYSE ArcaBook data feed. The Exchange believes it is appropriate to charge user fees for employees that work on different trading desks or who </w:t>
      </w:r>
      <w:r>
        <w:rPr>
          <w:rFonts w:ascii="arial" w:eastAsia="arial" w:hAnsi="arial" w:cs="arial"/>
          <w:b/>
          <w:i w:val="0"/>
          <w:strike w:val="0"/>
          <w:noProof w:val="0"/>
          <w:color w:val="000000"/>
          <w:position w:val="0"/>
          <w:sz w:val="20"/>
          <w:u w:val="none"/>
          <w:vertAlign w:val="baseline"/>
        </w:rPr>
        <w:t> [*55663] </w:t>
      </w:r>
      <w:r>
        <w:rPr>
          <w:rFonts w:ascii="arial" w:eastAsia="arial" w:hAnsi="arial" w:cs="arial"/>
          <w:b w:val="0"/>
          <w:i w:val="0"/>
          <w:strike w:val="0"/>
          <w:noProof w:val="0"/>
          <w:color w:val="000000"/>
          <w:position w:val="0"/>
          <w:sz w:val="20"/>
          <w:u w:val="none"/>
          <w:vertAlign w:val="baseline"/>
        </w:rPr>
        <w:t xml:space="preserve"> provide advisory services. These internal uses are intended to provide value to customers of the broker-dealer, whether in the execution of trades, or with designing an investment portfolio, and are therefore an integral part of a broker-dealer's business model. While the Exchange anticipates that only the largest broker-dealers would avail themselves to the proposed fee cap, in the Exchange's view, limiting the fee exposure of a subset of its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large broker-dealers, does not unreasonably discriminate against other customers under Section 603(a)(2)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Additionally, the Exchange notes that fee caps have long been accepted as an economically efficient form of volume discount for the heaviest users of market data and would allow for a broad dissemination of the Exchange's market data product. n18 The concept of adopting a fee cap applicable to broker-dealer subscribers is not novel. The Exchange currently has a Non-Professional Fee Cap applicable to Broker-Dealers only that subscribe to NYSE ArcaBook.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Nasdaq Rule 7023(c), Enterprise License Fees at </w:t>
      </w:r>
      <w:hyperlink r:id="rId27" w:history="1">
        <w:r>
          <w:rPr>
            <w:rFonts w:ascii="arial" w:eastAsia="arial" w:hAnsi="arial" w:cs="arial"/>
            <w:b w:val="0"/>
            <w:i/>
            <w:strike w:val="0"/>
            <w:noProof w:val="0"/>
            <w:color w:val="0077CC"/>
            <w:position w:val="0"/>
            <w:sz w:val="20"/>
            <w:u w:val="single"/>
            <w:vertAlign w:val="baseline"/>
          </w:rPr>
          <w:t>http://nasdaq.cchwallstreet.com/NASDAQTools/PlatformViewer.asp?selectednode=chp_1_1_4_6&amp;manual=%2Fnasdaq%2Fmain%2Fnasdaq-equityrules%2F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Arca Equities Proprietary Market Data Fees at </w:t>
      </w:r>
      <w:hyperlink r:id="rId28" w:history="1">
        <w:r>
          <w:rPr>
            <w:rFonts w:ascii="arial" w:eastAsia="arial" w:hAnsi="arial" w:cs="arial"/>
            <w:b w:val="0"/>
            <w:i/>
            <w:strike w:val="0"/>
            <w:noProof w:val="0"/>
            <w:color w:val="0077CC"/>
            <w:position w:val="0"/>
            <w:sz w:val="20"/>
            <w:u w:val="single"/>
            <w:vertAlign w:val="baseline"/>
          </w:rPr>
          <w:t>https://www.nyse.com/publicdocs/nyse/data/NYSE_Arca_Equities_Fee_Schedule.pdf</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Securities Exchange Act Release Nos. 59039 (December 2, 2008), </w:t>
      </w:r>
      <w:hyperlink r:id="rId13" w:history="1">
        <w:r>
          <w:rPr>
            <w:rFonts w:ascii="arial" w:eastAsia="arial" w:hAnsi="arial" w:cs="arial"/>
            <w:b w:val="0"/>
            <w:i/>
            <w:strike w:val="0"/>
            <w:noProof w:val="0"/>
            <w:color w:val="0077CC"/>
            <w:position w:val="0"/>
            <w:sz w:val="20"/>
            <w:u w:val="single"/>
            <w:vertAlign w:val="baseline"/>
          </w:rPr>
          <w:t>73 FR 74770</w:t>
        </w:r>
      </w:hyperlink>
      <w:r>
        <w:rPr>
          <w:rFonts w:ascii="arial" w:eastAsia="arial" w:hAnsi="arial" w:cs="arial"/>
          <w:b w:val="0"/>
          <w:i w:val="0"/>
          <w:strike w:val="0"/>
          <w:noProof w:val="0"/>
          <w:color w:val="000000"/>
          <w:position w:val="0"/>
          <w:sz w:val="20"/>
          <w:u w:val="none"/>
          <w:vertAlign w:val="baseline"/>
        </w:rPr>
        <w:t xml:space="preserve"> (December 9, 2008) (SR-NYSEArca-2006-21); 72560 (July 8, 2014), </w:t>
      </w:r>
      <w:hyperlink r:id="rId15" w:history="1">
        <w:r>
          <w:rPr>
            <w:rFonts w:ascii="arial" w:eastAsia="arial" w:hAnsi="arial" w:cs="arial"/>
            <w:b w:val="0"/>
            <w:i/>
            <w:strike w:val="0"/>
            <w:noProof w:val="0"/>
            <w:color w:val="0077CC"/>
            <w:position w:val="0"/>
            <w:sz w:val="20"/>
            <w:u w:val="single"/>
            <w:vertAlign w:val="baseline"/>
          </w:rPr>
          <w:t>79 FR 40801</w:t>
        </w:r>
      </w:hyperlink>
      <w:r>
        <w:rPr>
          <w:rFonts w:ascii="arial" w:eastAsia="arial" w:hAnsi="arial" w:cs="arial"/>
          <w:b w:val="0"/>
          <w:i w:val="0"/>
          <w:strike w:val="0"/>
          <w:noProof w:val="0"/>
          <w:color w:val="000000"/>
          <w:position w:val="0"/>
          <w:sz w:val="20"/>
          <w:u w:val="none"/>
          <w:vertAlign w:val="baseline"/>
        </w:rPr>
        <w:t xml:space="preserve"> (July 14, 2014) (SR-NYSEArca-2014-72); and 76903 (January 14, 2016), </w:t>
      </w:r>
      <w:hyperlink r:id="rId17" w:history="1">
        <w:r>
          <w:rPr>
            <w:rFonts w:ascii="arial" w:eastAsia="arial" w:hAnsi="arial" w:cs="arial"/>
            <w:b w:val="0"/>
            <w:i/>
            <w:strike w:val="0"/>
            <w:noProof w:val="0"/>
            <w:color w:val="0077CC"/>
            <w:position w:val="0"/>
            <w:sz w:val="20"/>
            <w:u w:val="single"/>
            <w:vertAlign w:val="baseline"/>
          </w:rPr>
          <w:t>81 FR 3547</w:t>
        </w:r>
      </w:hyperlink>
      <w:r>
        <w:rPr>
          <w:rFonts w:ascii="arial" w:eastAsia="arial" w:hAnsi="arial" w:cs="arial"/>
          <w:b w:val="0"/>
          <w:i w:val="0"/>
          <w:strike w:val="0"/>
          <w:noProof w:val="0"/>
          <w:color w:val="000000"/>
          <w:position w:val="0"/>
          <w:sz w:val="20"/>
          <w:u w:val="none"/>
          <w:vertAlign w:val="baseline"/>
        </w:rPr>
        <w:t xml:space="preserve"> (January 21, 2016) (SR-NYSEArca-2016-01).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these higher fees in light of the fact that since 2014, the value of NYSE ArcaBook and NYSE Arca Integrated Feed data feeds has increased significantly while fees for these products have not increased. The Exchange notes that in that time, the Exchange has continually upgraded its technology to keep pace with changes in the industry and evolving customer needs. Further, the standardization of the market data specifications recently implemented by the Exchange may provide value to subscribers that utilize data feeds from more than one NYSE market. This standardization enables greatly increased efficiency for firms by allowing them to leverage their development work on one market across multiple markets and reduces the overall impact of the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ArcaBook and NYSE Arca Integrated Feed are entirely optional. Firms are not required to purchase NYSE ArcaBook and NYSE Arca Integrated Feed. Firms that do purchase NYSE ArcaBook and NYSE Arca Integrated Feed do so for the primary goals of using the data feeds to increase profits,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ArcaBook and NYSE Arca Integrated Feed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ArcaBook and NYSE Arca Integrated Feed at the new prices have a variety of alternative market data products from which to choose, n20 or if NYSE ArcaBook and NYSE Arca Integrated Feed does not provide sufficient value to firms as offered based on the uses those firms have or planned to make of it, such firms may simply choose to conduct their business operations in ways that do not use NYSE ArcaBook and NYSE Arca Integrated Feed or use them at different levels or in different configurations. The Exchange notes that broker-dealers are not required to purchase proprietary market data to comply with their best execution obligations.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7023 (Nasdaq TotalView) and BZX Equities Rule 11.22(a) and (c) (TCP Depth and Multicast Depth).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9"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9"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hyperlink r:id="rId29"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30"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above, the Exchange believes that the proposed fees are fair and equitable, and not unreasonably discriminatory. As described above, the proposed fees are based on pricing conventions and distinctions that exist in the Exchange's current fee schedule, and the fee schedules of other exchanges. These distinctions are each based on principles of fairness and equity that have helped for many years to maintain fair, equitable, and not unreasonably discriminatory fees, and that apply with equal or greater force to the current proposal. Thus, although the proposal results in a fee increase, these increases are based on careful analysis of empirical data and the application of </w:t>
      </w:r>
      <w:r>
        <w:rPr>
          <w:rFonts w:ascii="arial" w:eastAsia="arial" w:hAnsi="arial" w:cs="arial"/>
          <w:b/>
          <w:i w:val="0"/>
          <w:strike w:val="0"/>
          <w:noProof w:val="0"/>
          <w:color w:val="000000"/>
          <w:position w:val="0"/>
          <w:sz w:val="20"/>
          <w:u w:val="none"/>
          <w:vertAlign w:val="baseline"/>
        </w:rPr>
        <w:t> [*55664] </w:t>
      </w:r>
      <w:r>
        <w:rPr>
          <w:rFonts w:ascii="arial" w:eastAsia="arial" w:hAnsi="arial" w:cs="arial"/>
          <w:b w:val="0"/>
          <w:i w:val="0"/>
          <w:strike w:val="0"/>
          <w:noProof w:val="0"/>
          <w:color w:val="000000"/>
          <w:position w:val="0"/>
          <w:sz w:val="20"/>
          <w:u w:val="none"/>
          <w:vertAlign w:val="baseline"/>
        </w:rPr>
        <w:t xml:space="preserve"> time-tested pricing principles accepted and applied by the Commission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below, if the market deems the NYSE ArcaBook and NYSE Integrated Feeds not to provide fair value at the prices to be charged, firms can discontinue or change the ways they use these products because the products are optional to all parties. The Exchange continually reviews pricing policies aimed at increasing fairness and equitable allocation of fees among subscribers. NYSE Arca believes that periodically it must adjust the subscriber fees to reflect market forces and the Exchange believes it is an appropriate time to adjust the fees that are the subject of this proposed rule change to more accurately reflect the investments made to enhance these products through technology upgrades.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 xml:space="preserve">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available</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impose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n25 More recently, former SEC Chair Mary Jo White reported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n26 And as the Commission's own Chief Administrative Law Judge found after considering extensive fact and expert testimony and documentary evidence on the subject,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services (or order flow')" among exchanges, and "the record evidence shows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plays a significant role in restraining exchange pricing of depth-of-book products." </w:t>
      </w:r>
      <w:r>
        <w:rPr>
          <w:rFonts w:ascii="arial" w:eastAsia="arial" w:hAnsi="arial" w:cs="arial"/>
          <w:b w:val="0"/>
          <w:i/>
          <w:strike w:val="0"/>
          <w:noProof w:val="0"/>
          <w:color w:val="000000"/>
          <w:position w:val="0"/>
          <w:sz w:val="20"/>
          <w:u w:val="none"/>
          <w:vertAlign w:val="baseline"/>
        </w:rPr>
        <w:t>In the Matter of the Application of Securities Industry And Financial Markets Association For Review of Actions Taken By Self-Regulatory Organizations,</w:t>
      </w:r>
      <w:r>
        <w:rPr>
          <w:rFonts w:ascii="arial" w:eastAsia="arial" w:hAnsi="arial" w:cs="arial"/>
          <w:b w:val="0"/>
          <w:i w:val="0"/>
          <w:strike w:val="0"/>
          <w:noProof w:val="0"/>
          <w:color w:val="000000"/>
          <w:position w:val="0"/>
          <w:sz w:val="20"/>
          <w:u w:val="none"/>
          <w:vertAlign w:val="baseline"/>
        </w:rPr>
        <w:t xml:space="preserve"> Initial Decision Release No. 1015, Administrative Proceeding File No. 3-15350 (June 1, 2016), at pp. 8 and 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Concept Release on Equity Market Structure, Securities Exchange Act Release No. 61358 (Jan. 14, 2010), </w:t>
      </w:r>
      <w:hyperlink r:id="rId32"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32"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33"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NYSE ArcaBook and NYSE Arca Integrated Feed available unless their customers request it, and customers will not elect to pay the proposed fees unless NYSE ArcaBook and NYSE Arca Integrated Feed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Transaction execution and proprietary data products are complementary in that market data is both an input and a byproduct of the execution service. In fact, proprietary market data and trade executions are a paradigmatic example </w:t>
      </w:r>
      <w:r>
        <w:rPr>
          <w:rFonts w:ascii="arial" w:eastAsia="arial" w:hAnsi="arial" w:cs="arial"/>
          <w:b/>
          <w:i w:val="0"/>
          <w:strike w:val="0"/>
          <w:noProof w:val="0"/>
          <w:color w:val="000000"/>
          <w:position w:val="0"/>
          <w:sz w:val="20"/>
          <w:u w:val="none"/>
          <w:vertAlign w:val="baseline"/>
        </w:rPr>
        <w:t> [*55665] </w:t>
      </w:r>
      <w:r>
        <w:rPr>
          <w:rFonts w:ascii="arial" w:eastAsia="arial" w:hAnsi="arial" w:cs="arial"/>
          <w:b w:val="0"/>
          <w:i w:val="0"/>
          <w:strike w:val="0"/>
          <w:noProof w:val="0"/>
          <w:color w:val="000000"/>
          <w:position w:val="0"/>
          <w:sz w:val="20"/>
          <w:u w:val="none"/>
          <w:vertAlign w:val="baseline"/>
        </w:rPr>
        <w:t xml:space="preserve"> of joint products with joint costs. n27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Pricing of Market Data Services, An Economic Analysis</w:t>
      </w:r>
      <w:r>
        <w:rPr>
          <w:rFonts w:ascii="arial" w:eastAsia="arial" w:hAnsi="arial" w:cs="arial"/>
          <w:b w:val="0"/>
          <w:i w:val="0"/>
          <w:strike w:val="0"/>
          <w:noProof w:val="0"/>
          <w:color w:val="000000"/>
          <w:position w:val="0"/>
          <w:sz w:val="20"/>
          <w:u w:val="none"/>
          <w:vertAlign w:val="baseline"/>
        </w:rPr>
        <w:t xml:space="preserve"> at vi ("Given the general structure of electronic order books and electronic order matching, it is not possible to provide transaction services without generating market data, and it is not possible to generate trade transaction--or market depth--data without also supplying a trade execution service. In economic terms, trade execution and market data are joint products.") (Oxera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the Exchange and the Exchange's affiliates, NYSE and NYSE American LLC ("NYSE American"),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n28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34"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5"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6"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Cboe Global Markets f/k/a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n30 More recently, Investors Exchange ("IEX"), which began to operate as an ATS in 2013 and later obtained exchange status in 2016, currently provides market data at no charge in order to attract order flow and build market share.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 </w:t>
      </w:r>
      <w:r>
        <w:rPr>
          <w:rFonts w:ascii="arial" w:eastAsia="arial" w:hAnsi="arial" w:cs="arial"/>
          <w:b/>
          <w:i w:val="0"/>
          <w:strike w:val="0"/>
          <w:noProof w:val="0"/>
          <w:color w:val="000000"/>
          <w:position w:val="0"/>
          <w:sz w:val="20"/>
          <w:u w:val="none"/>
          <w:vertAlign w:val="baseline"/>
        </w:rPr>
        <w:t> [*55666]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NYSE American, Nasdaq, and Bats.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ArcaBook and NYSE Arca Integrated Feed,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n31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and Direct Edge. As noted above, Bats launched as an ATS in 2006 and became an exchange in 2008, while Direct Edge began operations in 2007 and obtained exchange status in 2010. And more recently, IEX, which started operating as an ATS in 2013 has accumulated more than 2% market share since it obtained exchange status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NYSE ArcaBook and NYSE Arca Integrated Feed,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8"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SR-NYSEARCA-2017-130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SR-NYSEARCA-2017-130. This file number should be included on the subject line if email is used. To help the Commission process and review your comments more efficiently, please use only one method. The Commission will post all comments on the Commission's Internet Web site (</w:t>
      </w:r>
      <w:hyperlink r:id="rId37"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 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SR-NYSEARCA-2017-130 and should be submitted on or before December 13,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9"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Eduardo A. Aleman,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2017-25231 Filed 11-21-17;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55660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K4V-V5C0-006W-82HK-00000-00&amp;context=" TargetMode="External" /><Relationship Id="rId13" Type="http://schemas.openxmlformats.org/officeDocument/2006/relationships/hyperlink" Target="https://advance.lexis.com/api/document?collection=administrative-codes&amp;id=urn:contentItem:4V3T-8BP0-006W-834G-00000-00&amp;context=" TargetMode="External" /><Relationship Id="rId14" Type="http://schemas.openxmlformats.org/officeDocument/2006/relationships/hyperlink" Target="https://advance.lexis.com/api/document?collection=administrative-codes&amp;id=urn:contentItem:585J-J500-006W-84DC-00000-00&amp;context=" TargetMode="External" /><Relationship Id="rId15" Type="http://schemas.openxmlformats.org/officeDocument/2006/relationships/hyperlink" Target="https://advance.lexis.com/api/document?collection=administrative-codes&amp;id=urn:contentItem:5CNF-9K50-006W-81X6-00000-00&amp;context=" TargetMode="External" /><Relationship Id="rId16" Type="http://schemas.openxmlformats.org/officeDocument/2006/relationships/hyperlink" Target="https://advance.lexis.com/api/document?collection=administrative-codes&amp;id=urn:contentItem:5D41-YDV0-006W-83CB-00000-00&amp;context=" TargetMode="External" /><Relationship Id="rId17" Type="http://schemas.openxmlformats.org/officeDocument/2006/relationships/hyperlink" Target="https://advance.lexis.com/api/document?collection=administrative-codes&amp;id=urn:contentItem:5HX1-G1G0-006W-84G6-00000-00&amp;context=" TargetMode="External" /><Relationship Id="rId18" Type="http://schemas.openxmlformats.org/officeDocument/2006/relationships/hyperlink" Target="https://advance.lexis.com/api/document?collection=administrative-codes&amp;id=urn:contentItem:54RK-HNF0-006W-8203-00000-00&amp;context=" TargetMode="External" /><Relationship Id="rId19" Type="http://schemas.openxmlformats.org/officeDocument/2006/relationships/hyperlink" Target="https://advance.lexis.com/api/document?collection=administrative-codes&amp;id=urn:contentItem:5F27-YGX0-006W-84S8-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HX1-G1G0-006W-84FR-00000-00&amp;context=" TargetMode="External" /><Relationship Id="rId21" Type="http://schemas.openxmlformats.org/officeDocument/2006/relationships/hyperlink" Target="https://advance.lexis.com/api/document?collection=administrative-codes&amp;id=urn:contentItem:5BGV-3WG0-006W-80SS-00000-00&amp;context=" TargetMode="External" /><Relationship Id="rId22" Type="http://schemas.openxmlformats.org/officeDocument/2006/relationships/hyperlink" Target="https://advance.lexis.com/api/document?collection=statutes-legislation&amp;id=urn:contentItem:4YF7-GPC1-NRF4-4309-00000-00&amp;context=" TargetMode="External" /><Relationship Id="rId23" Type="http://schemas.openxmlformats.org/officeDocument/2006/relationships/hyperlink" Target="https://markets.cboe.com/us/equities/membership/fee_schedule/bzx/" TargetMode="External" /><Relationship Id="rId24" Type="http://schemas.openxmlformats.org/officeDocument/2006/relationships/hyperlink" Target="https://www.nasdaqtrader.com/Trader.aspx?id=DPUSdata#tv" TargetMode="External" /><Relationship Id="rId25" Type="http://schemas.openxmlformats.org/officeDocument/2006/relationships/hyperlink" Target="http://www.nyxdata.com/nysedata/default.aspx?tabid=518" TargetMode="External" /><Relationship Id="rId26" Type="http://schemas.openxmlformats.org/officeDocument/2006/relationships/hyperlink" Target="https://www.nyse.com/publicdocs/nyse/data/NYSE_Market_Data_Fee_Schedule.pdf" TargetMode="External" /><Relationship Id="rId27" Type="http://schemas.openxmlformats.org/officeDocument/2006/relationships/hyperlink" Target="http://nasdaq.cchwallstreet.com/NASDAQTools/PlatformViewer.asp?selectednode=chp_1_1_4_6&amp;manual=%2Fnasdaq%2Fmain%2Fnasdaq-equityrules%2F" TargetMode="External" /><Relationship Id="rId28" Type="http://schemas.openxmlformats.org/officeDocument/2006/relationships/hyperlink" Target="https://www.nyse.com/publicdocs/nyse/data/NYSE_Arca_Equities_Fee_Schedule.pdf" TargetMode="External" /><Relationship Id="rId29" Type="http://schemas.openxmlformats.org/officeDocument/2006/relationships/hyperlink" Target="https://advance.lexis.com/api/document?collection=cases&amp;id=urn:contentItem:803V-DT30-YB0V-T01B-00000-00&amp;context=" TargetMode="External" /><Relationship Id="rId3" Type="http://schemas.openxmlformats.org/officeDocument/2006/relationships/fontTable" Target="fontTable.xml" /><Relationship Id="rId30" Type="http://schemas.openxmlformats.org/officeDocument/2006/relationships/hyperlink" Target="http://www.sec.gov/rules/concept/s72899/buck1.htm" TargetMode="External" /><Relationship Id="rId31" Type="http://schemas.openxmlformats.org/officeDocument/2006/relationships/hyperlink" Target="http://www.justice.gov/iso/opa/atr/speeches/2011/at-speech-110516.html" TargetMode="External" /><Relationship Id="rId32" Type="http://schemas.openxmlformats.org/officeDocument/2006/relationships/hyperlink" Target="https://advance.lexis.com/api/document?collection=administrative-codes&amp;id=urn:contentItem:4Y6T-4FW0-006W-80SB-00000-00&amp;context=" TargetMode="External" /><Relationship Id="rId33" Type="http://schemas.openxmlformats.org/officeDocument/2006/relationships/hyperlink" Target="https://www.arcavision.com/Arcavision/arcalogin.jsp" TargetMode="External" /><Relationship Id="rId34" Type="http://schemas.openxmlformats.org/officeDocument/2006/relationships/hyperlink" Target="https://advance.lexis.com/api/document?collection=administrative-codes&amp;id=urn:contentItem:5C6V-V6N0-006W-80W6-00000-00&amp;context=" TargetMode="External" /><Relationship Id="rId35" Type="http://schemas.openxmlformats.org/officeDocument/2006/relationships/hyperlink" Target="https://advance.lexis.com/api/document?collection=administrative-codes&amp;id=urn:contentItem:512C-NGP0-006W-82VF-00000-00&amp;context=" TargetMode="External" /><Relationship Id="rId36" Type="http://schemas.openxmlformats.org/officeDocument/2006/relationships/hyperlink" Target="https://advance.lexis.com/api/document?collection=administrative-codes&amp;id=urn:contentItem:512C-NGP0-006W-82VH-00000-00&amp;context=" TargetMode="External" /><Relationship Id="rId37" Type="http://schemas.openxmlformats.org/officeDocument/2006/relationships/hyperlink" Target="http://www.sec.gov/rules/sro.shtml" TargetMode="External" /><Relationship Id="rId38" Type="http://schemas.openxmlformats.org/officeDocument/2006/relationships/hyperlink" Target="mailto:rule-comments@sec.gov" TargetMode="External" /><Relationship Id="rId39" Type="http://schemas.openxmlformats.org/officeDocument/2006/relationships/hyperlink" Target="https://advance.lexis.com/api/document?collection=administrative-codes&amp;id=urn:contentItem:5SPP-2120-008G-Y2ND-00000-00&amp;context=" TargetMode="External" /><Relationship Id="rId4" Type="http://schemas.openxmlformats.org/officeDocument/2006/relationships/header" Target="header1.xm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13-F740-006W-826C-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50181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71342864</vt:lpwstr>
  </property>
  <property fmtid="{D5CDD505-2E9C-101B-9397-08002B2CF9AE}" pid="3" name="LADocCount">
    <vt:lpwstr>1</vt:lpwstr>
  </property>
  <property fmtid="{D5CDD505-2E9C-101B-9397-08002B2CF9AE}" pid="4" name="UserPermID">
    <vt:lpwstr>urn:user:PA185916758</vt:lpwstr>
  </property>
</Properties>
</file>