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55702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224, Wednesday, November 22,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55702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22,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 To Amend the Fees for NYSE Arca BBO and NYSE Arca Trades To Lower the Enterprise Fee for Those Products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34-82099; File No. SR-NYSEARCA-2017-129]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November 3, 2017, NYSE Arca, Inc. (the "Exchange" or "NYSE Arca")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Arca BBO and NYSE Arca Trades to lower the Enterprise Fee for those products.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 </w:t>
      </w:r>
      <w:r>
        <w:rPr>
          <w:rFonts w:ascii="arial" w:eastAsia="arial" w:hAnsi="arial" w:cs="arial"/>
          <w:b/>
          <w:i w:val="0"/>
          <w:strike w:val="0"/>
          <w:noProof w:val="0"/>
          <w:color w:val="000000"/>
          <w:position w:val="0"/>
          <w:sz w:val="20"/>
          <w:u w:val="none"/>
          <w:vertAlign w:val="baseline"/>
        </w:rPr>
        <w:t> [*55703]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Arca BBO and NYSE Arca Trades market data products, n4 as set forth on the NYSE Arca Equities Proprietary Market Data Fee Schedule ("Fee Schedule"). Specifically, the Exchange proposes to lower the Enterprise Fee for those products. The Exchange proposes to make the fee change effective November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59308 (January 28, 2009), </w:t>
      </w:r>
      <w:hyperlink r:id="rId12" w:history="1">
        <w:r>
          <w:rPr>
            <w:rFonts w:ascii="arial" w:eastAsia="arial" w:hAnsi="arial" w:cs="arial"/>
            <w:b w:val="0"/>
            <w:i/>
            <w:strike w:val="0"/>
            <w:noProof w:val="0"/>
            <w:color w:val="0077CC"/>
            <w:position w:val="0"/>
            <w:sz w:val="20"/>
            <w:u w:val="single"/>
            <w:vertAlign w:val="baseline"/>
          </w:rPr>
          <w:t>74 FR 5955</w:t>
        </w:r>
      </w:hyperlink>
      <w:r>
        <w:rPr>
          <w:rFonts w:ascii="arial" w:eastAsia="arial" w:hAnsi="arial" w:cs="arial"/>
          <w:b w:val="0"/>
          <w:i w:val="0"/>
          <w:strike w:val="0"/>
          <w:noProof w:val="0"/>
          <w:color w:val="000000"/>
          <w:position w:val="0"/>
          <w:sz w:val="20"/>
          <w:u w:val="none"/>
          <w:vertAlign w:val="baseline"/>
        </w:rPr>
        <w:t xml:space="preserve"> (February 3, 2009) (SR-NYSEArca-2009-05) (notice--NYSE Arca Trades); 59598 (March 18, 2009), </w:t>
      </w:r>
      <w:hyperlink r:id="rId13" w:history="1">
        <w:r>
          <w:rPr>
            <w:rFonts w:ascii="arial" w:eastAsia="arial" w:hAnsi="arial" w:cs="arial"/>
            <w:b w:val="0"/>
            <w:i/>
            <w:strike w:val="0"/>
            <w:noProof w:val="0"/>
            <w:color w:val="0077CC"/>
            <w:position w:val="0"/>
            <w:sz w:val="20"/>
            <w:u w:val="single"/>
            <w:vertAlign w:val="baseline"/>
          </w:rPr>
          <w:t>74 FR 12919</w:t>
        </w:r>
      </w:hyperlink>
      <w:r>
        <w:rPr>
          <w:rFonts w:ascii="arial" w:eastAsia="arial" w:hAnsi="arial" w:cs="arial"/>
          <w:b w:val="0"/>
          <w:i w:val="0"/>
          <w:strike w:val="0"/>
          <w:noProof w:val="0"/>
          <w:color w:val="000000"/>
          <w:position w:val="0"/>
          <w:sz w:val="20"/>
          <w:u w:val="none"/>
          <w:vertAlign w:val="baseline"/>
        </w:rPr>
        <w:t xml:space="preserve"> (March 25, 2009) (SR-NYSEArca-2009-05) (approval order--NYSE Arca Trades); 61937 (April 16, 2010), </w:t>
      </w:r>
      <w:r>
        <w:rPr>
          <w:rFonts w:ascii="arial" w:eastAsia="arial" w:hAnsi="arial" w:cs="arial"/>
          <w:b w:val="0"/>
          <w:i/>
          <w:strike w:val="0"/>
          <w:noProof w:val="0"/>
          <w:color w:val="000000"/>
          <w:position w:val="0"/>
          <w:sz w:val="20"/>
          <w:u w:val="none"/>
          <w:vertAlign w:val="baseline"/>
        </w:rPr>
        <w:t>78 FR 21378</w:t>
      </w:r>
      <w:r>
        <w:rPr>
          <w:rFonts w:ascii="arial" w:eastAsia="arial" w:hAnsi="arial" w:cs="arial"/>
          <w:b w:val="0"/>
          <w:i w:val="0"/>
          <w:strike w:val="0"/>
          <w:noProof w:val="0"/>
          <w:color w:val="000000"/>
          <w:position w:val="0"/>
          <w:sz w:val="20"/>
          <w:u w:val="none"/>
          <w:vertAlign w:val="baseline"/>
        </w:rPr>
        <w:t xml:space="preserve"> (April 23, 2010) (SR-NYSEArca-2010-23) (notice--NYSE Arca BBO); and 62188 (May 27, 2010), </w:t>
      </w:r>
      <w:hyperlink r:id="rId14" w:history="1">
        <w:r>
          <w:rPr>
            <w:rFonts w:ascii="arial" w:eastAsia="arial" w:hAnsi="arial" w:cs="arial"/>
            <w:b w:val="0"/>
            <w:i/>
            <w:strike w:val="0"/>
            <w:noProof w:val="0"/>
            <w:color w:val="0077CC"/>
            <w:position w:val="0"/>
            <w:sz w:val="20"/>
            <w:u w:val="single"/>
            <w:vertAlign w:val="baseline"/>
          </w:rPr>
          <w:t>75 FR 31484</w:t>
        </w:r>
      </w:hyperlink>
      <w:r>
        <w:rPr>
          <w:rFonts w:ascii="arial" w:eastAsia="arial" w:hAnsi="arial" w:cs="arial"/>
          <w:b w:val="0"/>
          <w:i w:val="0"/>
          <w:strike w:val="0"/>
          <w:noProof w:val="0"/>
          <w:color w:val="000000"/>
          <w:position w:val="0"/>
          <w:sz w:val="20"/>
          <w:u w:val="none"/>
          <w:vertAlign w:val="baseline"/>
        </w:rPr>
        <w:t xml:space="preserve"> (June 3, 2010) (SR-NYSEArca-2010-23) (approval order--NYSE Arca BBO).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an enterprise fee of $ 34,500 per month for an unlimited number of professional and non-professional users for each of NYSE Arca BBO and NYSE Arca Trades. n5 A single Enterprise Fee applies for clients receiving both NYSE Arca BBO and NYSE Arca Trades. n6 The Exchange proposes to lower the enterprise fee to $ 22,000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79310 (November 14, 2016), </w:t>
      </w:r>
      <w:r>
        <w:rPr>
          <w:rFonts w:ascii="arial" w:eastAsia="arial" w:hAnsi="arial" w:cs="arial"/>
          <w:b w:val="0"/>
          <w:i/>
          <w:strike w:val="0"/>
          <w:noProof w:val="0"/>
          <w:color w:val="000000"/>
          <w:position w:val="0"/>
          <w:sz w:val="20"/>
          <w:u w:val="none"/>
          <w:vertAlign w:val="baseline"/>
        </w:rPr>
        <w:t>81 FR 81820</w:t>
      </w:r>
      <w:r>
        <w:rPr>
          <w:rFonts w:ascii="arial" w:eastAsia="arial" w:hAnsi="arial" w:cs="arial"/>
          <w:b w:val="0"/>
          <w:i w:val="0"/>
          <w:strike w:val="0"/>
          <w:noProof w:val="0"/>
          <w:color w:val="000000"/>
          <w:position w:val="0"/>
          <w:sz w:val="20"/>
          <w:u w:val="none"/>
          <w:vertAlign w:val="baseline"/>
        </w:rPr>
        <w:t xml:space="preserve"> (November 18, 2016) (SR-NYSEArca-2016-142).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70213 (August 15, 2013), </w:t>
      </w:r>
      <w:hyperlink r:id="rId15" w:history="1">
        <w:r>
          <w:rPr>
            <w:rFonts w:ascii="arial" w:eastAsia="arial" w:hAnsi="arial" w:cs="arial"/>
            <w:b w:val="0"/>
            <w:i/>
            <w:strike w:val="0"/>
            <w:noProof w:val="0"/>
            <w:color w:val="0077CC"/>
            <w:position w:val="0"/>
            <w:sz w:val="20"/>
            <w:u w:val="single"/>
            <w:vertAlign w:val="baseline"/>
          </w:rPr>
          <w:t>78 FR 51796</w:t>
        </w:r>
      </w:hyperlink>
      <w:r>
        <w:rPr>
          <w:rFonts w:ascii="arial" w:eastAsia="arial" w:hAnsi="arial" w:cs="arial"/>
          <w:b w:val="0"/>
          <w:i w:val="0"/>
          <w:strike w:val="0"/>
          <w:noProof w:val="0"/>
          <w:color w:val="000000"/>
          <w:position w:val="0"/>
          <w:sz w:val="20"/>
          <w:u w:val="none"/>
          <w:vertAlign w:val="baseline"/>
        </w:rPr>
        <w:t xml:space="preserve"> (August 21, 2013) (SR-NYSEArca-2013-81).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under the current fee structure for per user fees, if a firm had 10,000 professional users who each received NYSE Arca Trades at $ 4 per month and NYSE Arca BBO at $ 4 per month, without the Enterprise Fee, the firm would pay $ 80,000 per month in professional user fees. Under the current pricing structure, this firm would pay a capped fee of $ 34,500 and effective November 3, 2017 it would pay a capped fee of $ 22,000.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reduced enterprise fee, the firm would pay a flat fee of $ 22,000 for an unlimited number of professional and non-professional users for both products. As is the case currently, a data recipient that pays the enterprise fee would not have to report the number of such users on a monthly basis. n7 However, upon request, a data recipient must provide the Exchange with a count of the total number of natural person users of each product, including both professional and non-professional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Professional users currently are subject to a per display device 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73998 (January 6, 2015), </w:t>
      </w:r>
      <w:hyperlink r:id="rId16" w:history="1">
        <w:r>
          <w:rPr>
            <w:rFonts w:ascii="arial" w:eastAsia="arial" w:hAnsi="arial" w:cs="arial"/>
            <w:b w:val="0"/>
            <w:i/>
            <w:strike w:val="0"/>
            <w:noProof w:val="0"/>
            <w:color w:val="0077CC"/>
            <w:position w:val="0"/>
            <w:sz w:val="20"/>
            <w:u w:val="single"/>
            <w:vertAlign w:val="baseline"/>
          </w:rPr>
          <w:t>80 FR 1549</w:t>
        </w:r>
      </w:hyperlink>
      <w:r>
        <w:rPr>
          <w:rFonts w:ascii="arial" w:eastAsia="arial" w:hAnsi="arial" w:cs="arial"/>
          <w:b w:val="0"/>
          <w:i w:val="0"/>
          <w:strike w:val="0"/>
          <w:noProof w:val="0"/>
          <w:color w:val="000000"/>
          <w:position w:val="0"/>
          <w:sz w:val="20"/>
          <w:u w:val="none"/>
          <w:vertAlign w:val="baseline"/>
        </w:rPr>
        <w:t xml:space="preserve"> (January 12, 2015) (SR-NYSEArca-2014-148).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7"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7"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 change is also equitable and not unfairly discriminatory because it would apply to all data recipients that choose to subscribe to NYSE Arca BBO and NYSE Arca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enterprise fees for NYSE Arca BBO and NYSE Arca Trades are reasonable because they will result in a fee reduction for data recipients with sufficiently large numbers of professional and non-professional users, as described in the example above. If a data recipient has a smaller number of professional users of NYSE Arca BBO and/or NYSE Arca Trades, then it may continue to use the per user fee structure and the fees it pays will not change. By reducing prices for data recipients with a large number of professional and non-professional users, the Exchange believes that more data recipients may choose to offer NYSE Arca BBO and NYSE Arca Trades, thereby expanding the distribution of this market data for the benefit of investors. The Exchange also believes that offering a reduced enterprise fee expands the range of options for offering NYSE Arca BBO and NYSE Arca Trades and allows data recipients greater choice in selecting the most appropriate level of data and fees for the professional and non-professional users they are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 BBO and NYSE Arca Trades are entirely optional. The Exchange is not required to make NYSE Arca BBO and NYSE Arca Trades available or to offer any specific pricing alternatives to any customers, nor is any firm required to purchase NYSE Arca BBO and NYSE Arca Trades. Firms that do purchase NYSE Arca BBO and NYSE Arca Trades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 BBO and NYSE Arca Trades or any other similar products are attractively priced or not.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Arca BBO and NYSE Arca Trades have a variety of alternative market data products from which to choose, n11 or if NYSE Arca BBO and NYSE Arca Trades do not provide sufficient value to firms as offered based on the uses those firms have or planned to make of it, such firms may simply choose to conduct their business operations in ways that do not use NYSE Arca BBO and NYSE Arca Trades or use them at different levels or in different configurations. The Exchange notes that broker-dealers are not required to purchase proprietary market data to comply with their best execution obligations.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BZX Equities Rule 11.22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8"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 </w:t>
      </w:r>
      <w:r>
        <w:rPr>
          <w:rFonts w:ascii="arial" w:eastAsia="arial" w:hAnsi="arial" w:cs="arial"/>
          <w:b/>
          <w:i w:val="0"/>
          <w:strike w:val="0"/>
          <w:noProof w:val="0"/>
          <w:color w:val="000000"/>
          <w:position w:val="0"/>
          <w:sz w:val="20"/>
          <w:u w:val="none"/>
          <w:vertAlign w:val="baseline"/>
        </w:rPr>
        <w:t> [*55704] </w:t>
      </w:r>
    </w:p>
    <w:p>
      <w:pPr>
        <w:keepNext w:val="0"/>
        <w:spacing w:before="20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8"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reduced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9"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Deutsche Borse AG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NYSE Euronext</w:t>
      </w:r>
      <w:r>
        <w:rPr>
          <w:rFonts w:ascii="arial" w:eastAsia="arial" w:hAnsi="arial" w:cs="arial"/>
          <w:b w:val="0"/>
          <w:i w:val="0"/>
          <w:strike w:val="0"/>
          <w:noProof w:val="0"/>
          <w:color w:val="000000"/>
          <w:position w:val="0"/>
          <w:sz w:val="20"/>
          <w:u w:val="none"/>
          <w:vertAlign w:val="baseline"/>
        </w:rPr>
        <w:t xml:space="preserve">,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n16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Concept Release on Equity Market Structure, Securities Exchange Act Release No. 61358 (Jan. 14, 2010), </w:t>
      </w:r>
      <w:hyperlink r:id="rId21"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1"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w:t>
      </w:r>
      <w:r>
        <w:rPr>
          <w:rFonts w:ascii="arial" w:eastAsia="arial" w:hAnsi="arial" w:cs="arial"/>
          <w:b/>
          <w:i w:val="0"/>
          <w:strike w:val="0"/>
          <w:noProof w:val="0"/>
          <w:color w:val="000000"/>
          <w:position w:val="0"/>
          <w:sz w:val="20"/>
          <w:u w:val="none"/>
          <w:vertAlign w:val="baseline"/>
        </w:rPr>
        <w:t> [*55705] </w:t>
      </w:r>
      <w:r>
        <w:rPr>
          <w:rFonts w:ascii="arial" w:eastAsia="arial" w:hAnsi="arial" w:cs="arial"/>
          <w:b w:val="0"/>
          <w:i w:val="0"/>
          <w:strike w:val="0"/>
          <w:noProof w:val="0"/>
          <w:color w:val="000000"/>
          <w:position w:val="0"/>
          <w:sz w:val="20"/>
          <w:u w:val="none"/>
          <w:vertAlign w:val="baseline"/>
        </w:rPr>
        <w:t xml:space="preserve"> example, vendors that assess a surcharge on data they sell are able to refuse to offer proprietary products that their end users do not or will not purchase in sufficient numbers. Vendors will not elect to make available NYSE Arca BBO or NYSE Arca Trades unless their customers request it, and customers will not elect to pay the proposed fees unless NYSE Arca BBO and NYSE Arca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n18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Pricing of Market Data Services, An Economic Analysis</w:t>
      </w:r>
      <w:r>
        <w:rPr>
          <w:rFonts w:ascii="arial" w:eastAsia="arial" w:hAnsi="arial" w:cs="arial"/>
          <w:b w:val="0"/>
          <w:i w:val="0"/>
          <w:strike w:val="0"/>
          <w:noProof w:val="0"/>
          <w:color w:val="000000"/>
          <w:position w:val="0"/>
          <w:sz w:val="20"/>
          <w:u w:val="none"/>
          <w:vertAlign w:val="baseline"/>
        </w:rPr>
        <w:t xml:space="preserve"> at vi ("Given the general structure of electronic order books and electronic order matching, it is not possible to provide transaction services without generating market data, and it is not possible to generate trade transaction--or market depth--data without also supplying a trade execution service. In economic terms, trade execution and market data are joint products.") (Oxera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n19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3"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4"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5"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n21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[*55706] </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New York Stock Exchange LLC, NYSE American LLC, NASDAQ,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Indeed, in the case of NYSE Arca BBO and NYSE Arca Trades, the data provided through these products appears both in (i) real-time core data products offered by the Securities Information Processors (SIPs) for a fee, and (ii) free SIP data products with a 15-minute time delay, and finds a close substitute in similar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n22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 proliferation of dark pools and other ATSs operate profitably with fragmentary share of consolidated market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the NYSE Arca BBO and NYSE Arca Trades,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n23 of the Act and subparagraph (f)(2) of Rule 19b-4 n24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n25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SR-NYSEARCA-2017-129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SR-NYSEARCA-2017-129. This file number should be included on the subject line if email is used. To help the Commission process and review your comments more efficiently, please use only one method. The Commission will post all comments on the Commission's Internet Web site (</w:t>
      </w:r>
      <w:hyperlink r:id="rId2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SR-NYSEARCA-2017-129 and should be submitted on or before December 13, 2017. </w:t>
      </w:r>
      <w:r>
        <w:rPr>
          <w:rFonts w:ascii="arial" w:eastAsia="arial" w:hAnsi="arial" w:cs="arial"/>
          <w:b/>
          <w:i w:val="0"/>
          <w:strike w:val="0"/>
          <w:noProof w:val="0"/>
          <w:color w:val="000000"/>
          <w:position w:val="0"/>
          <w:sz w:val="20"/>
          <w:u w:val="none"/>
          <w:vertAlign w:val="baseline"/>
        </w:rPr>
        <w:t> [*55707]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28"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2017-25228 Filed 11-21-17;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55702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VHR-H7J0-006W-83JG-00000-00&amp;context=" TargetMode="External" /><Relationship Id="rId13" Type="http://schemas.openxmlformats.org/officeDocument/2006/relationships/hyperlink" Target="https://advance.lexis.com/api/document?collection=administrative-codes&amp;id=urn:contentItem:4VXC-Y220-006W-83Y0-00000-00&amp;context=" TargetMode="External" /><Relationship Id="rId14" Type="http://schemas.openxmlformats.org/officeDocument/2006/relationships/hyperlink" Target="https://advance.lexis.com/api/document?collection=administrative-codes&amp;id=urn:contentItem:5074-YWG0-006W-80R6-00000-00&amp;context=" TargetMode="External" /><Relationship Id="rId15" Type="http://schemas.openxmlformats.org/officeDocument/2006/relationships/hyperlink" Target="https://advance.lexis.com/api/document?collection=administrative-codes&amp;id=urn:contentItem:595R-50V0-006W-83S6-00000-00&amp;context=" TargetMode="External" /><Relationship Id="rId16" Type="http://schemas.openxmlformats.org/officeDocument/2006/relationships/hyperlink" Target="https://advance.lexis.com/api/document?collection=administrative-codes&amp;id=urn:contentItem:5F27-YGX0-006W-84SJ-00000-00&amp;context=" TargetMode="External" /><Relationship Id="rId17" Type="http://schemas.openxmlformats.org/officeDocument/2006/relationships/hyperlink" Target="https://advance.lexis.com/api/document?collection=statutes-legislation&amp;id=urn:contentItem:4YF7-GPC1-NRF4-4309-00000-00&amp;context=" TargetMode="External" /><Relationship Id="rId18" Type="http://schemas.openxmlformats.org/officeDocument/2006/relationships/hyperlink" Target="https://advance.lexis.com/api/document?collection=cases&amp;id=urn:contentItem:803V-DT30-YB0V-T01B-00000-00&amp;context=" TargetMode="External" /><Relationship Id="rId19" Type="http://schemas.openxmlformats.org/officeDocument/2006/relationships/hyperlink" Target="http://www.sec.gov/rules/concept/s72899/buck1.htm" TargetMode="External" /><Relationship Id="rId2" Type="http://schemas.openxmlformats.org/officeDocument/2006/relationships/webSettings" Target="webSettings.xml" /><Relationship Id="rId20" Type="http://schemas.openxmlformats.org/officeDocument/2006/relationships/hyperlink" Target="http://www.justice.gov/iso/opa/atr/speeches/2011/at-speech-110516.html" TargetMode="External" /><Relationship Id="rId21" Type="http://schemas.openxmlformats.org/officeDocument/2006/relationships/hyperlink" Target="https://advance.lexis.com/api/document?collection=administrative-codes&amp;id=urn:contentItem:4Y6T-4FW0-006W-80SB-00000-00&amp;context=" TargetMode="External" /><Relationship Id="rId22" Type="http://schemas.openxmlformats.org/officeDocument/2006/relationships/hyperlink" Target="https://www.arcavision.com/Arcavision/arcalogin.jsp" TargetMode="External" /><Relationship Id="rId23" Type="http://schemas.openxmlformats.org/officeDocument/2006/relationships/hyperlink" Target="https://advance.lexis.com/api/document?collection=administrative-codes&amp;id=urn:contentItem:5C6V-V6N0-006W-80W6-00000-00&amp;context=" TargetMode="External" /><Relationship Id="rId24" Type="http://schemas.openxmlformats.org/officeDocument/2006/relationships/hyperlink" Target="https://advance.lexis.com/api/document?collection=administrative-codes&amp;id=urn:contentItem:512C-NGP0-006W-82VF-00000-00&amp;context=" TargetMode="External" /><Relationship Id="rId25" Type="http://schemas.openxmlformats.org/officeDocument/2006/relationships/hyperlink" Target="https://advance.lexis.com/api/document?collection=administrative-codes&amp;id=urn:contentItem:512C-NGP0-006W-82VH-00000-00&amp;context=" TargetMode="External" /><Relationship Id="rId26" Type="http://schemas.openxmlformats.org/officeDocument/2006/relationships/hyperlink" Target="http://www.sec.gov/rules/sro.shtml" TargetMode="External" /><Relationship Id="rId27" Type="http://schemas.openxmlformats.org/officeDocument/2006/relationships/hyperlink" Target="mailto:rule-comments@sec.gov" TargetMode="External" /><Relationship Id="rId28" Type="http://schemas.openxmlformats.org/officeDocument/2006/relationships/hyperlink" Target="https://advance.lexis.com/api/document?collection=administrative-codes&amp;id=urn:contentItem:5SPP-2120-008G-Y2ND-00000-00&amp;context="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13-F740-006W-826N-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58365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71343290</vt:lpwstr>
  </property>
  <property fmtid="{D5CDD505-2E9C-101B-9397-08002B2CF9AE}" pid="3" name="LADocCount">
    <vt:lpwstr>1</vt:lpwstr>
  </property>
  <property fmtid="{D5CDD505-2E9C-101B-9397-08002B2CF9AE}" pid="4" name="UserPermID">
    <vt:lpwstr>urn:user:PA185916758</vt:lpwstr>
  </property>
</Properties>
</file>