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57265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231, Monday, December 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57265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Alimentation Couche-Tard Inc. and CrossAmerica Partners LP;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171 0207]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complaint and the terms of the consent orders--embodied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w:t>
      </w:r>
      <w:r>
        <w:rPr>
          <w:rFonts w:ascii="arial" w:eastAsia="arial" w:hAnsi="arial" w:cs="arial"/>
          <w:b/>
          <w:i w:val="0"/>
          <w:strike w:val="0"/>
          <w:noProof w:val="0"/>
          <w:color w:val="000000"/>
          <w:position w:val="0"/>
          <w:sz w:val="20"/>
          <w:u w:val="none"/>
          <w:vertAlign w:val="baseline"/>
        </w:rPr>
        <w:t> [*57266] </w:t>
      </w:r>
      <w:r>
        <w:rPr>
          <w:rFonts w:ascii="arial" w:eastAsia="arial" w:hAnsi="arial" w:cs="arial"/>
          <w:b w:val="0"/>
          <w:i w:val="0"/>
          <w:strike w:val="0"/>
          <w:noProof w:val="0"/>
          <w:color w:val="000000"/>
          <w:position w:val="0"/>
          <w:sz w:val="20"/>
          <w:u w:val="none"/>
          <w:vertAlign w:val="baseline"/>
        </w:rPr>
        <w:t xml:space="preserve"> consent agreement containing a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November 22, 2017), on the World Wide Web, at </w:t>
      </w:r>
      <w:hyperlink r:id="rId10" w:history="1">
        <w:r>
          <w:rPr>
            <w:rFonts w:ascii="arial" w:eastAsia="arial" w:hAnsi="arial" w:cs="arial"/>
            <w:b w:val="0"/>
            <w:i/>
            <w:strike w:val="0"/>
            <w:noProof w:val="0"/>
            <w:color w:val="0077CC"/>
            <w:position w:val="0"/>
            <w:sz w:val="20"/>
            <w:u w:val="single"/>
            <w:vertAlign w:val="baseline"/>
          </w:rPr>
          <w:t>https://www.ftc.gov/news-events/commission-actions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December 22, 2017. Write "In the Matter of ACT/Jet Pep, Inc., File No. 171 0207"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https://www.ftc.gov/policy/public-comments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2" w:history="1">
        <w:r>
          <w:rPr>
            <w:rFonts w:ascii="arial" w:eastAsia="arial" w:hAnsi="arial" w:cs="arial"/>
            <w:b w:val="0"/>
            <w:i/>
            <w:strike w:val="0"/>
            <w:noProof w:val="0"/>
            <w:color w:val="0077CC"/>
            <w:position w:val="0"/>
            <w:sz w:val="20"/>
            <w:u w:val="single"/>
            <w:vertAlign w:val="baseline"/>
          </w:rPr>
          <w:t>https://ftcpublic.commentworks.com/ftc/actconsent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prefer to file your comment on paper, write "In the Matter of ACT/Jet Pep, Inc., File No. 171 0207"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placed on the publicly accessible FTC Web site at </w:t>
      </w:r>
      <w:hyperlink r:id="rId14" w:history="1">
        <w:r>
          <w:rPr>
            <w:rFonts w:ascii="arial" w:eastAsia="arial" w:hAnsi="arial" w:cs="arial"/>
            <w:b w:val="0"/>
            <w:i/>
            <w:strike w:val="0"/>
            <w:noProof w:val="0"/>
            <w:color w:val="0077CC"/>
            <w:position w:val="0"/>
            <w:sz w:val="20"/>
            <w:u w:val="single"/>
            <w:vertAlign w:val="baseline"/>
          </w:rPr>
          <w:t>https://www.ftc.gov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are solely responsible for making sure that your comment does not include any sensitive or confidential information. In particular, your comment should not include any sensitive personal information, such as your or anyone else's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such as medical records or other individually identifiable health information. In addition, your comment should not include any "trade secret or any commercial or financial information which . . . is privileged or confidential"--as provided by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5"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--including in particular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containing material for which confidential treatment is requested must be filed in paper form, must be clearly labeled "Confidential," and must comply with FTC Rule 4.9(c).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Your comment will be kept confidential only if the General Counsel grants your request in accordance with the law and the public interest. Once your comment has been posted on the public FTC Web site--as legally required by FTC Rule 4.9(b)--we cannot redact or remove your comment from the FTC Web site, unless you submit a confidentiality request that meets the requirements for such treatment under FTC Rule 4.9(c), and the General Counsel grants that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FTC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December 22, 2017. For information on the Commission's privacy policy, including routine uses permitted by the Privacy Act, see </w:t>
      </w:r>
      <w:hyperlink r:id="rId17" w:history="1">
        <w:r>
          <w:rPr>
            <w:rFonts w:ascii="arial" w:eastAsia="arial" w:hAnsi="arial" w:cs="arial"/>
            <w:b w:val="0"/>
            <w:i/>
            <w:strike w:val="0"/>
            <w:noProof w:val="0"/>
            <w:color w:val="0077CC"/>
            <w:position w:val="0"/>
            <w:sz w:val="20"/>
            <w:u w:val="single"/>
            <w:vertAlign w:val="baseline"/>
          </w:rPr>
          <w:t>https://www.ftc.gov/site-information/privacy-policy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Orders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for public comment, subject to final approval, an Agreement Containing Consent Orders ("Consent Agreement") from Alimentation Couche-Tard Inc. ("ACT") and CrossAmerica Partners LP ("CAPL") (collectively, the "Respondents"). The Consent Agreement is designed to remedy the anticompetitive effects that likely would result from the proposed acquisition of Jet-Pep, Inc. ("Jet-Pep")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terms of the proposed Consent Agreement, ACT and CAPL must divest to a Commission-approved buyer (or buyers) certain Jet-Pep retail fuel outlets and related assets in three local markets in Alabama. ACT must complete the divestiture no later than 120 days after the closing of ACT's acquisition of Jet-Pep. The Commission and Respondents have agreed to an Order to Maintain Assets that requires Respondents to operate and maintain each divestiture outlet in the normal course of business until a Commission-approved buyer acquires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placed the proposed Consent Agreement on the public record for 30 days to solicit comments from interested persons. Comments received during this period will become part of the public record. After 30 days, the Commission will again review the proposed Consent Agreement and the comments received, and will decide whether it should withdraw from the Consent Agreement, modify it, or make it final.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 ACT, a publicly traded company headquartered in Laval, Quebec, Canada, operates convenience stores and retail fuel outlets throughout the United States and the world. ACT is the parent of wholly owned subsidiary, Circle K Stores Inc. ("Circle K"). ACT's current U.S. network consists of approximately 7,200 stores located in 42 states, making ACT the second-largest retail fuel chain in the country. ACT convenience store locations operate primarily under the Circle K and Kangaroo Express banners, while its retail fuel outlets provide a variety of company unbranded and third-party branded fuels. ACT owns 158 retail fuel outlets in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Respondent CAPL, a publicly traded master limited partnership headquartered in Allentown, Pennsylvania, markets fuel at wholesale, and owns and operates convenience stores and retail fuel outlets. ACT, via Circle K, acquired CST Brands, Inc. ("CST") in June 2017, which gave Circle K operational control and management of CAPL. CAPL supplies fuel to nearly 1,200 sites across 29 states, but it does not operate in Alabama. </w:t>
      </w:r>
      <w:r>
        <w:rPr>
          <w:rFonts w:ascii="arial" w:eastAsia="arial" w:hAnsi="arial" w:cs="arial"/>
          <w:b/>
          <w:i w:val="0"/>
          <w:strike w:val="0"/>
          <w:noProof w:val="0"/>
          <w:color w:val="000000"/>
          <w:position w:val="0"/>
          <w:sz w:val="20"/>
          <w:u w:val="none"/>
          <w:vertAlign w:val="baseline"/>
        </w:rPr>
        <w:t> [*57267]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Proposed Acquisition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three separate agreements (collectively "the Acquisition"), ACT will acquire ownership or operation of 120 Jet-Pep retail fuel outlets with attached convenience stores. Circle K intends to acquire 18 retail fuel outlets and Jet-Pep's terminal and related assets. CAPL will acquire the remaining 102 Jet-Pep retail fuel outlets. The Acquisition is not reportable under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18"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("HSR Act"). The Acquisition would extend ACT's position as one of the largest operators of retail fuel outlets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Complaint alleges that the Acquisition, if consummated, would violate Section 7 of the Clayton Act, as amended, </w:t>
      </w:r>
      <w:hyperlink r:id="rId1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as amended, </w:t>
      </w:r>
      <w:hyperlink r:id="rId21"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substantially lessening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retail sale of gasoline and diesel in three local markets in Alabama. The proposed Complaint further alleges that Acquisition agreements constitute a violation of Section 5 of the FTC Act, as amended, </w:t>
      </w:r>
      <w:hyperlink r:id="rId21"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proposed Complaint, the relevant product markets in which to analyze the Acquisition are the retail sale of gasoline and the retail sale of diesel. The retail sale of gasoline and the retail sale of diesel constitute separate relevant markets because the two are not interchangeable. Consumers require gasoline for their gasoline-powered vehicles and can purchase gasoline only at retail fuel outlets. Likewise, consumers require diesel for their diesel-powered vehicles and can purchase diesel only at retail fuel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Complaint alleges the relevant geographic markets 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Acquisition are three local areas in Brewton, Monroeville, and Valley, Alabama. Each particular geographic market is unique, with factors such as commuting patterns, traffic flows, and outlet characteristics playing important roles in determining the scope of the geographic market. Retail fuel markets are highly localized and can range in size up to a few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proposed Complaint, the Acquisition would reduce the number of independent market participants in each market to three or fewer. The Acquisition would thereby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these local markets by increasing the likelihood that ACT will unilaterally exercise market power and by increasing the likelihood of successful coordination among the remaining firms. Absent relief, the Acquisition would likely result in higher prices in each of the three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Complaint alleges that entry into each relevant market would not be timely, likely, or sufficient to deter or counteract the anticompetitive effects arising from the Acquisition. Barriers to entry include the availability of attractive real estate, the time and cost associated with constructing a new retail fuel outlet, and the time associated with obtaining necessary permits and approvals.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The Consent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Agreement would remedy the Acquisition's likely anticompetitive effects by requiring ACT to divest certain Jet-Pep retail fuel outlets and related assets in three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Agreement requires that the divestiture occur no later than 120 days after ACT consummates the Acquisition. This Agreement protects the Commission's ability to obtain complete and effective relief in light of the non-reportable nature of the Acquisition and the small number of outlets to be divested. Further, based on Commission staff's investigation, the Commission believes that ACT can identify an acceptable buyer (or buyers) within 120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Consent Agreement further requires ACT to maintain the economic viability, marketability,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each divestiture asset until the Commission approves a buyer (or buyers) and the divestiture is complete. For up to twelve months following the divestiture, ACT must make available transitional services, as needed, to assist the buyer of each divestiture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requiring outlet divestitures, the proposed Consent Agreement also requires ACT to provide the Commission notice before acquiring designated outlets in the three local areas for ten years. The prior notice provision is necessary because acquisitions of the designated outlets likely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and may fall below the HSR Act premerger notification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Agreement contains additional provisions designed to ensure the effectiveness of the proposed relief. For example, Respondents have agreed to an Order to Maintain Assets that will issue at the time the proposed Consent Agreement is accepted for public comment. The Order to Maintain Assets requires Respondents to operate and maintain each divestiture outlet in the normal course of business, through the date the Respondents' complete divestiture of the outlet. During this period, and until such time as the buyer (or buyers) no longer requires transitional assistance, the Order to Maintain Assets authorizes the Commission to appoint an independent third party as a Monitor to oversee the Respondents' compliance with the requirements of the proposed Consent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is to facilitate public comment on the proposed Consent agreement, and the Commission does not intend this analysis to constitute an official interpretation of the proposed Consent Agreement or to modify its terms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Secretary.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2017-26012 Filed 12-1-17;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December 22,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"In the Matter of ACT/Jet Pep, Inc., File No. 171 0207" on your comment, and file your comment online at </w:t>
      </w:r>
      <w:hyperlink r:id="rId12" w:history="1">
        <w:r>
          <w:rPr>
            <w:rFonts w:ascii="arial" w:eastAsia="arial" w:hAnsi="arial" w:cs="arial"/>
            <w:b w:val="0"/>
            <w:i/>
            <w:strike w:val="0"/>
            <w:noProof w:val="0"/>
            <w:color w:val="0077CC"/>
            <w:position w:val="0"/>
            <w:sz w:val="20"/>
            <w:u w:val="single"/>
            <w:vertAlign w:val="baseline"/>
          </w:rPr>
          <w:t>https://ftcpublic.commentworks.com/ftc/actconsent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"In the Matter of ACT/Jet Pep, Inc., File No. 171 0207"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Kara Todd, (202-326-2015),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57265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tc.gov/news-events/commission-actions" TargetMode="External" /><Relationship Id="rId11" Type="http://schemas.openxmlformats.org/officeDocument/2006/relationships/hyperlink" Target="https://www.ftc.gov/policy/public-comments" TargetMode="External" /><Relationship Id="rId12" Type="http://schemas.openxmlformats.org/officeDocument/2006/relationships/hyperlink" Target="https://ftcpublic.commentworks.com/ftc/actconsent" TargetMode="External" /><Relationship Id="rId13" Type="http://schemas.openxmlformats.org/officeDocument/2006/relationships/hyperlink" Target="http://www.regulations.gov/#!home" TargetMode="External" /><Relationship Id="rId14" Type="http://schemas.openxmlformats.org/officeDocument/2006/relationships/hyperlink" Target="https://www.ftc.gov" TargetMode="External" /><Relationship Id="rId15" Type="http://schemas.openxmlformats.org/officeDocument/2006/relationships/hyperlink" Target="https://advance.lexis.com/api/document?collection=administrative-codes&amp;id=urn:contentItem:5MH6-6J50-008G-Y1DH-00000-00&amp;context=" TargetMode="External" /><Relationship Id="rId16" Type="http://schemas.openxmlformats.org/officeDocument/2006/relationships/hyperlink" Target="http://www.ftc.gov" TargetMode="External" /><Relationship Id="rId17" Type="http://schemas.openxmlformats.org/officeDocument/2006/relationships/hyperlink" Target="https://www.ftc.gov/site-information/privacy-policy" TargetMode="External" /><Relationship Id="rId18" Type="http://schemas.openxmlformats.org/officeDocument/2006/relationships/hyperlink" Target="https://advance.lexis.com/api/document?collection=statutes-legislation&amp;id=urn:contentItem:4YF7-GNJ1-NRF4-451X-00000-00&amp;context=" TargetMode="External" /><Relationship Id="rId19" Type="http://schemas.openxmlformats.org/officeDocument/2006/relationships/hyperlink" Target="https://advance.lexis.com/api/document?collection=statutes-legislation&amp;id=urn:contentItem:4YF7-GNT1-NRF4-426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01-NRF4-43MY-00000-00&amp;context=" TargetMode="External" /><Relationship Id="rId21" Type="http://schemas.openxmlformats.org/officeDocument/2006/relationships/hyperlink" Target="https://advance.lexis.com/api/document?collection=statutes-legislation&amp;id=urn:contentItem:4YF7-GSM1-NRF4-44DS-00000-00&amp;context=" TargetMode="Externa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3M-0WN0-006W-833N-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57265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71557162</vt:lpwstr>
  </property>
  <property fmtid="{D5CDD505-2E9C-101B-9397-08002B2CF9AE}" pid="3" name="LADocCount">
    <vt:lpwstr>1</vt:lpwstr>
  </property>
  <property fmtid="{D5CDD505-2E9C-101B-9397-08002B2CF9AE}" pid="4" name="UserPermID">
    <vt:lpwstr>urn:user:PA185916758</vt:lpwstr>
  </property>
</Properties>
</file>