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57627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233, Wednesday, December 6,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57627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6,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To Amend the Fees for NYSE BBO and NYSE Trades To Lower the Enterprise Fee, and for NYSE BQT To Lower the Access Fee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34-82182; File No. SR-NYSE-2017-60]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30,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Section 19(b)(1) of the Securities Exchange Act of 1934 (the </w:t>
      </w:r>
      <w:r>
        <w:rPr>
          <w:rFonts w:ascii="arial" w:eastAsia="arial" w:hAnsi="arial" w:cs="arial"/>
          <w:b/>
          <w:i w:val="0"/>
          <w:strike w:val="0"/>
          <w:noProof w:val="0"/>
          <w:color w:val="000000"/>
          <w:position w:val="0"/>
          <w:sz w:val="20"/>
          <w:u w:val="none"/>
          <w:vertAlign w:val="baseline"/>
        </w:rPr>
        <w:t> [*57628] </w:t>
      </w:r>
      <w:r>
        <w:rPr>
          <w:rFonts w:ascii="arial" w:eastAsia="arial" w:hAnsi="arial" w:cs="arial"/>
          <w:b w:val="0"/>
          <w:i w:val="0"/>
          <w:strike w:val="0"/>
          <w:noProof w:val="0"/>
          <w:color w:val="000000"/>
          <w:position w:val="0"/>
          <w:sz w:val="20"/>
          <w:u w:val="none"/>
          <w:vertAlign w:val="baseline"/>
        </w:rPr>
        <w:t xml:space="preserve">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notice is hereby given that on November 15, 2017,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BBO and NYSE Trades to lower the Enterprise Fee, and for NYSE BQT to lower the Access Fee. The Exchange proposes to make the fee changes effective November 15, 2017. n3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Exchange originally filed to amend the Fee Schedule on November 3, 2017 (SR-NYSE-2017-59) and withdrew such filing on November 15,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BBO and NYSE Trades market data products, n4 and for NYSE BQT market data product, n5 as set forth on the NYSE Proprietary Market Data Fee Schedule ("Fee Schedule"). Specifically, the Exchange proposes to lower the Enterprise Fee for NYSE BBO and NYSE Trades, and lower the Access Fee for NYSE BQT.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61914 (Apr. 14, 2010), </w:t>
      </w:r>
      <w:hyperlink r:id="rId11" w:history="1">
        <w:r>
          <w:rPr>
            <w:rFonts w:ascii="arial" w:eastAsia="arial" w:hAnsi="arial" w:cs="arial"/>
            <w:b w:val="0"/>
            <w:i/>
            <w:strike w:val="0"/>
            <w:noProof w:val="0"/>
            <w:color w:val="0077CC"/>
            <w:position w:val="0"/>
            <w:sz w:val="20"/>
            <w:u w:val="single"/>
            <w:vertAlign w:val="baseline"/>
          </w:rPr>
          <w:t>74 FR 21077</w:t>
        </w:r>
      </w:hyperlink>
      <w:r>
        <w:rPr>
          <w:rFonts w:ascii="arial" w:eastAsia="arial" w:hAnsi="arial" w:cs="arial"/>
          <w:b w:val="0"/>
          <w:i w:val="0"/>
          <w:strike w:val="0"/>
          <w:noProof w:val="0"/>
          <w:color w:val="000000"/>
          <w:position w:val="0"/>
          <w:sz w:val="20"/>
          <w:u w:val="none"/>
          <w:vertAlign w:val="baseline"/>
        </w:rPr>
        <w:t xml:space="preserve"> (Apr. 22, 2010) (SR-NYSE-2010-30) (notice--NYSE BBO); 62181 (May 26, 2010), </w:t>
      </w:r>
      <w:hyperlink r:id="rId12" w:history="1">
        <w:r>
          <w:rPr>
            <w:rFonts w:ascii="arial" w:eastAsia="arial" w:hAnsi="arial" w:cs="arial"/>
            <w:b w:val="0"/>
            <w:i/>
            <w:strike w:val="0"/>
            <w:noProof w:val="0"/>
            <w:color w:val="0077CC"/>
            <w:position w:val="0"/>
            <w:sz w:val="20"/>
            <w:u w:val="single"/>
            <w:vertAlign w:val="baseline"/>
          </w:rPr>
          <w:t>75 FR 31488</w:t>
        </w:r>
      </w:hyperlink>
      <w:r>
        <w:rPr>
          <w:rFonts w:ascii="arial" w:eastAsia="arial" w:hAnsi="arial" w:cs="arial"/>
          <w:b w:val="0"/>
          <w:i w:val="0"/>
          <w:strike w:val="0"/>
          <w:noProof w:val="0"/>
          <w:color w:val="000000"/>
          <w:position w:val="0"/>
          <w:sz w:val="20"/>
          <w:u w:val="none"/>
          <w:vertAlign w:val="baseline"/>
        </w:rPr>
        <w:t xml:space="preserve"> (June 3, 2010) (SR-NYSE-2010-30) (approval order--NYSE BBO); 59309 (Jan. 28, 2009), </w:t>
      </w:r>
      <w:hyperlink r:id="rId13" w:history="1">
        <w:r>
          <w:rPr>
            <w:rFonts w:ascii="arial" w:eastAsia="arial" w:hAnsi="arial" w:cs="arial"/>
            <w:b w:val="0"/>
            <w:i/>
            <w:strike w:val="0"/>
            <w:noProof w:val="0"/>
            <w:color w:val="0077CC"/>
            <w:position w:val="0"/>
            <w:sz w:val="20"/>
            <w:u w:val="single"/>
            <w:vertAlign w:val="baseline"/>
          </w:rPr>
          <w:t>74 FR 6073</w:t>
        </w:r>
      </w:hyperlink>
      <w:r>
        <w:rPr>
          <w:rFonts w:ascii="arial" w:eastAsia="arial" w:hAnsi="arial" w:cs="arial"/>
          <w:b w:val="0"/>
          <w:i w:val="0"/>
          <w:strike w:val="0"/>
          <w:noProof w:val="0"/>
          <w:color w:val="000000"/>
          <w:position w:val="0"/>
          <w:sz w:val="20"/>
          <w:u w:val="none"/>
          <w:vertAlign w:val="baseline"/>
        </w:rPr>
        <w:t xml:space="preserve"> (Feb. 4, 2009) (SR-NYSE-2009-04) (notice--NYSE Trades); and 59309 (Mar. 19, 2009), </w:t>
      </w:r>
      <w:hyperlink r:id="rId14" w:history="1">
        <w:r>
          <w:rPr>
            <w:rFonts w:ascii="arial" w:eastAsia="arial" w:hAnsi="arial" w:cs="arial"/>
            <w:b w:val="0"/>
            <w:i/>
            <w:strike w:val="0"/>
            <w:noProof w:val="0"/>
            <w:color w:val="0077CC"/>
            <w:position w:val="0"/>
            <w:sz w:val="20"/>
            <w:u w:val="single"/>
            <w:vertAlign w:val="baseline"/>
          </w:rPr>
          <w:t>74 FR 13293</w:t>
        </w:r>
      </w:hyperlink>
      <w:r>
        <w:rPr>
          <w:rFonts w:ascii="arial" w:eastAsia="arial" w:hAnsi="arial" w:cs="arial"/>
          <w:b w:val="0"/>
          <w:i w:val="0"/>
          <w:strike w:val="0"/>
          <w:noProof w:val="0"/>
          <w:color w:val="000000"/>
          <w:position w:val="0"/>
          <w:sz w:val="20"/>
          <w:u w:val="none"/>
          <w:vertAlign w:val="baseline"/>
        </w:rPr>
        <w:t xml:space="preserve"> (Mar. 26, 2009) (approval order--NYSE Trades) (SR-NYSE-2009-04) and 62038 (May 5, 2010), </w:t>
      </w:r>
      <w:hyperlink r:id="rId15"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73553 (November 6, 2014), </w:t>
      </w:r>
      <w:hyperlink r:id="rId16" w:history="1">
        <w:r>
          <w:rPr>
            <w:rFonts w:ascii="arial" w:eastAsia="arial" w:hAnsi="arial" w:cs="arial"/>
            <w:b w:val="0"/>
            <w:i/>
            <w:strike w:val="0"/>
            <w:noProof w:val="0"/>
            <w:color w:val="0077CC"/>
            <w:position w:val="0"/>
            <w:sz w:val="20"/>
            <w:u w:val="single"/>
            <w:vertAlign w:val="baseline"/>
          </w:rPr>
          <w:t>79 FR 67491</w:t>
        </w:r>
      </w:hyperlink>
      <w:r>
        <w:rPr>
          <w:rFonts w:ascii="arial" w:eastAsia="arial" w:hAnsi="arial" w:cs="arial"/>
          <w:b w:val="0"/>
          <w:i w:val="0"/>
          <w:strike w:val="0"/>
          <w:noProof w:val="0"/>
          <w:color w:val="000000"/>
          <w:position w:val="0"/>
          <w:sz w:val="20"/>
          <w:u w:val="none"/>
          <w:vertAlign w:val="baseline"/>
        </w:rPr>
        <w:t xml:space="preserve"> (November 13, 2014) (SR-NYSE-2014-40) (approval order--NYSE BQT). The NYSE BQT data feed consists of certain data elements from six market data feeds--NYSE Trades, NYSE BBO, NYSE Arca Trades, NYSE Arca BBO, NYSE American Trades, and NYSE American BBO.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$ 37,500 per month for an unlimited number of professional and non-professional users for each of NYSE BBO and NYSE Trades. n6 A single Enterprise Fee applies for clients receiving both NYSE BBO and NYSE Trades. n7 The Exchange proposes to lower the enterprise fee to $ 25,000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79313 (November 15, 2016), </w:t>
      </w:r>
      <w:r>
        <w:rPr>
          <w:rFonts w:ascii="arial" w:eastAsia="arial" w:hAnsi="arial" w:cs="arial"/>
          <w:b w:val="0"/>
          <w:i/>
          <w:strike w:val="0"/>
          <w:noProof w:val="0"/>
          <w:color w:val="000000"/>
          <w:position w:val="0"/>
          <w:sz w:val="20"/>
          <w:u w:val="none"/>
          <w:vertAlign w:val="baseline"/>
        </w:rPr>
        <w:t>81 FR 83297</w:t>
      </w:r>
      <w:r>
        <w:rPr>
          <w:rFonts w:ascii="arial" w:eastAsia="arial" w:hAnsi="arial" w:cs="arial"/>
          <w:b w:val="0"/>
          <w:i w:val="0"/>
          <w:strike w:val="0"/>
          <w:noProof w:val="0"/>
          <w:color w:val="000000"/>
          <w:position w:val="0"/>
          <w:sz w:val="20"/>
          <w:u w:val="none"/>
          <w:vertAlign w:val="baseline"/>
        </w:rPr>
        <w:t xml:space="preserve"> (November 21, 2016) (SR-NYSE-2016-74).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70211 (August 15, 2013), </w:t>
      </w:r>
      <w:hyperlink r:id="rId17"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(August 21, 2013) (SR-NYSE-2013-58).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10,000 professional users who each received NYSE Trades at $ 4 per month and NYSE BBO at $ 4 per month, without the Enterprise Fee, the firm would pay $ 80,000 per month in professional user fees. Under the current pricing structure, this firm would pay a capped fee of $ 37,500 and effective November 3, [sic] 2017 it would pay a capped fee of $ 25,000.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reduced enterprise fee, the firm would pay a flat fee of $ 25,000 for an unlimited number of professional and non-professional users for both products. As is the case currently, a data recipient that pays the enterprise fee would not have to report the number of such users on a monthly basis. n8 However, upon request,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73985 (January 5, 2015), </w:t>
      </w:r>
      <w:hyperlink r:id="rId18" w:history="1">
        <w:r>
          <w:rPr>
            <w:rFonts w:ascii="arial" w:eastAsia="arial" w:hAnsi="arial" w:cs="arial"/>
            <w:b w:val="0"/>
            <w:i/>
            <w:strike w:val="0"/>
            <w:noProof w:val="0"/>
            <w:color w:val="0077CC"/>
            <w:position w:val="0"/>
            <w:sz w:val="20"/>
            <w:u w:val="single"/>
            <w:vertAlign w:val="baseline"/>
          </w:rPr>
          <w:t>80 FR 1456</w:t>
        </w:r>
      </w:hyperlink>
      <w:r>
        <w:rPr>
          <w:rFonts w:ascii="arial" w:eastAsia="arial" w:hAnsi="arial" w:cs="arial"/>
          <w:b w:val="0"/>
          <w:i w:val="0"/>
          <w:strike w:val="0"/>
          <w:noProof w:val="0"/>
          <w:color w:val="000000"/>
          <w:position w:val="0"/>
          <w:sz w:val="20"/>
          <w:u w:val="none"/>
          <w:vertAlign w:val="baseline"/>
        </w:rPr>
        <w:t xml:space="preserve"> (January 9, 2015) (SR-NYSE-2014-75).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NYSE BQT data feed provides best bid and offer and last sale information for the Exchange and its affiliates, NYSE Arca, Inc. ("NYSE Arca") and NYSE American LLC ("NYSE American"). n9 The Exchange currently charges an access fee of $ 1,000 per month, provided that the market data recipient separately subscribes to and pays for the six existing market data products underlying the NYSE BQT data feed, consistent with the existing fee structures for those market data products. The Exchange proposes to lower the access fee to $ 250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n10 in general, and Sections 6(b)(4) and 6(b)(5) of the Act, n11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9"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9"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fee change to lower the Enterprise Fee is equitable and not unfairly discriminatory because it would apply to all data recipients that choose to subscribe to NYSE BBO and NYSE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reduced enterprise fees for NYSE BBO and NYSE Trades are reasonable because they will result in a fee reduction for data recipients with a sufficiently large number of professional and nonprofessional users, as described in the example above. If a data recipient has a smaller number of professional users of NYSE BBO and/or NYSE Trades, then it may continue to use the per user fee structure and the fees it pays will not change. By reducing prices for data recipient with a large number of professional and non-professional users, the Exchange believes that more data recipients may choose to offer NYSE BBO and NYSE Trades, thereby expanding the distribution of this market data for the benefit of investors. The Exchange also believes that offering a reduced enterprise fee expands the range of options for offering NYSE BBO and NYSE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the proposed fee change to lower the Access Fee is equitable and not unfairly discriminatory because all market data recipients that would subscribe to NYSE BQT would be charged the same access fee. The Exchange believes that the proposed access fee for NYSE BQT is reasonable because, while the proposed fee is lower than the current fee, it continues to represent the value for the data aggregation and consolidation function that the Exchange performs. The Exchange further believes that the </w:t>
      </w:r>
      <w:r>
        <w:rPr>
          <w:rFonts w:ascii="arial" w:eastAsia="arial" w:hAnsi="arial" w:cs="arial"/>
          <w:b/>
          <w:i w:val="0"/>
          <w:strike w:val="0"/>
          <w:noProof w:val="0"/>
          <w:color w:val="000000"/>
          <w:position w:val="0"/>
          <w:sz w:val="20"/>
          <w:u w:val="none"/>
          <w:vertAlign w:val="baseline"/>
        </w:rPr>
        <w:t> [*57629] </w:t>
      </w:r>
      <w:r>
        <w:rPr>
          <w:rFonts w:ascii="arial" w:eastAsia="arial" w:hAnsi="arial" w:cs="arial"/>
          <w:b w:val="0"/>
          <w:i w:val="0"/>
          <w:strike w:val="0"/>
          <w:noProof w:val="0"/>
          <w:color w:val="000000"/>
          <w:position w:val="0"/>
          <w:sz w:val="20"/>
          <w:u w:val="none"/>
          <w:vertAlign w:val="baseline"/>
        </w:rPr>
        <w:t xml:space="preserve"> proposed monthly access fee for NYSE BQT would be pro-</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because another market data recipient could perform a similar aggregating and consolidating function and similarly charge for such service. The Exchange notes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seeking to distribute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might engage in a different analysis of assessing the cost of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which may incorporate passing through the fees associated with co-location at the Mahwah, New Jersey data center. However, the incremental co-location costs to a particular vendor may be inconsequential if such vendor is already co-located and is able to allocate its co-location costs over numerous product and customer relationships. The Exchange therefore believes that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could create and offer a product similar to NYSE BQT on a cost-</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BBO, NYSE Trades and NYSE BQT are entirely optional. The Exchange is not required to make NYSE BBO, NYSE Trades and NYSE BQT available or to offer any specific pricing alternatives to any customers, nor is any firm required to purchase NYSE BBO, NYSE Trades and NYSE BQT. Firms that do purchase NYSE BBO, NYSE Trades and NYSE BQT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BBO, NYSE Trades and NYSE BQT or any other similar products are attractively priced or not.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BBO, NYSE Trades and NYSE BQT have a variety of alternative market data products from which to choose, n13 or if NYSE BBO, NYSE Trades and NYSE BQT do not provide sufficient value to firms as offered based on the uses those firms have or planned to make of it, such firms may simply choose to conduct their business operations in ways that do not use NYSE BBO, NYSE Trades and NYSE BQT or use them at different levels or in different configurations. The Exchange notes that broker-dealers are not required to purchase proprietary market data to comply with their best execution obligations.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Rule 7039 (Nasdaq Last Sale).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BZX Equities Rule 11.22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0"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reduced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1"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fees are reasonable when compared to fees for comparable products offered by at least one other exchange. For example, Cboe BZX Exchange ("BZX") charges an enterprise fee of $ 15,000 per month for each of BZX Top and BZX Last Sale, which includes best bid and offer and last sale data, respectively. n17 While the Exchange is proposing reduced enterprise fees that would still be higher than the fees currently charged by BZX, the Exchange believes the proposed fees, which would be lower than current fees but closer to those charged by BZX, are appropriate and would be beneficial to firms with a large number of users. Further, BZX charges a data consolidation fee of $ 1,000 per month for the Cboe Equities One market data feed, which provides aggregated quote and trade updates for all four Bats equity exchanges.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Market Data Fees at </w:t>
      </w:r>
      <w:hyperlink r:id="rId22" w:history="1">
        <w:r>
          <w:rPr>
            <w:rFonts w:ascii="arial" w:eastAsia="arial" w:hAnsi="arial" w:cs="arial"/>
            <w:b w:val="0"/>
            <w:i/>
            <w:strike w:val="0"/>
            <w:noProof w:val="0"/>
            <w:color w:val="0077CC"/>
            <w:position w:val="0"/>
            <w:sz w:val="20"/>
            <w:u w:val="single"/>
            <w:vertAlign w:val="baseline"/>
          </w:rPr>
          <w:t>https://markets.cboe.com/us/equities/membership/fee_schedule/bzx/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Cboe Equities One Feed at </w:t>
      </w:r>
      <w:hyperlink r:id="rId23" w:history="1">
        <w:r>
          <w:rPr>
            <w:rFonts w:ascii="arial" w:eastAsia="arial" w:hAnsi="arial" w:cs="arial"/>
            <w:b w:val="0"/>
            <w:i/>
            <w:strike w:val="0"/>
            <w:noProof w:val="0"/>
            <w:color w:val="0077CC"/>
            <w:position w:val="0"/>
            <w:sz w:val="20"/>
            <w:u w:val="single"/>
            <w:vertAlign w:val="baseline"/>
          </w:rPr>
          <w:t>https://markets.cboe.com/us/equities/market_data_products/bats_one/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w:t>
      </w:r>
      <w:r>
        <w:rPr>
          <w:rFonts w:ascii="arial" w:eastAsia="arial" w:hAnsi="arial" w:cs="arial"/>
          <w:b/>
          <w:i w:val="0"/>
          <w:strike w:val="0"/>
          <w:noProof w:val="0"/>
          <w:color w:val="000000"/>
          <w:position w:val="0"/>
          <w:sz w:val="20"/>
          <w:u w:val="none"/>
          <w:vertAlign w:val="baseline"/>
        </w:rPr>
        <w:t> [*57630] </w:t>
      </w:r>
      <w:r>
        <w:rPr>
          <w:rFonts w:ascii="arial" w:eastAsia="arial" w:hAnsi="arial" w:cs="arial"/>
          <w:b w:val="0"/>
          <w:i w:val="0"/>
          <w:strike w:val="0"/>
          <w:noProof w:val="0"/>
          <w:color w:val="000000"/>
          <w:position w:val="0"/>
          <w:sz w:val="20"/>
          <w:u w:val="none"/>
          <w:vertAlign w:val="baseline"/>
        </w:rPr>
        <w:t xml:space="preserve">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n20 More recently, former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Concept Release on Equity Market Structure, Securities Exchange Act Release No. 61358 (Jan. 14, 2010), </w:t>
      </w:r>
      <w:hyperlink r:id="rId25"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5"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BBO, NYSE Trades or NYSE BQT unless their customers request it, and customers will not elect to pay the proposed fees unless NYSE BBO, NYSE Trades and NYSE BQT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n22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generally Pricing of Market Data Services, An Economic Analysis</w:t>
      </w:r>
      <w:r>
        <w:rPr>
          <w:rFonts w:ascii="arial" w:eastAsia="arial" w:hAnsi="arial" w:cs="arial"/>
          <w:b w:val="0"/>
          <w:i w:val="0"/>
          <w:strike w:val="0"/>
          <w:noProof w:val="0"/>
          <w:color w:val="000000"/>
          <w:position w:val="0"/>
          <w:sz w:val="20"/>
          <w:u w:val="none"/>
          <w:vertAlign w:val="baseline"/>
        </w:rPr>
        <w:t xml:space="preserve"> at vi ("Given the general structure of electronic order books and electronic order matching, it is not possible to provide transaction services without generating market data, and it is not possible to generate trade transaction--or market depth--data without also supplying a trade execution service. In economic terms, trade execution and market data are joint products.") (Oxera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n23 The </w:t>
      </w:r>
      <w:r>
        <w:rPr>
          <w:rFonts w:ascii="arial" w:eastAsia="arial" w:hAnsi="arial" w:cs="arial"/>
          <w:b/>
          <w:i w:val="0"/>
          <w:strike w:val="0"/>
          <w:noProof w:val="0"/>
          <w:color w:val="000000"/>
          <w:position w:val="0"/>
          <w:sz w:val="20"/>
          <w:u w:val="none"/>
          <w:vertAlign w:val="baseline"/>
        </w:rPr>
        <w:t> [*57631] </w:t>
      </w:r>
      <w:r>
        <w:rPr>
          <w:rFonts w:ascii="arial" w:eastAsia="arial" w:hAnsi="arial" w:cs="arial"/>
          <w:b w:val="0"/>
          <w:i w:val="0"/>
          <w:strike w:val="0"/>
          <w:noProof w:val="0"/>
          <w:color w:val="000000"/>
          <w:position w:val="0"/>
          <w:sz w:val="20"/>
          <w:u w:val="none"/>
          <w:vertAlign w:val="baseline"/>
        </w:rPr>
        <w:t xml:space="preserv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7"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8"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9"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BZX, Cboe BYX Exchange, Inc., ("BYX") Cboe EDGA Exchange, Inc. ("EDGA") and Cboe EDGX Exchange, Inc. ("EDGX"),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n25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Arca, NYSE American, NASDAQ, BZX, BYX, EDGA, and EDGX.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BZX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Indeed, in the case of NYSE BBO, NYSE Trades and NYSE BQT, the data provided through these products appears both in (i) real-time core data products offered by the Securities Information Processors (SIPs) for a fee, and (ii) free SIP data products with a 15-minute time delay, and finds a close substitute in similar products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n26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BZX, BYX, EDGA, and EDGX. A proliferation of dark pools and other ATSs operate profitably with fragmentary share of consolidated market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BBO, NYSE Trades and NYSE BQT,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it has considered all relevant factors and has not considered irrelevant factors in order to establish fair, reasonable, and not unreasonably discriminatory fees and an equitable allocation of fees among all users. The existence of </w:t>
      </w:r>
      <w:r>
        <w:rPr>
          <w:rFonts w:ascii="arial" w:eastAsia="arial" w:hAnsi="arial" w:cs="arial"/>
          <w:b/>
          <w:i w:val="0"/>
          <w:strike w:val="0"/>
          <w:noProof w:val="0"/>
          <w:color w:val="000000"/>
          <w:position w:val="0"/>
          <w:sz w:val="20"/>
          <w:u w:val="none"/>
          <w:vertAlign w:val="baseline"/>
        </w:rPr>
        <w:t> [*57632] </w:t>
      </w:r>
      <w:r>
        <w:rPr>
          <w:rFonts w:ascii="arial" w:eastAsia="arial" w:hAnsi="arial" w:cs="arial"/>
          <w:b w:val="0"/>
          <w:i w:val="0"/>
          <w:strike w:val="0"/>
          <w:noProof w:val="0"/>
          <w:color w:val="000000"/>
          <w:position w:val="0"/>
          <w:sz w:val="20"/>
          <w:u w:val="none"/>
          <w:vertAlign w:val="baseline"/>
        </w:rPr>
        <w:t xml:space="preserve">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foregoing rule change is effective upon filing pursuant to Section 19(b)(3)(A) n27 of the Act and subparagraph (f)(2) of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n28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9"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8"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n29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9"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1"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SR-NYSE-2017-60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SR-NYSE-2017-60. This file number should be included on the subject line if email is used. To help the Commission process and review your comments more efficiently, please use only one method. The Commission will post all comments on the Commission's Internet Web site (</w:t>
      </w:r>
      <w:hyperlink r:id="rId30"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SR-NYSE-2017-60 and should be submitted on or before December 27,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32"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2017-26221 Filed 12-5-17;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57627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nyse.com" TargetMode="External" /><Relationship Id="rId11" Type="http://schemas.openxmlformats.org/officeDocument/2006/relationships/hyperlink" Target="https://advance.lexis.com/api/document?collection=administrative-codes&amp;id=urn:contentItem:4W7B-GGX0-006W-83N6-00000-00&amp;context=" TargetMode="External" /><Relationship Id="rId12" Type="http://schemas.openxmlformats.org/officeDocument/2006/relationships/hyperlink" Target="https://advance.lexis.com/api/document?collection=administrative-codes&amp;id=urn:contentItem:5074-YWG0-006W-80R7-00000-00&amp;context=" TargetMode="External" /><Relationship Id="rId13" Type="http://schemas.openxmlformats.org/officeDocument/2006/relationships/hyperlink" Target="https://advance.lexis.com/api/document?collection=administrative-codes&amp;id=urn:contentItem:4VHY-JW10-006W-83P9-00000-00&amp;context=" TargetMode="External" /><Relationship Id="rId14" Type="http://schemas.openxmlformats.org/officeDocument/2006/relationships/hyperlink" Target="https://advance.lexis.com/api/document?collection=administrative-codes&amp;id=urn:contentItem:4VXK-W250-006W-8443-00000-00&amp;context=" TargetMode="External" /><Relationship Id="rId15" Type="http://schemas.openxmlformats.org/officeDocument/2006/relationships/hyperlink" Target="https://advance.lexis.com/api/document?collection=administrative-codes&amp;id=urn:contentItem:502G-30S0-006W-83D6-00000-00&amp;context=" TargetMode="External" /><Relationship Id="rId16" Type="http://schemas.openxmlformats.org/officeDocument/2006/relationships/hyperlink" Target="https://advance.lexis.com/api/document?collection=administrative-codes&amp;id=urn:contentItem:5DKG-59X0-006W-84JS-00000-00&amp;context=" TargetMode="External" /><Relationship Id="rId17" Type="http://schemas.openxmlformats.org/officeDocument/2006/relationships/hyperlink" Target="https://advance.lexis.com/api/document?collection=administrative-codes&amp;id=urn:contentItem:595R-50V0-006W-83S3-00000-00&amp;context=" TargetMode="External" /><Relationship Id="rId18" Type="http://schemas.openxmlformats.org/officeDocument/2006/relationships/hyperlink" Target="https://advance.lexis.com/api/document?collection=administrative-codes&amp;id=urn:contentItem:5F1M-0BM0-006W-84PF-00000-00&amp;context=" TargetMode="External" /><Relationship Id="rId19" Type="http://schemas.openxmlformats.org/officeDocument/2006/relationships/hyperlink" Target="https://advance.lexis.com/api/document?collection=statutes-legislation&amp;id=urn:contentItem:4YF7-GPC1-NRF4-430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03V-DT30-YB0V-T01B-00000-00&amp;context=" TargetMode="External" /><Relationship Id="rId21" Type="http://schemas.openxmlformats.org/officeDocument/2006/relationships/hyperlink" Target="http://www.sec.gov/rules/concept/s72899/buck1.htm" TargetMode="External" /><Relationship Id="rId22" Type="http://schemas.openxmlformats.org/officeDocument/2006/relationships/hyperlink" Target="https://markets.cboe.com/us/equities/membership/fee_schedule/bzx/" TargetMode="External" /><Relationship Id="rId23" Type="http://schemas.openxmlformats.org/officeDocument/2006/relationships/hyperlink" Target="https://markets.cboe.com/us/equities/market_data_products/bats_one/" TargetMode="External" /><Relationship Id="rId24" Type="http://schemas.openxmlformats.org/officeDocument/2006/relationships/hyperlink" Target="http://www.justice.gov/iso/opa/atr/speeches/2011/at-speech-110516.html" TargetMode="External" /><Relationship Id="rId25" Type="http://schemas.openxmlformats.org/officeDocument/2006/relationships/hyperlink" Target="https://advance.lexis.com/api/document?collection=administrative-codes&amp;id=urn:contentItem:4Y6T-4FW0-006W-80SB-00000-00&amp;context=" TargetMode="External" /><Relationship Id="rId26" Type="http://schemas.openxmlformats.org/officeDocument/2006/relationships/hyperlink" Target="https://www.arcavision.com/Arcavision/arcalogin.jsp" TargetMode="External" /><Relationship Id="rId27" Type="http://schemas.openxmlformats.org/officeDocument/2006/relationships/hyperlink" Target="https://advance.lexis.com/api/document?collection=administrative-codes&amp;id=urn:contentItem:5C6V-V6N0-006W-80W6-00000-00&amp;context=" TargetMode="External" /><Relationship Id="rId28" Type="http://schemas.openxmlformats.org/officeDocument/2006/relationships/hyperlink" Target="https://advance.lexis.com/api/document?collection=administrative-codes&amp;id=urn:contentItem:512C-NGP0-006W-82VF-00000-00&amp;context=" TargetMode="External" /><Relationship Id="rId29" Type="http://schemas.openxmlformats.org/officeDocument/2006/relationships/hyperlink" Target="https://advance.lexis.com/api/document?collection=administrative-codes&amp;id=urn:contentItem:512C-NGP0-006W-82VH-00000-00&amp;context=" TargetMode="External" /><Relationship Id="rId3" Type="http://schemas.openxmlformats.org/officeDocument/2006/relationships/fontTable" Target="fontTable.xml" /><Relationship Id="rId30" Type="http://schemas.openxmlformats.org/officeDocument/2006/relationships/hyperlink" Target="http://www.sec.gov/rules/sro.shtml" TargetMode="External" /><Relationship Id="rId31" Type="http://schemas.openxmlformats.org/officeDocument/2006/relationships/hyperlink" Target="mailto:rule-comments@sec.gov" TargetMode="External" /><Relationship Id="rId32" Type="http://schemas.openxmlformats.org/officeDocument/2006/relationships/hyperlink" Target="https://advance.lexis.com/api/document?collection=administrative-codes&amp;id=urn:contentItem:5SPP-2120-008G-Y2ND-00000-00&amp;context=" TargetMode="External" /><Relationship Id="rId33" Type="http://schemas.openxmlformats.org/officeDocument/2006/relationships/numbering" Target="numbering.xm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43-32B0-006W-83D9-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57627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