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58827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58827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Financial Industry Regulatory Authority, Inc.; Notice of Filing of Amendment No. 1 to a Proposed Rule Change to Adopt a Fee Schedule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34-82253; File No. SR-FINRA-2017-011]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8, 2017, Financial Industry Regulatory Authority, Inc. ("FINRA")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9, 2017, the Commission extended the time period within which to approve the proposed rule change or disapprove the proposed rule change to January 14, 2018. n9 On December 1, 2017, FINRA filed Amendment No. 1 to the proposed rule change, as described in Items I and II below, which Items have been </w:t>
      </w:r>
      <w:r>
        <w:rPr>
          <w:rFonts w:ascii="arial" w:eastAsia="arial" w:hAnsi="arial" w:cs="arial"/>
          <w:b/>
          <w:i w:val="0"/>
          <w:strike w:val="0"/>
          <w:noProof w:val="0"/>
          <w:color w:val="000000"/>
          <w:position w:val="0"/>
          <w:sz w:val="20"/>
          <w:u w:val="none"/>
          <w:vertAlign w:val="baseline"/>
        </w:rPr>
        <w:t> [*58828] </w:t>
      </w:r>
      <w:r>
        <w:rPr>
          <w:rFonts w:ascii="arial" w:eastAsia="arial" w:hAnsi="arial" w:cs="arial"/>
          <w:b w:val="0"/>
          <w:i w:val="0"/>
          <w:strike w:val="0"/>
          <w:noProof w:val="0"/>
          <w:color w:val="000000"/>
          <w:position w:val="0"/>
          <w:sz w:val="20"/>
          <w:u w:val="none"/>
          <w:vertAlign w:val="baseline"/>
        </w:rPr>
        <w:t xml:space="preserve"> prepared by FINRA. n10 The Commission is publishing this notice to solicit comments from interested persons on Amendment No.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80710 (May 17, 2017), </w:t>
      </w:r>
      <w:hyperlink r:id="rId10" w:history="1">
        <w:r>
          <w:rPr>
            <w:rFonts w:ascii="arial" w:eastAsia="arial" w:hAnsi="arial" w:cs="arial"/>
            <w:b w:val="0"/>
            <w:i/>
            <w:strike w:val="0"/>
            <w:noProof w:val="0"/>
            <w:color w:val="0077CC"/>
            <w:position w:val="0"/>
            <w:sz w:val="20"/>
            <w:u w:val="single"/>
            <w:vertAlign w:val="baseline"/>
          </w:rPr>
          <w:t>82 FR 23639</w:t>
        </w:r>
      </w:hyperlink>
      <w:r>
        <w:rPr>
          <w:rFonts w:ascii="arial" w:eastAsia="arial" w:hAnsi="arial" w:cs="arial"/>
          <w:b w:val="0"/>
          <w:i w:val="0"/>
          <w:strike w:val="0"/>
          <w:noProof w:val="0"/>
          <w:color w:val="000000"/>
          <w:position w:val="0"/>
          <w:sz w:val="20"/>
          <w:u w:val="none"/>
          <w:vertAlign w:val="baseline"/>
        </w:rPr>
        <w:t xml:space="preserve"> (May 23,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12-15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Amendment No. 1 replaces and supersedes the Original Proposal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is proposing to file Amendment No. 1 to SR-FINRA-2017-011 (the "Original Proposal"), pursuant to which FINRA proposed to adopt a fee schedule to establish the fees for Industry Members related to the National Market System Plan Governing the Consolidated Audit Trail (the "CAT NMS Plan" or "Plan"). n11 FINRA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FINRA's website at </w:t>
      </w:r>
      <w:hyperlink r:id="rId29" w:history="1">
        <w:r>
          <w:rPr>
            <w:rFonts w:ascii="arial" w:eastAsia="arial" w:hAnsi="arial" w:cs="arial"/>
            <w:b w:val="0"/>
            <w:i/>
            <w:strike w:val="0"/>
            <w:noProof w:val="0"/>
            <w:color w:val="0077CC"/>
            <w:position w:val="0"/>
            <w:sz w:val="20"/>
            <w:u w:val="single"/>
            <w:vertAlign w:val="baseline"/>
          </w:rPr>
          <w:t>http://www.finra.org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FINRA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FINRA included statements concerning the purpose of and basis for the proposed rule change and discussed any comments it received on the proposed rule change. The text of these statements may be examined at the places specified in Item IV below. FINRA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n12 Chicago Stock Exchange, Inc., Financial Industry Regulatory Authority, Inc. ("FINRA"), Investors' Exchange LLC, Miami International Securities Exchange, LLC, MIAX PEARL, LLC, NASDAQ BX, Inc., Nasdaq GEMX, LLC, Nasdaq ISE, LLC, Nasdaq MRX, LLC, n13 NASDAQ PHLX LLC, The NASDAQ Stock Market LLC, New York Stock Exchange LLC, NYSE American LLC, n14 NYSE Arca, Inc. and NYSE National, Inc. n15 (collectively, the "Participants") filed with the Commission, pursuant to Section 11A of the Exchange Act n16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n17 the CAT NMS Plan. n18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n19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(March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 No. 80326 (March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(January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5" w:history="1">
        <w:r>
          <w:rPr>
            <w:rFonts w:ascii="arial" w:eastAsia="arial" w:hAnsi="arial" w:cs="arial"/>
            <w:b w:val="0"/>
            <w:i/>
            <w:strike w:val="0"/>
            <w:noProof w:val="0"/>
            <w:color w:val="0077CC"/>
            <w:position w:val="0"/>
            <w:sz w:val="20"/>
            <w:u w:val="single"/>
            <w:vertAlign w:val="baseline"/>
          </w:rPr>
          <w:t>17 CFR 242.613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6"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7"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on May 8, 2017, FINRA submitted the Original Proposal to propose the Consolidated Audit Trail Funding Fees, which would require Industry Members that are FINRA members to pay the CAT Fees determined by the Operating Committee. Each of the other Participants filed substantively identical fee filings in accordance with the Plan. 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23,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Release No. 80710 (May 17, 2017), </w:t>
      </w:r>
      <w:hyperlink r:id="rId10" w:history="1">
        <w:r>
          <w:rPr>
            <w:rFonts w:ascii="arial" w:eastAsia="arial" w:hAnsi="arial" w:cs="arial"/>
            <w:b w:val="0"/>
            <w:i/>
            <w:strike w:val="0"/>
            <w:noProof w:val="0"/>
            <w:color w:val="0077CC"/>
            <w:position w:val="0"/>
            <w:sz w:val="20"/>
            <w:u w:val="single"/>
            <w:vertAlign w:val="baseline"/>
          </w:rPr>
          <w:t>82 FR 23639</w:t>
        </w:r>
      </w:hyperlink>
      <w:r>
        <w:rPr>
          <w:rFonts w:ascii="arial" w:eastAsia="arial" w:hAnsi="arial" w:cs="arial"/>
          <w:b w:val="0"/>
          <w:i w:val="0"/>
          <w:strike w:val="0"/>
          <w:noProof w:val="0"/>
          <w:color w:val="000000"/>
          <w:position w:val="0"/>
          <w:sz w:val="20"/>
          <w:u w:val="none"/>
          <w:vertAlign w:val="baseline"/>
        </w:rPr>
        <w:t xml:space="preserve"> (May 23, 2017) (Notice of Filing and Immediate Effectiveness of File No. SR-FINRA-2017-011).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Sidley Austin LLP, to Brent J. Fields, Secretary, SEC, dated July 27, 2017 ("Sidley Letter"); Letter from Kevin Coleman, General Counsel &amp; Chief Compliance Officer, Belvedere Trading LLC, to Brent J. Fields, Secretary, SEC, dated July 28, 2017 ("Belvedere Letter"); Letter from Joanna Mallers, Secretary, FIA Principal Traders Group, to Brent J. Fields, Secretary, SEC, dated July 28, 2017 ("FIA Principal Traders Group Letter"); Letter from Stuart J. Kaswell, Executive Vice President, Managing Director and General Counsel, Managed Funds Association, to Brent J. Fields, Secretary, SEC, dated July 28, 2017 ("MFA Letter"); Letter from Theodore R. Lazo, Managing Director and Associate General Counsel, SIFMA, to Brent J. Fields, Secretary, SEC, dated July 28, 2017 ("SIFMA Letter"); Letter from John Kinahan, Chief Executive Officer, Group One Trading, L.P., to Brent J. Fields, Secretary, SEC, dated Aug. 10, 2017 ("Group One Letter"); and Letter from Joseph Molluso, Executive Vice President, Virtu Financial, to Brent J. Fields, Secretary, SEC, August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Original Proposal, the Operating Committee determined to make the following changes to the funding model: </w:t>
      </w:r>
      <w:r>
        <w:rPr>
          <w:rFonts w:ascii="arial" w:eastAsia="arial" w:hAnsi="arial" w:cs="arial"/>
          <w:b/>
          <w:i w:val="0"/>
          <w:strike w:val="0"/>
          <w:noProof w:val="0"/>
          <w:color w:val="000000"/>
          <w:position w:val="0"/>
          <w:sz w:val="20"/>
          <w:u w:val="none"/>
          <w:vertAlign w:val="baseline"/>
        </w:rPr>
        <w:t> [*58829] </w:t>
      </w:r>
      <w:r>
        <w:rPr>
          <w:rFonts w:ascii="arial" w:eastAsia="arial" w:hAnsi="arial" w:cs="arial"/>
          <w:b w:val="0"/>
          <w:i w:val="0"/>
          <w:strike w:val="0"/>
          <w:noProof w:val="0"/>
          <w:color w:val="000000"/>
          <w:position w:val="0"/>
          <w:sz w:val="20"/>
          <w:u w:val="none"/>
          <w:vertAlign w:val="baseline"/>
        </w:rPr>
        <w:t xml:space="preserve"> (1) Add two additional CAT Fee tiers for Equity Execution Venues; (2) discount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 the Options Market Maker quotes by the trade to quote ratio for options (calculated as 0.01% based on available data for June 2016 through June 2017) when calculating message traffic for Options Market Makers; (4) discount equity market maker quotes by the trade to quote ratio for equities (calculated as 5.43% based on available data for June 2016 through June 2017) when calculating message traffic for equity market makers; (5) decrease the number of tiers for Industry Members (other than the Execution Venue ATSs) from nine to seven; (6) change the allocation of CAT costs between Equity Execution Venues and Options Execution Venues from 75%/25% to 67%/33%; (7) adjust tier percentages and recovery allocations for Equity Execution Venues, Options Execution Venues and Industry Members (other than Execution Venue ATSs); (8) focus the comparability of CAT Fees on the individual entity level, rather than primarily on the comparability of affiliated entities; (9) commence invoicing of CAT Reporters as promptly as possible following the latest of the operative date of the Consolidated Audit Trail Funding Fees for each of the Participants and the operative date of the CAT NMS Plan amendment adopting CAT Fees for Participants; and (10) require the proposed fees to automatically expire two years from the operative date of the CAT NMS Plan amendment adopting CAT Fees for Participants. As discussed in detail below, FINRA proposes to amend the Original Proposal to reflect these changes approved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w:t>
      </w:r>
      <w:r>
        <w:rPr>
          <w:rFonts w:ascii="arial" w:eastAsia="arial" w:hAnsi="arial" w:cs="arial"/>
          <w:b/>
          <w:i w:val="0"/>
          <w:strike w:val="0"/>
          <w:noProof w:val="0"/>
          <w:color w:val="000000"/>
          <w:position w:val="0"/>
          <w:sz w:val="20"/>
          <w:u w:val="none"/>
          <w:vertAlign w:val="baseline"/>
        </w:rPr>
        <w:t> [*58830] </w:t>
      </w:r>
      <w:r>
        <w:rPr>
          <w:rFonts w:ascii="arial" w:eastAsia="arial" w:hAnsi="arial" w:cs="arial"/>
          <w:b w:val="0"/>
          <w:i w:val="0"/>
          <w:strike w:val="0"/>
          <w:noProof w:val="0"/>
          <w:color w:val="000000"/>
          <w:position w:val="0"/>
          <w:sz w:val="20"/>
          <w:u w:val="none"/>
          <w:vertAlign w:val="baseline"/>
        </w:rPr>
        <w:t xml:space="preserve">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Approval Order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Approval Order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Approval Order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for Industry Members (other than ATSs) should be based on message traffic, which will reflect the relative impact of Industry Member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states that Industry Members (other than Execution Venue ATSs) will be charged based on message traffic, and that Execution Venues will be charged based on market share. n39 While there are multiple factors that contribute to the cost of building, </w:t>
      </w:r>
      <w:r>
        <w:rPr>
          <w:rFonts w:ascii="arial" w:eastAsia="arial" w:hAnsi="arial" w:cs="arial"/>
          <w:b/>
          <w:i w:val="0"/>
          <w:strike w:val="0"/>
          <w:noProof w:val="0"/>
          <w:color w:val="000000"/>
          <w:position w:val="0"/>
          <w:sz w:val="20"/>
          <w:u w:val="none"/>
          <w:vertAlign w:val="baseline"/>
        </w:rPr>
        <w:t> [*58831] </w:t>
      </w:r>
      <w:r>
        <w:rPr>
          <w:rFonts w:ascii="arial" w:eastAsia="arial" w:hAnsi="arial" w:cs="arial"/>
          <w:b w:val="0"/>
          <w:i w:val="0"/>
          <w:strike w:val="0"/>
          <w:noProof w:val="0"/>
          <w:color w:val="000000"/>
          <w:position w:val="0"/>
          <w:sz w:val="20"/>
          <w:u w:val="none"/>
          <w:vertAlign w:val="baseline"/>
        </w:rPr>
        <w:t xml:space="preserve">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in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Approval Order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Execution Venues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w:t>
      </w:r>
      <w:r>
        <w:rPr>
          <w:rFonts w:ascii="arial" w:eastAsia="arial" w:hAnsi="arial" w:cs="arial"/>
          <w:b/>
          <w:i w:val="0"/>
          <w:strike w:val="0"/>
          <w:noProof w:val="0"/>
          <w:color w:val="000000"/>
          <w:position w:val="0"/>
          <w:sz w:val="20"/>
          <w:u w:val="none"/>
          <w:vertAlign w:val="baseline"/>
        </w:rPr>
        <w:t> [*58832] </w:t>
      </w:r>
      <w:r>
        <w:rPr>
          <w:rFonts w:ascii="arial" w:eastAsia="arial" w:hAnsi="arial" w:cs="arial"/>
          <w:b w:val="0"/>
          <w:i w:val="0"/>
          <w:strike w:val="0"/>
          <w:noProof w:val="0"/>
          <w:color w:val="000000"/>
          <w:position w:val="0"/>
          <w:sz w:val="20"/>
          <w:u w:val="none"/>
          <w:vertAlign w:val="baseline"/>
        </w:rPr>
        <w:t xml:space="preserv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(except for Execution Venue ATSs),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in a way that is fair and equitable.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Furthermore, by using percentages of Industry Members and costs recovered per tier, the Operating Committee sought to include </w:t>
      </w:r>
      <w:r>
        <w:rPr>
          <w:rFonts w:ascii="arial" w:eastAsia="arial" w:hAnsi="arial" w:cs="arial"/>
          <w:b/>
          <w:i w:val="0"/>
          <w:strike w:val="0"/>
          <w:noProof w:val="0"/>
          <w:color w:val="000000"/>
          <w:position w:val="0"/>
          <w:sz w:val="20"/>
          <w:u w:val="none"/>
          <w:vertAlign w:val="baseline"/>
        </w:rPr>
        <w:t> [*58833] </w:t>
      </w:r>
      <w:r>
        <w:rPr>
          <w:rFonts w:ascii="arial" w:eastAsia="arial" w:hAnsi="arial" w:cs="arial"/>
          <w:b w:val="0"/>
          <w:i w:val="0"/>
          <w:strike w:val="0"/>
          <w:noProof w:val="0"/>
          <w:color w:val="000000"/>
          <w:position w:val="0"/>
          <w:sz w:val="20"/>
          <w:u w:val="none"/>
          <w:vertAlign w:val="baseline"/>
        </w:rPr>
        <w:t xml:space="preserv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45.28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traffic per industry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cancels 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 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2016), </w:t>
      </w:r>
      <w:hyperlink r:id="rId39"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w:t>
      </w:r>
      <w:r>
        <w:rPr>
          <w:rFonts w:ascii="arial" w:eastAsia="arial" w:hAnsi="arial" w:cs="arial"/>
          <w:b/>
          <w:i w:val="0"/>
          <w:strike w:val="0"/>
          <w:noProof w:val="0"/>
          <w:color w:val="000000"/>
          <w:position w:val="0"/>
          <w:sz w:val="20"/>
          <w:u w:val="none"/>
          <w:vertAlign w:val="baseline"/>
        </w:rPr>
        <w:t> [*58835] </w:t>
      </w:r>
      <w:r>
        <w:rPr>
          <w:rFonts w:ascii="arial" w:eastAsia="arial" w:hAnsi="arial" w:cs="arial"/>
          <w:b w:val="0"/>
          <w:i w:val="0"/>
          <w:strike w:val="0"/>
          <w:noProof w:val="0"/>
          <w:color w:val="000000"/>
          <w:position w:val="0"/>
          <w:sz w:val="20"/>
          <w:u w:val="none"/>
          <w:vertAlign w:val="baseline"/>
        </w:rPr>
        <w:t xml:space="preserve">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Execution Venues and Options Execution Venues are treated separately for two reasons. First, the differing quoting behavior of Equity Execution Venues and Options Execution Venues makes comparison of activity between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 available by Bats Global Markets, Inc. ("Bats"). ATS market shares of share volume was sourced from market statistics made publicly 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subject to higher tiers than their operations may warrant. To address this potential concern, the Operating Committee determined to discount the OTC Equity Securities market share of Execution Venue ATSs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w:t>
      </w:r>
      <w:r>
        <w:rPr>
          <w:rFonts w:ascii="arial" w:eastAsia="arial" w:hAnsi="arial" w:cs="arial"/>
          <w:b/>
          <w:i w:val="0"/>
          <w:strike w:val="0"/>
          <w:noProof w:val="0"/>
          <w:color w:val="000000"/>
          <w:position w:val="0"/>
          <w:sz w:val="20"/>
          <w:u w:val="none"/>
          <w:vertAlign w:val="baseline"/>
        </w:rPr>
        <w:t> [*58836] </w:t>
      </w:r>
      <w:r>
        <w:rPr>
          <w:rFonts w:ascii="arial" w:eastAsia="arial" w:hAnsi="arial" w:cs="arial"/>
          <w:b w:val="0"/>
          <w:i w:val="0"/>
          <w:strike w:val="0"/>
          <w:noProof w:val="0"/>
          <w:color w:val="000000"/>
          <w:position w:val="0"/>
          <w:sz w:val="20"/>
          <w:u w:val="none"/>
          <w:vertAlign w:val="baseline"/>
        </w:rPr>
        <w:t xml:space="preserve">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 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 available market data. Options and equity volumes for Participants will be sourced from market data made publicly available by Bats while Execution Venue ATS volumes will be sourced from market data made publicly available by FINRA and OTC Markets. Set forth in the Exhibit 3 of the proposed rule change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Execution Venues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maintained the greatest level of fee equitability and comparability based on the current number of Equity Execution Venues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 </w:t>
      </w:r>
      <w:r>
        <w:rPr>
          <w:rFonts w:ascii="arial" w:eastAsia="arial" w:hAnsi="arial" w:cs="arial"/>
          <w:b/>
          <w:i w:val="0"/>
          <w:strike w:val="0"/>
          <w:noProof w:val="0"/>
          <w:color w:val="000000"/>
          <w:position w:val="0"/>
          <w:sz w:val="20"/>
          <w:u w:val="none"/>
          <w:vertAlign w:val="baseline"/>
        </w:rPr>
        <w:t> [*58838] </w:t>
      </w:r>
      <w:r>
        <w:rPr>
          <w:rFonts w:ascii="arial" w:eastAsia="arial" w:hAnsi="arial" w:cs="arial"/>
          <w:b w:val="0"/>
          <w:i w:val="0"/>
          <w:strike w:val="0"/>
          <w:noProof w:val="0"/>
          <w:color w:val="000000"/>
          <w:position w:val="0"/>
          <w:sz w:val="20"/>
          <w:u w:val="none"/>
          <w:vertAlign w:val="baseline"/>
        </w:rPr>
        <w:t xml:space="preserve"> 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 </w:t>
      </w:r>
      <w:r>
        <w:rPr>
          <w:rFonts w:ascii="arial" w:eastAsia="arial" w:hAnsi="arial" w:cs="arial"/>
          <w:b/>
          <w:i w:val="0"/>
          <w:strike w:val="0"/>
          <w:noProof w:val="0"/>
          <w:color w:val="000000"/>
          <w:position w:val="0"/>
          <w:sz w:val="20"/>
          <w:u w:val="none"/>
          <w:vertAlign w:val="baseline"/>
        </w:rPr>
        <w:t> [*58839]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[*58840] </w:t>
      </w:r>
    </w:p>
    <w:p>
      <w:pPr>
        <w:keepNext w:val="0"/>
        <w:spacing w:before="200" w:after="0" w:line="260" w:lineRule="atLeast"/>
        <w:ind w:left="0" w:right="0" w:firstLine="0"/>
        <w:jc w:val="both"/>
      </w:pPr>
      <w:r>
        <w:pict>
          <v:shape id="_x0000_i1028" type="#_x0000_t75" style="width:432.06pt;height:507.82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90.29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[*58842]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114.02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w:t>
      </w:r>
      <w:r>
        <w:rPr>
          <w:rFonts w:ascii="arial" w:eastAsia="arial" w:hAnsi="arial" w:cs="arial"/>
          <w:b/>
          <w:i w:val="0"/>
          <w:strike w:val="0"/>
          <w:noProof w:val="0"/>
          <w:color w:val="000000"/>
          <w:position w:val="0"/>
          <w:sz w:val="20"/>
          <w:u w:val="none"/>
          <w:vertAlign w:val="baseline"/>
        </w:rPr>
        <w:t> [*58843] </w:t>
      </w:r>
      <w:r>
        <w:rPr>
          <w:rFonts w:ascii="arial" w:eastAsia="arial" w:hAnsi="arial" w:cs="arial"/>
          <w:b w:val="0"/>
          <w:i w:val="0"/>
          <w:strike w:val="0"/>
          <w:noProof w:val="0"/>
          <w:color w:val="000000"/>
          <w:position w:val="0"/>
          <w:sz w:val="20"/>
          <w:u w:val="none"/>
          <w:vertAlign w:val="baseline"/>
        </w:rPr>
        <w:t xml:space="preserve">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Commission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[*58844]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proposes the Consolidated Audit Trail Funding Fees to impose the CAT Fees determined by the Operating Committee on FINRA's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6897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that operates pursuant to Rule 301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w:t>
      </w:r>
      <w:r>
        <w:rPr>
          <w:rFonts w:ascii="arial" w:eastAsia="arial" w:hAnsi="arial" w:cs="arial"/>
          <w:b/>
          <w:i w:val="0"/>
          <w:strike w:val="0"/>
          <w:noProof w:val="0"/>
          <w:color w:val="000000"/>
          <w:position w:val="0"/>
          <w:sz w:val="20"/>
          <w:u w:val="none"/>
          <w:vertAlign w:val="baseline"/>
        </w:rPr>
        <w:t> [*58845] </w:t>
      </w:r>
      <w:r>
        <w:rPr>
          <w:rFonts w:ascii="arial" w:eastAsia="arial" w:hAnsi="arial" w:cs="arial"/>
          <w:b w:val="0"/>
          <w:i w:val="0"/>
          <w:strike w:val="0"/>
          <w:noProof w:val="0"/>
          <w:color w:val="000000"/>
          <w:position w:val="0"/>
          <w:sz w:val="20"/>
          <w:u w:val="none"/>
          <w:vertAlign w:val="baseline"/>
        </w:rPr>
        <w:t xml:space="preserv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FINRA will issue a notice to its members with details regarding the manner of payment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FINRA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FINRA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June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w:t>
      </w:r>
      <w:r>
        <w:rPr>
          <w:rFonts w:ascii="arial" w:eastAsia="arial" w:hAnsi="arial" w:cs="arial"/>
          <w:b/>
          <w:i w:val="0"/>
          <w:strike w:val="0"/>
          <w:noProof w:val="0"/>
          <w:color w:val="000000"/>
          <w:position w:val="0"/>
          <w:sz w:val="20"/>
          <w:u w:val="none"/>
          <w:vertAlign w:val="baseline"/>
        </w:rPr>
        <w:t> [*58846] </w:t>
      </w:r>
      <w:r>
        <w:rPr>
          <w:rFonts w:ascii="arial" w:eastAsia="arial" w:hAnsi="arial" w:cs="arial"/>
          <w:b w:val="0"/>
          <w:i w:val="0"/>
          <w:strike w:val="0"/>
          <w:noProof w:val="0"/>
          <w:color w:val="000000"/>
          <w:position w:val="0"/>
          <w:sz w:val="20"/>
          <w:u w:val="none"/>
          <w:vertAlign w:val="baseline"/>
        </w:rPr>
        <w:t xml:space="preserve">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FINRA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Execution Venues for OTC Equity Securities and Execution Venues for NMS Stocks were grouped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effect of applying such a discount for trading in OTC Equity Securities is to shift Execution Venue ATSs trading OTC Equity Securities to </w:t>
      </w:r>
      <w:r>
        <w:rPr>
          <w:rFonts w:ascii="arial" w:eastAsia="arial" w:hAnsi="arial" w:cs="arial"/>
          <w:b/>
          <w:i w:val="0"/>
          <w:strike w:val="0"/>
          <w:noProof w:val="0"/>
          <w:color w:val="000000"/>
          <w:position w:val="0"/>
          <w:sz w:val="20"/>
          <w:u w:val="none"/>
          <w:vertAlign w:val="baseline"/>
        </w:rPr>
        <w:t> [*58847] </w:t>
      </w:r>
      <w:r>
        <w:rPr>
          <w:rFonts w:ascii="arial" w:eastAsia="arial" w:hAnsi="arial" w:cs="arial"/>
          <w:b w:val="0"/>
          <w:i w:val="0"/>
          <w:strike w:val="0"/>
          <w:noProof w:val="0"/>
          <w:color w:val="000000"/>
          <w:position w:val="0"/>
          <w:sz w:val="20"/>
          <w:u w:val="none"/>
          <w:vertAlign w:val="baseline"/>
        </w:rPr>
        <w:t xml:space="preserve">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closely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FINRA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FINRA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4-5; FIA Principal Traders Group Letter at 3; Sidley Letter at 2-6; Group One Letter at 2-5;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w:t>
      </w:r>
      <w:r>
        <w:rPr>
          <w:rFonts w:ascii="arial" w:eastAsia="arial" w:hAnsi="arial" w:cs="arial"/>
          <w:b/>
          <w:i w:val="0"/>
          <w:strike w:val="0"/>
          <w:noProof w:val="0"/>
          <w:color w:val="000000"/>
          <w:position w:val="0"/>
          <w:sz w:val="20"/>
          <w:u w:val="none"/>
          <w:vertAlign w:val="baseline"/>
        </w:rPr>
        <w:t> [*58848] </w:t>
      </w:r>
      <w:r>
        <w:rPr>
          <w:rFonts w:ascii="arial" w:eastAsia="arial" w:hAnsi="arial" w:cs="arial"/>
          <w:b w:val="0"/>
          <w:i w:val="0"/>
          <w:strike w:val="0"/>
          <w:noProof w:val="0"/>
          <w:color w:val="000000"/>
          <w:position w:val="0"/>
          <w:sz w:val="20"/>
          <w:u w:val="none"/>
          <w:vertAlign w:val="baseline"/>
        </w:rPr>
        <w:t xml:space="preserve">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FINRA proposes to amend paragraph (b)(1) of the proposed fee schedule to indicate that the message traffic related to equity market maker quotes and Options Market Maker quotes would be discounted. In addition, FINRA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Execution Venues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enhances the level of fee comparability for the largest CAT Reporters. Specifically, the largest Equity Execution Venues and Options </w:t>
      </w:r>
      <w:r>
        <w:rPr>
          <w:rFonts w:ascii="arial" w:eastAsia="arial" w:hAnsi="arial" w:cs="arial"/>
          <w:b/>
          <w:i w:val="0"/>
          <w:strike w:val="0"/>
          <w:noProof w:val="0"/>
          <w:color w:val="000000"/>
          <w:position w:val="0"/>
          <w:sz w:val="20"/>
          <w:u w:val="none"/>
          <w:vertAlign w:val="baseline"/>
        </w:rPr>
        <w:t> [*58849] </w:t>
      </w:r>
      <w:r>
        <w:rPr>
          <w:rFonts w:ascii="arial" w:eastAsia="arial" w:hAnsi="arial" w:cs="arial"/>
          <w:b w:val="0"/>
          <w:i w:val="0"/>
          <w:strike w:val="0"/>
          <w:noProof w:val="0"/>
          <w:color w:val="000000"/>
          <w:position w:val="0"/>
          <w:sz w:val="20"/>
          <w:u w:val="none"/>
          <w:vertAlign w:val="baseline"/>
        </w:rPr>
        <w:t xml:space="preserve">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Execution Venues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Execution Venues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Release No. 67457 (July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FINRA proposes to amend paragraphs (b)(1) and (2) of the proposed fee schedule to reflect the changes discussed in this section. Specifically, FINRA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w:t>
      </w:r>
      <w:r>
        <w:rPr>
          <w:rFonts w:ascii="arial" w:eastAsia="arial" w:hAnsi="arial" w:cs="arial"/>
          <w:b/>
          <w:i w:val="0"/>
          <w:strike w:val="0"/>
          <w:noProof w:val="0"/>
          <w:color w:val="000000"/>
          <w:position w:val="0"/>
          <w:sz w:val="20"/>
          <w:u w:val="none"/>
          <w:vertAlign w:val="baseline"/>
        </w:rPr>
        <w:t> [*58850] </w:t>
      </w:r>
      <w:r>
        <w:rPr>
          <w:rFonts w:ascii="arial" w:eastAsia="arial" w:hAnsi="arial" w:cs="arial"/>
          <w:b w:val="0"/>
          <w:i w:val="0"/>
          <w:strike w:val="0"/>
          <w:noProof w:val="0"/>
          <w:color w:val="000000"/>
          <w:position w:val="0"/>
          <w:sz w:val="20"/>
          <w:u w:val="none"/>
          <w:vertAlign w:val="baseline"/>
        </w:rPr>
        <w:t xml:space="preserve">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FINRA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w:t>
      </w:r>
      <w:r>
        <w:rPr>
          <w:rFonts w:ascii="arial" w:eastAsia="arial" w:hAnsi="arial" w:cs="arial"/>
          <w:b/>
          <w:i w:val="0"/>
          <w:strike w:val="0"/>
          <w:noProof w:val="0"/>
          <w:color w:val="000000"/>
          <w:position w:val="0"/>
          <w:sz w:val="20"/>
          <w:u w:val="none"/>
          <w:vertAlign w:val="baseline"/>
        </w:rPr>
        <w:t> [*58851] </w:t>
      </w:r>
      <w:r>
        <w:rPr>
          <w:rFonts w:ascii="arial" w:eastAsia="arial" w:hAnsi="arial" w:cs="arial"/>
          <w:b w:val="0"/>
          <w:i w:val="0"/>
          <w:strike w:val="0"/>
          <w:noProof w:val="0"/>
          <w:color w:val="000000"/>
          <w:position w:val="0"/>
          <w:sz w:val="20"/>
          <w:u w:val="none"/>
          <w:vertAlign w:val="baseline"/>
        </w:rPr>
        <w:t xml:space="preserve">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their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dated Sept. 23, 2016 ("Plan Response Letter"); Letter from CAT NMS Plan Participants to Brent J. Fields, Secretary, SEC, dated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18; Fee Rule Response Letter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has filed the proposed rule change for immediate effectiveness. FINRA will announce the implementation date of the proposed rule change in a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to be published no later than 120 days following Commission approval. The effective date will be no later than 180 days following publication of the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announcing Commission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proposed rule change is consistent with the provisions of Section 15A(b)(6) of the Act, n89 which requires, among other things, that FINRA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dealers, and Section 15A(b)(5) of the Act, n90 which requires, among other things, that FINRA rules provide for the equitable allocation of reasonable dues, fees and other charges among members and issuers and other persons using any facility or system that FINRA operates or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believes that this proposal is consistent with the Act because it implements, interprets or clarifies the provisions of the Plan, and is designed to assist FINRA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w:t>
      </w:r>
      <w:r>
        <w:rPr>
          <w:rFonts w:ascii="arial" w:eastAsia="arial" w:hAnsi="arial" w:cs="arial"/>
          <w:b/>
          <w:i w:val="0"/>
          <w:strike w:val="0"/>
          <w:noProof w:val="0"/>
          <w:color w:val="000000"/>
          <w:position w:val="0"/>
          <w:sz w:val="20"/>
          <w:u w:val="none"/>
          <w:vertAlign w:val="baseline"/>
        </w:rPr>
        <w:t> [*58852] </w:t>
      </w:r>
      <w:r>
        <w:rPr>
          <w:rFonts w:ascii="arial" w:eastAsia="arial" w:hAnsi="arial" w:cs="arial"/>
          <w:b w:val="0"/>
          <w:i w:val="0"/>
          <w:strike w:val="0"/>
          <w:noProof w:val="0"/>
          <w:color w:val="000000"/>
          <w:position w:val="0"/>
          <w:sz w:val="20"/>
          <w:u w:val="none"/>
          <w:vertAlign w:val="baseline"/>
        </w:rPr>
        <w:t xml:space="preserve"> purposes of the Act." n91 To the extent that this proposal implements, interprets or clarifies the Plan and applies specific requirements to Industry Members, FINRA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FINRA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FINRA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funding model takes into consideration affiliations between CAT Reporters, imposing comparable fees on such affiliated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FINRA believes that the division of the total CAT costs between Industry Members and Execution Venues, and the division of the Execution Venue portion of total costs between Equity Execution Venues and Options Execution Venues, is reasonably designed to allocate CAT costs among CAT Reporters. The 75/25 division between Industry Members and Execution Venues maintains the greatest level of comparability across the funding model, keeping in view that comparability should consider affiliations among or between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firms with multiple Industry Members or exchange licenses). Similarly, the 75/25 division between Equity Execution Venues and Options Execution Venues maintains elasticity across the funding model as well as the greatest level of fee equitability and comparability based on the current number of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FINRA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15A(b)(9) of the Act, n92 requires that FINRA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FINRA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FINRA notes that the proposed rule change implements Section 11.5 of the CAT NMS Plan approved by the Commission, and is designed to assist FINRA in meeting its regulatory obligations pursuant to the Plan. Similarly, all national securities exchanges and FINRA are proposing this proposed rule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rule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FINRA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FINRA does not believe that the CAT Fees would have a disproportionate effect on smaller or larger CAT Reporters. In addition, ATSs and exchanges will pay the same fees based on market share. Therefore, FINRA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FINRA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2017, the Original Proposal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Participants collectively received five comments. On June 30, 2017, the Commission suspended, and instituted proceedings to determine whether to approve or disapprove, the Original Proposal. n93 The Commission received seven comment letters in response to those proceedings, which are summarized above.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w:t>
      </w:r>
      <w:r>
        <w:rPr>
          <w:rFonts w:ascii="arial" w:eastAsia="arial" w:hAnsi="arial" w:cs="arial"/>
          <w:b/>
          <w:i w:val="0"/>
          <w:strike w:val="0"/>
          <w:noProof w:val="0"/>
          <w:color w:val="000000"/>
          <w:position w:val="0"/>
          <w:sz w:val="20"/>
          <w:u w:val="none"/>
          <w:vertAlign w:val="baseline"/>
        </w:rPr>
        <w:t> [*58853] </w:t>
      </w:r>
      <w:r>
        <w:rPr>
          <w:rFonts w:ascii="arial" w:eastAsia="arial" w:hAnsi="arial" w:cs="arial"/>
          <w:b w:val="0"/>
          <w:i w:val="0"/>
          <w:strike w:val="0"/>
          <w:noProof w:val="0"/>
          <w:color w:val="000000"/>
          <w:position w:val="0"/>
          <w:sz w:val="20"/>
          <w:u w:val="none"/>
          <w:vertAlign w:val="baseline"/>
        </w:rPr>
        <w:t xml:space="preserve">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n99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w:t>
      </w:r>
      <w:r>
        <w:rPr>
          <w:rFonts w:ascii="arial" w:eastAsia="arial" w:hAnsi="arial" w:cs="arial"/>
          <w:b/>
          <w:i w:val="0"/>
          <w:strike w:val="0"/>
          <w:noProof w:val="0"/>
          <w:color w:val="000000"/>
          <w:position w:val="0"/>
          <w:sz w:val="20"/>
          <w:u w:val="none"/>
          <w:vertAlign w:val="baseline"/>
        </w:rPr>
        <w:t> [*58854] </w:t>
      </w:r>
      <w:r>
        <w:rPr>
          <w:rFonts w:ascii="arial" w:eastAsia="arial" w:hAnsi="arial" w:cs="arial"/>
          <w:b w:val="0"/>
          <w:i w:val="0"/>
          <w:strike w:val="0"/>
          <w:noProof w:val="0"/>
          <w:color w:val="000000"/>
          <w:position w:val="0"/>
          <w:sz w:val="20"/>
          <w:u w:val="none"/>
          <w:vertAlign w:val="baseline"/>
        </w:rPr>
        <w:t xml:space="preserv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SR-FINRA-2017-011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w:t>
      </w:r>
      <w:r>
        <w:rPr>
          <w:rFonts w:ascii="arial" w:eastAsia="arial" w:hAnsi="arial" w:cs="arial"/>
          <w:b w:val="0"/>
          <w:i/>
          <w:strike w:val="0"/>
          <w:noProof w:val="0"/>
          <w:color w:val="000000"/>
          <w:position w:val="0"/>
          <w:sz w:val="20"/>
          <w:u w:val="none"/>
          <w:vertAlign w:val="baseline"/>
        </w:rPr>
        <w:t>SR-FINRA-2017-011.</w:t>
      </w:r>
      <w:r>
        <w:rPr>
          <w:rFonts w:ascii="arial" w:eastAsia="arial" w:hAnsi="arial" w:cs="arial"/>
          <w:b w:val="0"/>
          <w:i w:val="0"/>
          <w:strike w:val="0"/>
          <w:noProof w:val="0"/>
          <w:color w:val="000000"/>
          <w:position w:val="0"/>
          <w:sz w:val="20"/>
          <w:u w:val="none"/>
          <w:vertAlign w:val="baseline"/>
        </w:rPr>
        <w:t xml:space="preserve">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FINRA.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w:t>
      </w:r>
      <w:r>
        <w:rPr>
          <w:rFonts w:ascii="arial" w:eastAsia="arial" w:hAnsi="arial" w:cs="arial"/>
          <w:b w:val="0"/>
          <w:i/>
          <w:strike w:val="0"/>
          <w:noProof w:val="0"/>
          <w:color w:val="000000"/>
          <w:position w:val="0"/>
          <w:sz w:val="20"/>
          <w:u w:val="none"/>
          <w:vertAlign w:val="baseline"/>
        </w:rPr>
        <w:t>SR-FINRA-2017-011,</w:t>
      </w:r>
      <w:r>
        <w:rPr>
          <w:rFonts w:ascii="arial" w:eastAsia="arial" w:hAnsi="arial" w:cs="arial"/>
          <w:b w:val="0"/>
          <w:i w:val="0"/>
          <w:strike w:val="0"/>
          <w:noProof w:val="0"/>
          <w:color w:val="000000"/>
          <w:position w:val="0"/>
          <w:sz w:val="20"/>
          <w:u w:val="none"/>
          <w:vertAlign w:val="baseline"/>
        </w:rPr>
        <w:t xml:space="preserve"> and should be submitted on or before January 4,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authority.&lt;101&gt;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2017-26917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58827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2-KBG0-006W-84TH-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finra.org"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MJ8-4SR0-008G-Y3VR-00000-00&amp;context=" TargetMode="External" /><Relationship Id="rId36" Type="http://schemas.openxmlformats.org/officeDocument/2006/relationships/hyperlink" Target="https://advance.lexis.com/api/document?collection=administrative-codes&amp;id=urn:contentItem:5JSY-P7D0-006W-8255-00000-00&amp;context=" TargetMode="External" /><Relationship Id="rId37" Type="http://schemas.openxmlformats.org/officeDocument/2006/relationships/hyperlink" Target="https://advance.lexis.com/api/document?collection=administrative-codes&amp;id=urn:contentItem:5M7G-5J10-006W-82HT-00000-00&amp;context=" TargetMode="External" /><Relationship Id="rId38" Type="http://schemas.openxmlformats.org/officeDocument/2006/relationships/image" Target="media/image1.png" /><Relationship Id="rId39" Type="http://schemas.openxmlformats.org/officeDocument/2006/relationships/hyperlink" Target="https://advance.lexis.com/api/document?collection=administrative-codes&amp;id=urn:contentItem:5J7T-V0M0-006W-8422-00000-00&amp;context="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image" Target="media/image3.png" /><Relationship Id="rId42" Type="http://schemas.openxmlformats.org/officeDocument/2006/relationships/image" Target="media/image4.png"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7M-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58827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