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58854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239, Thursday, December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58854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Cboe EDGA Exchange, Inc.; Notice of Filing of Amendment No. 1 to a Proposed Rule Change To Establish the Fees for Industry Members Related to the National Market System Plan Governing the Consolidated Audit Trail</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34-82268; File No. SR-BatsEDGA-2017-13]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16, 2017, Bats EDGA Exchange, Inc., n/k/a Cboe EDGA Exchange, Inc., ("Exchange" or "SRO")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June 1,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w:t>
      </w:r>
      <w:r>
        <w:rPr>
          <w:rFonts w:ascii="arial" w:eastAsia="arial" w:hAnsi="arial" w:cs="arial"/>
          <w:b/>
          <w:i w:val="0"/>
          <w:strike w:val="0"/>
          <w:noProof w:val="0"/>
          <w:color w:val="000000"/>
          <w:position w:val="0"/>
          <w:sz w:val="20"/>
          <w:u w:val="none"/>
          <w:vertAlign w:val="baseline"/>
        </w:rPr>
        <w:t> [*58855] </w:t>
      </w:r>
      <w:r>
        <w:rPr>
          <w:rFonts w:ascii="arial" w:eastAsia="arial" w:hAnsi="arial" w:cs="arial"/>
          <w:b w:val="0"/>
          <w:i w:val="0"/>
          <w:strike w:val="0"/>
          <w:noProof w:val="0"/>
          <w:color w:val="000000"/>
          <w:position w:val="0"/>
          <w:sz w:val="20"/>
          <w:u w:val="none"/>
          <w:vertAlign w:val="baseline"/>
        </w:rPr>
        <w:t xml:space="preserve"> to comments from the Participants. n8 On November 3, 2017, the Exchange filed Amendment No. 1 to the proposed rule change, as described in Items I and II below, which Items have been prepared by the Exchange. n9 On November 9, 2017, the Commission extended the time period within which to approve the proposed rule change or disapprove the proposed rule change to January 14, 2018. n10 The Commission is publishing this notice to solicit comments from interested persons on Amendment No. 1.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80784 (May 26, 2017), </w:t>
      </w:r>
      <w:r>
        <w:rPr>
          <w:rFonts w:ascii="arial" w:eastAsia="arial" w:hAnsi="arial" w:cs="arial"/>
          <w:b w:val="0"/>
          <w:i/>
          <w:strike w:val="0"/>
          <w:noProof w:val="0"/>
          <w:color w:val="000000"/>
          <w:position w:val="0"/>
          <w:sz w:val="20"/>
          <w:u w:val="none"/>
          <w:vertAlign w:val="baseline"/>
        </w:rPr>
        <w:t>82 FR 25448</w:t>
      </w:r>
      <w:r>
        <w:rPr>
          <w:rFonts w:ascii="arial" w:eastAsia="arial" w:hAnsi="arial" w:cs="arial"/>
          <w:b w:val="0"/>
          <w:i w:val="0"/>
          <w:strike w:val="0"/>
          <w:noProof w:val="0"/>
          <w:color w:val="000000"/>
          <w:position w:val="0"/>
          <w:sz w:val="20"/>
          <w:u w:val="none"/>
          <w:vertAlign w:val="baseline"/>
        </w:rPr>
        <w:t xml:space="preserve"> (June 1,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13-16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8"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Amendment No. 1 to the proposed rule change replaces and supersedes the Original Proposal in its entirety.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7"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Commission notes that on December 7, 2017, the Exchange filed Amendment No. 2 to the proposed rule change. Amendment No. 2 is a partial amendment to the proposed rule change, as amended by Amendment No. 1. Amendment No. 2 proposes to change the parenthetical regarding the OTC Equity Securities discount in paragraph (b)(2) of the proposed fee schedule from "with a discount for Equity ATSs exclusively trading OTC Equity Securities based on the average shares per trade ratio between NMS Stocks and OTC Equity Securities" to "with a discount for OTC Equity Securities market share of Equity ATSs trading OTC Equity Securities based on the average shares per trade ratio between NMS Stocks and OTC Equity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82269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proposed rule change SR-BatsEDGA-2017-13 (the "Original Proposal"), pursuant to which SRO proposed to amend its Fee Schedule to establish the fees for Industry Members related to the National Market System Plan Governing the Consolidated Audit Trail (the "CAT NMS Plan" or "Plan"). n12 SRO files this proposed rule change (the "Amendment") to amend the Original Proposal. This Amendment replaces the Original Proposal in its entirety, and also describes the changes from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Unless otherwise specified, capitalized terms used in this fee filing are defined as set forth herein, the CAT Compliance Rule Series, in the CAT NMS Plan, or the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the Exchange's website at </w:t>
      </w:r>
      <w:hyperlink r:id="rId28" w:history="1">
        <w:r>
          <w:rPr>
            <w:rFonts w:ascii="arial" w:eastAsia="arial" w:hAnsi="arial" w:cs="arial"/>
            <w:b w:val="0"/>
            <w:i/>
            <w:strike w:val="0"/>
            <w:noProof w:val="0"/>
            <w:color w:val="0077CC"/>
            <w:position w:val="0"/>
            <w:sz w:val="20"/>
            <w:u w:val="single"/>
            <w:vertAlign w:val="baseline"/>
          </w:rPr>
          <w:t>www.markets.cboe.com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n13 Chicago Stock Exchange, Inc., Financial Industry Regulatory Authority, Inc. ("FINRA"), Investors' Exchange LLC, Miami International Securities Exchange, LLC, MIAX PEARL, LLC, NASDAQ BX, Inc., Nasdaq GEMX, LLC, Nasdaq ISE, LLC, Nasdaq MRX, LLC, n14 NASDAQ PHLX LLC, The NASDAQ Stock Market LLC, New York Stock Exchange LLC, NYSE American LLC, n15 NYSE Arca, Inc. and NYSE National, Inc. n16 (collectively, the "Participants") filed with the Commission, pursuant to Section 11A of the Exchange Act n17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n18 the CAT NMS Plan. n19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n20 and approved by the Commission, as modified, on November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n23 The Participants are required to file with the SEC under Section 19(b) of the Exchange Act any such CAT Fees applicable to Industry Members that the Operating Committee approves. n24 Accordingly, SRO submitted the Original Proposal to propose the Consolidated Audit Trail Funding Fees, which would require Industry Members that are SRO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80248 (Mar. 15, 2017), </w:t>
      </w:r>
      <w:hyperlink r:id="rId29"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 21, 2017); Securities Exchange Act Rel. No. 80326 (Mar. 29, 2017), </w:t>
      </w:r>
      <w:hyperlink r:id="rId30"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 4, 2017); and Securities Exchange Act Rel. No. 80325 (Mar.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80283 (Mar.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79902 (Jan. 30, 2017), </w:t>
      </w:r>
      <w:hyperlink r:id="rId31"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2"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3"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 No. 77724 (Apr. 27, 2016), </w:t>
      </w:r>
      <w:hyperlink r:id="rId34"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 No. 79318 (Nov. 15, 2016), </w:t>
      </w:r>
      <w:hyperlink r:id="rId35"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 2017, n25 and received comments in response to the Original Proposal or similar fee </w:t>
      </w:r>
      <w:r>
        <w:rPr>
          <w:rFonts w:ascii="arial" w:eastAsia="arial" w:hAnsi="arial" w:cs="arial"/>
          <w:b/>
          <w:i w:val="0"/>
          <w:strike w:val="0"/>
          <w:noProof w:val="0"/>
          <w:color w:val="000000"/>
          <w:position w:val="0"/>
          <w:sz w:val="20"/>
          <w:u w:val="none"/>
          <w:vertAlign w:val="baseline"/>
        </w:rPr>
        <w:t> [*58856] </w:t>
      </w:r>
      <w:r>
        <w:rPr>
          <w:rFonts w:ascii="arial" w:eastAsia="arial" w:hAnsi="arial" w:cs="arial"/>
          <w:b w:val="0"/>
          <w:i w:val="0"/>
          <w:strike w:val="0"/>
          <w:noProof w:val="0"/>
          <w:color w:val="000000"/>
          <w:position w:val="0"/>
          <w:sz w:val="20"/>
          <w:u w:val="none"/>
          <w:vertAlign w:val="baseline"/>
        </w:rPr>
        <w:t xml:space="preserve"> filings by other Participants. n26 On June 30, 2017, the Commission suspended, and instituted proceedings to determine whether to approve or disapprove, the Original Proposal. n27 The Commission received seven comment letters in response to those proceedings.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Securities Exchange Act Rel. No. 80784 (May 26, 2017), </w:t>
      </w:r>
      <w:r>
        <w:rPr>
          <w:rFonts w:ascii="arial" w:eastAsia="arial" w:hAnsi="arial" w:cs="arial"/>
          <w:b w:val="0"/>
          <w:i/>
          <w:strike w:val="0"/>
          <w:noProof w:val="0"/>
          <w:color w:val="000000"/>
          <w:position w:val="0"/>
          <w:sz w:val="20"/>
          <w:u w:val="none"/>
          <w:vertAlign w:val="baseline"/>
        </w:rPr>
        <w:t>82 FR 25448</w:t>
      </w:r>
      <w:r>
        <w:rPr>
          <w:rFonts w:ascii="arial" w:eastAsia="arial" w:hAnsi="arial" w:cs="arial"/>
          <w:b w:val="0"/>
          <w:i w:val="0"/>
          <w:strike w:val="0"/>
          <w:noProof w:val="0"/>
          <w:color w:val="000000"/>
          <w:position w:val="0"/>
          <w:sz w:val="20"/>
          <w:u w:val="none"/>
          <w:vertAlign w:val="baseline"/>
        </w:rPr>
        <w:t xml:space="preserve"> (June 1, 2017) (SR-BatsEDGX-2017-13).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 No. 81067 (June 30, 2017), </w:t>
      </w:r>
      <w:hyperlink r:id="rId18"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Original Proposal, the Operating Committee determined to make the following changes to the funding model: (1) Adds two additional CAT Fee tiers for Equity Execution Venues; (2) discounts the market share of Execution Venue ATSs exclusively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Participants. As discussed in detail below, SRO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market share of Execution Venue ATSs exclusively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w:t>
      </w:r>
      <w:r>
        <w:rPr>
          <w:rFonts w:ascii="arial" w:eastAsia="arial" w:hAnsi="arial" w:cs="arial"/>
          <w:b/>
          <w:i w:val="0"/>
          <w:strike w:val="0"/>
          <w:noProof w:val="0"/>
          <w:color w:val="000000"/>
          <w:position w:val="0"/>
          <w:sz w:val="20"/>
          <w:u w:val="none"/>
          <w:vertAlign w:val="baseline"/>
        </w:rPr>
        <w:t> [*58857] </w:t>
      </w:r>
      <w:r>
        <w:rPr>
          <w:rFonts w:ascii="arial" w:eastAsia="arial" w:hAnsi="arial" w:cs="arial"/>
          <w:b w:val="0"/>
          <w:i w:val="0"/>
          <w:strike w:val="0"/>
          <w:noProof w:val="0"/>
          <w:color w:val="000000"/>
          <w:position w:val="0"/>
          <w:sz w:val="20"/>
          <w:u w:val="none"/>
          <w:vertAlign w:val="baseline"/>
        </w:rPr>
        <w:t xml:space="preserve">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n29 and "reflects a reasonable exercise of the Participants' funding authority to recover the Participants' costs related to the CAT."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n31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n33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n34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n35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CAT NMS Plan contemplates that costs will be allocated across the CAT Reporters on a tiered basis in order to allocate higher costs to those CAT Reporters that contribute more to the costs of creating, implementing and maintaining the CAT </w:t>
      </w:r>
      <w:r>
        <w:rPr>
          <w:rFonts w:ascii="arial" w:eastAsia="arial" w:hAnsi="arial" w:cs="arial"/>
          <w:b/>
          <w:i w:val="0"/>
          <w:strike w:val="0"/>
          <w:noProof w:val="0"/>
          <w:color w:val="000000"/>
          <w:position w:val="0"/>
          <w:sz w:val="20"/>
          <w:u w:val="none"/>
          <w:vertAlign w:val="baseline"/>
        </w:rPr>
        <w:t> [*58858] </w:t>
      </w:r>
      <w:r>
        <w:rPr>
          <w:rFonts w:ascii="arial" w:eastAsia="arial" w:hAnsi="arial" w:cs="arial"/>
          <w:b w:val="0"/>
          <w:i w:val="0"/>
          <w:strike w:val="0"/>
          <w:noProof w:val="0"/>
          <w:color w:val="000000"/>
          <w:position w:val="0"/>
          <w:sz w:val="20"/>
          <w:u w:val="none"/>
          <w:vertAlign w:val="baseline"/>
        </w:rPr>
        <w:t xml:space="preserve"> and lower costs to those that contribute less. n36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n37 Correspondingly, Execution Venues with the highest market shares will be in the top tier, and will be charged higher fees. Execution Venues with the lowest market shares will be in the lowest tier and will be assessed smaller fees for the CAT.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n39 While there are multiple factors that contribute to the cost of building, maintaining and using the CAT, processing and storage of incoming message traffic is one of the most significant cost drivers for the CAT. n40 Thus, the CAT NMS Plan provides that the fees payable by Industry Members (other than Execution Venue ATSs) will be based on the message traffic generated by such Industry Member.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n42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n43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n45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n46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n47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Id.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market share of Execution Venue ATSs exclusively trading OTC Equity Securities as well as the market share of the FINRA ORF by the average shares per trade ratio between NMS Stocks and OTC Equity Securities to adjust for the greater number of shares being traded in the </w:t>
      </w:r>
      <w:r>
        <w:rPr>
          <w:rFonts w:ascii="arial" w:eastAsia="arial" w:hAnsi="arial" w:cs="arial"/>
          <w:b/>
          <w:i w:val="0"/>
          <w:strike w:val="0"/>
          <w:noProof w:val="0"/>
          <w:color w:val="000000"/>
          <w:position w:val="0"/>
          <w:sz w:val="20"/>
          <w:u w:val="none"/>
          <w:vertAlign w:val="baseline"/>
        </w:rPr>
        <w:t> [*58859] </w:t>
      </w:r>
      <w:r>
        <w:rPr>
          <w:rFonts w:ascii="arial" w:eastAsia="arial" w:hAnsi="arial" w:cs="arial"/>
          <w:b w:val="0"/>
          <w:i w:val="0"/>
          <w:strike w:val="0"/>
          <w:noProof w:val="0"/>
          <w:color w:val="000000"/>
          <w:position w:val="0"/>
          <w:sz w:val="20"/>
          <w:u w:val="none"/>
          <w:vertAlign w:val="baseline"/>
        </w:rPr>
        <w:t xml:space="preserv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w:t>
      </w:r>
      <w:r>
        <w:rPr>
          <w:rFonts w:ascii="arial" w:eastAsia="arial" w:hAnsi="arial" w:cs="arial"/>
          <w:b/>
          <w:i w:val="0"/>
          <w:strike w:val="0"/>
          <w:noProof w:val="0"/>
          <w:color w:val="000000"/>
          <w:position w:val="0"/>
          <w:sz w:val="20"/>
          <w:u w:val="none"/>
          <w:vertAlign w:val="baseline"/>
        </w:rPr>
        <w:t> [*58860] </w:t>
      </w:r>
      <w:r>
        <w:rPr>
          <w:rFonts w:ascii="arial" w:eastAsia="arial" w:hAnsi="arial" w:cs="arial"/>
          <w:b w:val="0"/>
          <w:i w:val="0"/>
          <w:strike w:val="0"/>
          <w:noProof w:val="0"/>
          <w:color w:val="000000"/>
          <w:position w:val="0"/>
          <w:sz w:val="20"/>
          <w:u w:val="none"/>
          <w:vertAlign w:val="baseline"/>
        </w:rPr>
        <w:t xml:space="preserve">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6"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 traffic per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above analysis, the Operating Committee approved the following Industry Member Percentages and Industry Member Recovery Allocations: </w:t>
      </w:r>
      <w:r>
        <w:rPr>
          <w:rFonts w:ascii="arial" w:eastAsia="arial" w:hAnsi="arial" w:cs="arial"/>
          <w:b/>
          <w:i w:val="0"/>
          <w:strike w:val="0"/>
          <w:noProof w:val="0"/>
          <w:color w:val="000000"/>
          <w:position w:val="0"/>
          <w:sz w:val="20"/>
          <w:u w:val="none"/>
          <w:vertAlign w:val="baseline"/>
        </w:rPr>
        <w:t> [*58861]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n48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n50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n51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77265 (Mar. 1, 2017, </w:t>
      </w:r>
      <w:hyperlink r:id="rId37"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val="0"/>
          <w:strike w:val="0"/>
          <w:noProof w:val="0"/>
          <w:color w:val="000000"/>
          <w:position w:val="0"/>
          <w:sz w:val="20"/>
          <w:u w:val="none"/>
          <w:vertAlign w:val="baseline"/>
        </w:rPr>
        <w:t> [*58862]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otcmarkets.com,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market share of Execution Venue ATSs exclusively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exclusively trading OTC Equity Securities and FINRA would likely be subject to higher tiers than their operations may warrant. To address this potential concern, the Operating Committee determined to discount the market share of Execution Venue ATSs exclusively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n53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w:t>
      </w:r>
      <w:r>
        <w:rPr>
          <w:rFonts w:ascii="arial" w:eastAsia="arial" w:hAnsi="arial" w:cs="arial"/>
          <w:b/>
          <w:i w:val="0"/>
          <w:strike w:val="0"/>
          <w:noProof w:val="0"/>
          <w:color w:val="000000"/>
          <w:position w:val="0"/>
          <w:sz w:val="20"/>
          <w:u w:val="none"/>
          <w:vertAlign w:val="baseline"/>
        </w:rPr>
        <w:t> [*58863] </w:t>
      </w:r>
      <w:r>
        <w:rPr>
          <w:rFonts w:ascii="arial" w:eastAsia="arial" w:hAnsi="arial" w:cs="arial"/>
          <w:b w:val="0"/>
          <w:i w:val="0"/>
          <w:strike w:val="0"/>
          <w:noProof w:val="0"/>
          <w:color w:val="000000"/>
          <w:position w:val="0"/>
          <w:sz w:val="20"/>
          <w:u w:val="none"/>
          <w:vertAlign w:val="baseline"/>
        </w:rPr>
        <w:t xml:space="preserve">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market share of Execution Venue ATSs exclusively trading OTC Equity Securities,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 Processor costs relate to costs incurred and to be incurred through November 21, 2017 by the Plan Processor and consist of the Plan Processor's current estimates of average yearly ongoing costs, including </w:t>
      </w:r>
      <w:r>
        <w:rPr>
          <w:rFonts w:ascii="arial" w:eastAsia="arial" w:hAnsi="arial" w:cs="arial"/>
          <w:b/>
          <w:i w:val="0"/>
          <w:strike w:val="0"/>
          <w:noProof w:val="0"/>
          <w:color w:val="000000"/>
          <w:position w:val="0"/>
          <w:sz w:val="20"/>
          <w:u w:val="none"/>
          <w:vertAlign w:val="baseline"/>
        </w:rPr>
        <w:t> [*58865] </w:t>
      </w:r>
      <w:r>
        <w:rPr>
          <w:rFonts w:ascii="arial" w:eastAsia="arial" w:hAnsi="arial" w:cs="arial"/>
          <w:b w:val="0"/>
          <w:i w:val="0"/>
          <w:strike w:val="0"/>
          <w:noProof w:val="0"/>
          <w:color w:val="000000"/>
          <w:position w:val="0"/>
          <w:sz w:val="20"/>
          <w:u w:val="none"/>
          <w:vertAlign w:val="baseline"/>
        </w:rPr>
        <w:t xml:space="preserve">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8011-01-P </w:t>
      </w:r>
      <w:r>
        <w:rPr>
          <w:rFonts w:ascii="arial" w:eastAsia="arial" w:hAnsi="arial" w:cs="arial"/>
          <w:b/>
          <w:i w:val="0"/>
          <w:strike w:val="0"/>
          <w:noProof w:val="0"/>
          <w:color w:val="000000"/>
          <w:position w:val="0"/>
          <w:sz w:val="20"/>
          <w:u w:val="none"/>
          <w:vertAlign w:val="baseline"/>
        </w:rPr>
        <w:t> [*58867] </w:t>
      </w:r>
    </w:p>
    <w:p>
      <w:pPr>
        <w:keepNext w:val="0"/>
        <w:spacing w:before="200" w:after="0" w:line="260" w:lineRule="atLeast"/>
        <w:ind w:left="0" w:right="0" w:firstLine="0"/>
        <w:jc w:val="both"/>
      </w:pPr>
      <w:r>
        <w:pict>
          <v:shape id="_x0000_i1028" type="#_x0000_t75" style="width:432.06pt;height:514.57pt">
            <v:imagedata r:id="rId3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pict>
          <v:shape id="_x0000_i1029" type="#_x0000_t75" style="width:432.06pt;height:260.29pt">
            <v:imagedata r:id="rId39"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[*58869]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0" type="#_x0000_t75" style="width:432.06pt;height:156.77pt">
            <v:imagedata r:id="rId40"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Excess(57M)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11.1(c) of the CAT NMS Plan, to fund the development and </w:t>
      </w:r>
      <w:r>
        <w:rPr>
          <w:rFonts w:ascii="arial" w:eastAsia="arial" w:hAnsi="arial" w:cs="arial"/>
          <w:b/>
          <w:i w:val="0"/>
          <w:strike w:val="0"/>
          <w:noProof w:val="0"/>
          <w:color w:val="000000"/>
          <w:position w:val="0"/>
          <w:sz w:val="20"/>
          <w:u w:val="none"/>
          <w:vertAlign w:val="baseline"/>
        </w:rPr>
        <w:t> [*58870] </w:t>
      </w:r>
      <w:r>
        <w:rPr>
          <w:rFonts w:ascii="arial" w:eastAsia="arial" w:hAnsi="arial" w:cs="arial"/>
          <w:b w:val="0"/>
          <w:i w:val="0"/>
          <w:strike w:val="0"/>
          <w:noProof w:val="0"/>
          <w:color w:val="000000"/>
          <w:position w:val="0"/>
          <w:sz w:val="20"/>
          <w:u w:val="none"/>
          <w:vertAlign w:val="baseline"/>
        </w:rPr>
        <w:t xml:space="preserve">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n58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n59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SEC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the Consolidated Audit Trail Funding Fees to impose the CAT Fees determined by the Operating Committee on SRO's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4.5 (Consolidated Audit Trail--Definitions).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n60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Equity ATSs exclusively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Note that no fee schedule is provided for Execution Venue ATSs that execute transactions in Listed Options, as no such Execution Venue ATSs currently exist due to trading restrictions related to Listed Options. </w:t>
      </w:r>
      <w:r>
        <w:rPr>
          <w:rFonts w:ascii="arial" w:eastAsia="arial" w:hAnsi="arial" w:cs="arial"/>
          <w:b/>
          <w:i w:val="0"/>
          <w:strike w:val="0"/>
          <w:noProof w:val="0"/>
          <w:color w:val="000000"/>
          <w:position w:val="0"/>
          <w:sz w:val="20"/>
          <w:u w:val="none"/>
          <w:vertAlign w:val="baseline"/>
        </w:rPr>
        <w:t> [*58872]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SRO will provide Industry Members with details regarding the manner of payment of CAT Fees by Regulatory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SRO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SRO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n62 The SEC suspended the Original Proposal and instituted proceedings to determine whether to approve or disapprove it. n63 Pursuant to those proceedings, additional comment letters were submitted regarding the proposed funding model. n64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makes the following changes to the Original Proposal: (1) Adds two additional CAT Fee tiers for Equity Execution Venues; (2) discounts the market share of Execution Venue ATSs exclusively trading OTC Equity Securities as well as the market share of the FINRA ORF by the average shares per trade ratio between NMS Stocks and OTC Equity Securities (calculated as 0.17% based on available data from the second quarter of 2017) when calculating the market share of Execution Venue ATSs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val="0"/>
          <w:strike w:val="0"/>
          <w:noProof w:val="0"/>
          <w:color w:val="000000"/>
          <w:position w:val="0"/>
          <w:sz w:val="20"/>
          <w:u w:val="none"/>
          <w:vertAlign w:val="baseline"/>
        </w:rPr>
        <w:t> [*58873]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n65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n66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n67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n68 To address this concern, the Operating Committee proposes to discount the market share of Execution Venue ATSs exclusively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n69 The Operating Committee proposes to address this concern in two ways. First, the Operating Committee proposes to increase the number of Equity Execution Venue tiers, as discussed above. Second, the Operating Committee determined to discount the market share of Execution Venue ATSs exclusively trading OTC Equity Securities as well as the market share of the FINRA ORF when calculating their tier placement. Because the disparity in share volume between Execution Venues trading in OTC </w:t>
      </w:r>
      <w:r>
        <w:rPr>
          <w:rFonts w:ascii="arial" w:eastAsia="arial" w:hAnsi="arial" w:cs="arial"/>
          <w:b/>
          <w:i w:val="0"/>
          <w:strike w:val="0"/>
          <w:noProof w:val="0"/>
          <w:color w:val="000000"/>
          <w:position w:val="0"/>
          <w:sz w:val="20"/>
          <w:u w:val="none"/>
          <w:vertAlign w:val="baseline"/>
        </w:rPr>
        <w:t> [*58874] </w:t>
      </w:r>
      <w:r>
        <w:rPr>
          <w:rFonts w:ascii="arial" w:eastAsia="arial" w:hAnsi="arial" w:cs="arial"/>
          <w:b w:val="0"/>
          <w:i w:val="0"/>
          <w:strike w:val="0"/>
          <w:noProof w:val="0"/>
          <w:color w:val="000000"/>
          <w:position w:val="0"/>
          <w:sz w:val="20"/>
          <w:u w:val="none"/>
          <w:vertAlign w:val="baseline"/>
        </w:rPr>
        <w:t xml:space="preserve"> Equity Securities and NMS Stocks is based on the different number of shares per trade for OTC Equity Securities and NMS Stocks, the Operating Committee believes that discounting the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exclusively trading OTC Equity Securities to tiers for smaller Execution Venues and with lower fees. For example, under the Original Proposal, one Execution Venue ATS exclusively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exclusively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exclusively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n70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(b)(2) of the proposed fee schedule to indicate that the market share for Equity ATSs exclusively trading OTC Equity Securities as well as the market share of the FINRA ORF would be discounted. In addition, as discussed above, to address concerns related to smaller ATSs, including those that exclusively trade OTC Equity Securities, SRO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n71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n72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w:t>
      </w:r>
      <w:r>
        <w:rPr>
          <w:rFonts w:ascii="arial" w:eastAsia="arial" w:hAnsi="arial" w:cs="arial"/>
          <w:b/>
          <w:i w:val="0"/>
          <w:strike w:val="0"/>
          <w:noProof w:val="0"/>
          <w:color w:val="000000"/>
          <w:position w:val="0"/>
          <w:sz w:val="20"/>
          <w:u w:val="none"/>
          <w:vertAlign w:val="baseline"/>
        </w:rPr>
        <w:t> [*58875] </w:t>
      </w:r>
      <w:r>
        <w:rPr>
          <w:rFonts w:ascii="arial" w:eastAsia="arial" w:hAnsi="arial" w:cs="arial"/>
          <w:b w:val="0"/>
          <w:i w:val="0"/>
          <w:strike w:val="0"/>
          <w:noProof w:val="0"/>
          <w:color w:val="000000"/>
          <w:position w:val="0"/>
          <w:sz w:val="20"/>
          <w:u w:val="none"/>
          <w:vertAlign w:val="baseline"/>
        </w:rPr>
        <w:t xml:space="preserv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n73 The proposed discounts recognize the different types of trading operations presented by Options Market Makers and equities market makers, as well as the value of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(b)(1) of the proposed fee schedule to indicate that the message traffic related to equity market maker quotes and Options Market Maker quotes would be discounted. In addition, SRO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also determined to adjust the allocation of CAT costs between Equity Execution Venues and Options Execution Venues to enhance comparability at the individual entity level. In the Original </w:t>
      </w:r>
      <w:r>
        <w:rPr>
          <w:rFonts w:ascii="arial" w:eastAsia="arial" w:hAnsi="arial" w:cs="arial"/>
          <w:b/>
          <w:i w:val="0"/>
          <w:strike w:val="0"/>
          <w:noProof w:val="0"/>
          <w:color w:val="000000"/>
          <w:position w:val="0"/>
          <w:sz w:val="20"/>
          <w:u w:val="none"/>
          <w:vertAlign w:val="baseline"/>
        </w:rPr>
        <w:t> [*58876] </w:t>
      </w:r>
      <w:r>
        <w:rPr>
          <w:rFonts w:ascii="arial" w:eastAsia="arial" w:hAnsi="arial" w:cs="arial"/>
          <w:b w:val="0"/>
          <w:i w:val="0"/>
          <w:strike w:val="0"/>
          <w:noProof w:val="0"/>
          <w:color w:val="000000"/>
          <w:position w:val="0"/>
          <w:sz w:val="20"/>
          <w:u w:val="none"/>
          <w:vertAlign w:val="baseline"/>
        </w:rPr>
        <w:t xml:space="preserve">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n75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Securities Exchange Act Rel. No. 67457 (Jul 18, 2012), </w:t>
      </w:r>
      <w:hyperlink r:id="rId41"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paragraphs (b)(1) and (2) of the proposed fee schedule to reflect the changes discussed in this section. Specifically, SRO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charge Execution Venues based on market share and Industry Members (other than Execution Venue ATSs) based on message traffic. Commenters questioned the use of the two different metrics for calculating CAT Fees. n76 The </w:t>
      </w:r>
      <w:r>
        <w:rPr>
          <w:rFonts w:ascii="arial" w:eastAsia="arial" w:hAnsi="arial" w:cs="arial"/>
          <w:b/>
          <w:i w:val="0"/>
          <w:strike w:val="0"/>
          <w:noProof w:val="0"/>
          <w:color w:val="000000"/>
          <w:position w:val="0"/>
          <w:sz w:val="20"/>
          <w:u w:val="none"/>
          <w:vertAlign w:val="baseline"/>
        </w:rPr>
        <w:t> [*58877] </w:t>
      </w:r>
      <w:r>
        <w:rPr>
          <w:rFonts w:ascii="arial" w:eastAsia="arial" w:hAnsi="arial" w:cs="arial"/>
          <w:b w:val="0"/>
          <w:i w:val="0"/>
          <w:strike w:val="0"/>
          <w:noProof w:val="0"/>
          <w:color w:val="000000"/>
          <w:position w:val="0"/>
          <w:sz w:val="20"/>
          <w:u w:val="none"/>
          <w:vertAlign w:val="baseline"/>
        </w:rPr>
        <w:t xml:space="preserv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n77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SRO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w:t>
      </w:r>
      <w:r>
        <w:rPr>
          <w:rFonts w:ascii="arial" w:eastAsia="arial" w:hAnsi="arial" w:cs="arial"/>
          <w:b/>
          <w:i w:val="0"/>
          <w:strike w:val="0"/>
          <w:noProof w:val="0"/>
          <w:color w:val="000000"/>
          <w:position w:val="0"/>
          <w:sz w:val="20"/>
          <w:u w:val="none"/>
          <w:vertAlign w:val="baseline"/>
        </w:rPr>
        <w:t> [*58878] </w:t>
      </w:r>
      <w:r>
        <w:rPr>
          <w:rFonts w:ascii="arial" w:eastAsia="arial" w:hAnsi="arial" w:cs="arial"/>
          <w:b w:val="0"/>
          <w:i w:val="0"/>
          <w:strike w:val="0"/>
          <w:noProof w:val="0"/>
          <w:color w:val="000000"/>
          <w:position w:val="0"/>
          <w:sz w:val="20"/>
          <w:u w:val="none"/>
          <w:vertAlign w:val="baseline"/>
        </w:rPr>
        <w:t xml:space="preserv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n79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n80 The Participants previously addressed this concern in its letters responding to comments on the Plan and the CAT Fees. n81 As discussed in those letters, the Participants discussed the funding model with the Development Advisory Group ("DAG"), the advisory group formed to assist in the development of the Plan, during its original development. n82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n83 The Participants previously responded to this concern in both the Plan Response Letter and the Fee Rule Response Letter. n84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n85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authority of the Operating Committee to impose CAT Fees on Industry Members. n86 The Participants previously responded to this same comment in the Plan Response Letter and the Fee Rule Response Letter. n87 As the Participants previously noted, SEC Rule 613 specifically contemplates broker-dealers contributing to the funding of the CAT. In addition, as noted by the SEC, the CAT "substantially enhance[s] the ability of the SROs and the Commission to oversee today's securities markets," n88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the proposed rule change is consistent with the provisions of Section 6(b)(5) of the Act, n89 which require, among other things, that the SRO rules must be designed to prevent fraudulent and manipulative acts and practices, to promote just and equitable principles of trade, and, in general, to protect investors and the public interest, and not designed to permit unfair discrimination between customers, issuers, brokers and dealer, and Section 6(b)(4) of the Act, n90 which requires that SRO rules provide for the equitable allocation of reasonable dues, fees, and other charges among members and issuers and other persons using its facilities. As discussed above, the SEC approved the bifurcated, tiered, fixed fee funding model in the CAT NMS Plan, finding it was reasonable and that it equitably allocated fees among Participants and Industry Members. SRO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42"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2"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[*58879]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this proposal is consistent with the Act because it implements, interprets or clarifies the provisions of the Plan, and is designed to assist SRO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n91 To the extent that this proposal implements, interprets or clarifies the Plan and applies specific requirements to Industry Members, SRO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SRO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SRO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SRO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SRO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6(b)(8) of the Act n92 require that SRO rules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SRO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SRO notes that the proposed rule change implements provisions of the CAT NMS Plan approved by the Commission, and is designed to assist SRO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42" w:history="1">
        <w:r>
          <w:rPr>
            <w:rFonts w:ascii="arial" w:eastAsia="arial" w:hAnsi="arial" w:cs="arial"/>
            <w:b w:val="0"/>
            <w:i/>
            <w:strike w:val="0"/>
            <w:noProof w:val="0"/>
            <w:color w:val="0077CC"/>
            <w:position w:val="0"/>
            <w:sz w:val="20"/>
            <w:u w:val="single"/>
            <w:vertAlign w:val="baseline"/>
          </w:rPr>
          <w:t>15 U.S.C. 78f(b)(8)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SRO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SRO does not believe that the CAT Fees would have a disproportionate effect on smaller or larger CAT Reporters. In addition, ATSs and exchanges will pay the same fees based on market share. Therefore, SRO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SRO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has set forth responses to comments received regarding the Original Proposal in Section 3(a)(4)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are invited to submit written data, views, and arguments concerning the foregoing, </w:t>
      </w:r>
      <w:r>
        <w:rPr>
          <w:rFonts w:ascii="arial" w:eastAsia="arial" w:hAnsi="arial" w:cs="arial"/>
          <w:b/>
          <w:i w:val="0"/>
          <w:strike w:val="0"/>
          <w:noProof w:val="0"/>
          <w:color w:val="000000"/>
          <w:position w:val="0"/>
          <w:sz w:val="20"/>
          <w:u w:val="none"/>
          <w:vertAlign w:val="baseline"/>
        </w:rPr>
        <w:t> [*58880] </w:t>
      </w:r>
      <w:r>
        <w:rPr>
          <w:rFonts w:ascii="arial" w:eastAsia="arial" w:hAnsi="arial" w:cs="arial"/>
          <w:b w:val="0"/>
          <w:i w:val="0"/>
          <w:strike w:val="0"/>
          <w:noProof w:val="0"/>
          <w:color w:val="000000"/>
          <w:position w:val="0"/>
          <w:sz w:val="20"/>
          <w:u w:val="none"/>
          <w:vertAlign w:val="baseline"/>
        </w:rPr>
        <w:t xml:space="preserve"> including whether Amendment No. 1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n97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Section 11.2(e) of the CAT NMS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 </w:t>
      </w:r>
      <w:r>
        <w:rPr>
          <w:rFonts w:ascii="arial" w:eastAsia="arial" w:hAnsi="arial" w:cs="arial"/>
          <w:b/>
          <w:i w:val="0"/>
          <w:strike w:val="0"/>
          <w:noProof w:val="0"/>
          <w:color w:val="000000"/>
          <w:position w:val="0"/>
          <w:sz w:val="20"/>
          <w:u w:val="none"/>
          <w:vertAlign w:val="baseline"/>
        </w:rPr>
        <w:t> [*58881]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4"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SR-BatsEDGA-2017-13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SR-BatsEDGA-2017-13. This file number should be included on the subject line if email is used. To help the Commission process and review your comments more efficiently, please use only one method. The Commission will post all comments on the Commission's internet website (</w:t>
      </w:r>
      <w:hyperlink r:id="rId4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such filing will also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SR-BatsEDGA-2017-13 Amendment No. 1 and should be submitted on or before January 4,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45"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2017-27011 Filed 12-13-17;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58854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ec.gov/comments/sr-batsbzx-2017-38/batsbzx201738-1788188-153228.pdf" TargetMode="External" /><Relationship Id="rId11" Type="http://schemas.openxmlformats.org/officeDocument/2006/relationships/hyperlink" Target="https://www.sec.gov/comments/sr-cboe-2017-040/cboe2017040-1799253-153675.pdf" TargetMode="External" /><Relationship Id="rId12" Type="http://schemas.openxmlformats.org/officeDocument/2006/relationships/hyperlink" Target="https://www.sec.gov/comments/sr-finra-2017-011/finra2017011-1801717-153703.pdf" TargetMode="External" /><Relationship Id="rId13" Type="http://schemas.openxmlformats.org/officeDocument/2006/relationships/hyperlink" Target="https://www.sec.gov/comments/sr-cboe-2017-040/cboe2017040-1819670-154195.pdf" TargetMode="External" /><Relationship Id="rId14" Type="http://schemas.openxmlformats.org/officeDocument/2006/relationships/hyperlink" Target="https://www.sec.gov/comments/sr-finra-2017-011/finra2017011-1822454-154283.pdf" TargetMode="External" /><Relationship Id="rId15" Type="http://schemas.openxmlformats.org/officeDocument/2006/relationships/hyperlink" Target="https://www.sec.gov/comments/sr-batsedgx-2017-22/batsedgx201722-154443.pdf" TargetMode="External" /><Relationship Id="rId16" Type="http://schemas.openxmlformats.org/officeDocument/2006/relationships/hyperlink" Target="https://www.sec.gov/comments/sr-batsbzx-2017-38/batsbzx201738-1785545-153152.htm" TargetMode="External" /><Relationship Id="rId17" Type="http://schemas.openxmlformats.org/officeDocument/2006/relationships/hyperlink" Target="https://www.sec.gov/comments/sr-batsbyx-2017-11/batsbyx201711-1832632-154584.pdf" TargetMode="External" /><Relationship Id="rId18" Type="http://schemas.openxmlformats.org/officeDocument/2006/relationships/hyperlink" Target="https://advance.lexis.com/api/document?collection=administrative-codes&amp;id=urn:contentItem:5NYN-83K0-006W-848X-00000-00&amp;context=" TargetMode="External" /><Relationship Id="rId19" Type="http://schemas.openxmlformats.org/officeDocument/2006/relationships/hyperlink" Target="https://www.sec.gov/comments/sr-batsbyx-2017-11/batsbyx201711-2148338-157737.pdf"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60-157740.pdf" TargetMode="External" /><Relationship Id="rId21" Type="http://schemas.openxmlformats.org/officeDocument/2006/relationships/hyperlink" Target="https://www.sec.gov/comments/sr-batsbyx-2017-11/batsbyx201711-2151228-157745.pdf" TargetMode="External" /><Relationship Id="rId22" Type="http://schemas.openxmlformats.org/officeDocument/2006/relationships/hyperlink" Target="https://www.sec.gov/comments/sr-batsbyx-2017-11/batsbyx201711-2150977-157744.pdf" TargetMode="External" /><Relationship Id="rId23" Type="http://schemas.openxmlformats.org/officeDocument/2006/relationships/hyperlink" Target="https://www.sec.gov/comments/sr-batsbyx-2017-11/batsbyx201711-2150818-157743.pdf" TargetMode="External" /><Relationship Id="rId24" Type="http://schemas.openxmlformats.org/officeDocument/2006/relationships/hyperlink" Target="https://www.sec.gov/comments/sr-finra-2017-011/finra2017011-2214568-160619.pdf" TargetMode="External" /><Relationship Id="rId25" Type="http://schemas.openxmlformats.org/officeDocument/2006/relationships/hyperlink" Target="https://www.sec.gov/comments/sr-finra-2017-011/finra2017011-2238648-160830.pdf" TargetMode="External" /><Relationship Id="rId26" Type="http://schemas.openxmlformats.org/officeDocument/2006/relationships/hyperlink" Target="https://www.sec.gov/comments/sr-batsbyx-2017-11/batsbyx201711-2674608-161412.pdf" TargetMode="External" /><Relationship Id="rId27" Type="http://schemas.openxmlformats.org/officeDocument/2006/relationships/hyperlink" Target="https://advance.lexis.com/api/document?collection=administrative-codes&amp;id=urn:contentItem:5PYV-R2X0-006W-81MM-00000-00&amp;context=" TargetMode="External" /><Relationship Id="rId28" Type="http://schemas.openxmlformats.org/officeDocument/2006/relationships/hyperlink" Target="http://www.markets.cboe.com" TargetMode="External" /><Relationship Id="rId29" Type="http://schemas.openxmlformats.org/officeDocument/2006/relationships/hyperlink" Target="https://advance.lexis.com/api/document?collection=administrative-codes&amp;id=urn:contentItem:5N4M-G290-006W-83WC-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7M-0R40-006W-8021-00000-00&amp;context=" TargetMode="External" /><Relationship Id="rId31" Type="http://schemas.openxmlformats.org/officeDocument/2006/relationships/hyperlink" Target="https://advance.lexis.com/api/document?collection=administrative-codes&amp;id=urn:contentItem:5MST-XP80-006W-850P-00000-00&amp;context=" TargetMode="External" /><Relationship Id="rId32" Type="http://schemas.openxmlformats.org/officeDocument/2006/relationships/hyperlink" Target="https://advance.lexis.com/api/document?collection=statutes-legislation&amp;id=urn:contentItem:4YF7-GK71-NRF4-4360-00000-00&amp;context=" TargetMode="External" /><Relationship Id="rId33" Type="http://schemas.openxmlformats.org/officeDocument/2006/relationships/hyperlink" Target="https://advance.lexis.com/api/document?collection=administrative-codes&amp;id=urn:contentItem:5MJ8-4SN0-008G-Y37V-00000-00&amp;context=" TargetMode="External" /><Relationship Id="rId34" Type="http://schemas.openxmlformats.org/officeDocument/2006/relationships/hyperlink" Target="https://advance.lexis.com/api/document?collection=administrative-codes&amp;id=urn:contentItem:5JSY-P7D0-006W-8255-00000-00&amp;context=" TargetMode="External" /><Relationship Id="rId35" Type="http://schemas.openxmlformats.org/officeDocument/2006/relationships/hyperlink" Target="https://advance.lexis.com/api/document?collection=administrative-codes&amp;id=urn:contentItem:5M7G-5J10-006W-82HT-00000-00&amp;context=" TargetMode="External" /><Relationship Id="rId36" Type="http://schemas.openxmlformats.org/officeDocument/2006/relationships/image" Target="media/image1.png" /><Relationship Id="rId37" Type="http://schemas.openxmlformats.org/officeDocument/2006/relationships/hyperlink" Target="https://advance.lexis.com/api/document?collection=administrative-codes&amp;id=urn:contentItem:5J7T-V0M0-006W-8422-00000-00&amp;context=" TargetMode="External" /><Relationship Id="rId38" Type="http://schemas.openxmlformats.org/officeDocument/2006/relationships/image" Target="media/image2.png" /><Relationship Id="rId39" Type="http://schemas.openxmlformats.org/officeDocument/2006/relationships/image" Target="media/image3.png" /><Relationship Id="rId4" Type="http://schemas.openxmlformats.org/officeDocument/2006/relationships/header" Target="header1.xml" /><Relationship Id="rId40" Type="http://schemas.openxmlformats.org/officeDocument/2006/relationships/image" Target="media/image4.png" /><Relationship Id="rId41" Type="http://schemas.openxmlformats.org/officeDocument/2006/relationships/hyperlink" Target="https://advance.lexis.com/api/document?collection=administrative-codes&amp;id=urn:contentItem:567K-XK60-006W-83N3-00000-00&amp;context=" TargetMode="External" /><Relationship Id="rId42" Type="http://schemas.openxmlformats.org/officeDocument/2006/relationships/hyperlink" Target="https://advance.lexis.com/api/document?collection=statutes-legislation&amp;id=urn:contentItem:4YF7-GPC1-NRF4-4309-00000-00&amp;context=" TargetMode="External" /><Relationship Id="rId43" Type="http://schemas.openxmlformats.org/officeDocument/2006/relationships/hyperlink" Target="http://www.sec.gov/rules/sro.shtml" TargetMode="External" /><Relationship Id="rId44" Type="http://schemas.openxmlformats.org/officeDocument/2006/relationships/hyperlink" Target="mailto:rule-comments@sec.gov" TargetMode="External" /><Relationship Id="rId45" Type="http://schemas.openxmlformats.org/officeDocument/2006/relationships/hyperlink" Target="https://advance.lexis.com/api/document?collection=administrative-codes&amp;id=urn:contentItem:5SPP-2120-008G-Y2ND-00000-00&amp;context=" TargetMode="External" /><Relationship Id="rId46" Type="http://schemas.openxmlformats.org/officeDocument/2006/relationships/numbering" Target="numbering.xm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5T-78B0-006W-847N-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58827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71564408</vt:lpwstr>
  </property>
  <property fmtid="{D5CDD505-2E9C-101B-9397-08002B2CF9AE}" pid="3" name="LADocCount">
    <vt:lpwstr>1</vt:lpwstr>
  </property>
  <property fmtid="{D5CDD505-2E9C-101B-9397-08002B2CF9AE}" pid="4" name="UserPermID">
    <vt:lpwstr>urn:user:PA185916758</vt:lpwstr>
  </property>
</Properties>
</file>