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58944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58944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PHLX LLC; Notice of Filing of Amendment No. 2 to a Proposed Rule Change To Adopt Rule 7004 and Chapter XV, Section 11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34-82288; File No. SR-PHLX-2017-037]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2017, Nasdaq PHLX LLC ("Phlx" or "Exchange" or "BX")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24,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w:t>
      </w:r>
      <w:r>
        <w:rPr>
          <w:rFonts w:ascii="arial" w:eastAsia="arial" w:hAnsi="arial" w:cs="arial"/>
          <w:b/>
          <w:i w:val="0"/>
          <w:strike w:val="0"/>
          <w:noProof w:val="0"/>
          <w:color w:val="000000"/>
          <w:position w:val="0"/>
          <w:sz w:val="20"/>
          <w:u w:val="none"/>
          <w:vertAlign w:val="baseline"/>
        </w:rPr>
        <w:t> [*58945] </w:t>
      </w:r>
      <w:r>
        <w:rPr>
          <w:rFonts w:ascii="arial" w:eastAsia="arial" w:hAnsi="arial" w:cs="arial"/>
          <w:b w:val="0"/>
          <w:i w:val="0"/>
          <w:strike w:val="0"/>
          <w:noProof w:val="0"/>
          <w:color w:val="000000"/>
          <w:position w:val="0"/>
          <w:sz w:val="20"/>
          <w:u w:val="none"/>
          <w:vertAlign w:val="baseline"/>
        </w:rPr>
        <w:t xml:space="preserve"> from the Participants. n8 On November 6, 2017, the Exchange filed Amendment No. 1 to the proposed rule change. n9 On November 9, 2017, the Commission extended the time period within which to approve the proposed rule change or disapprove the proposed rule change to January 14, 2018. n10 On December 4, 2017, the Exchange filed Amendment No. 2 to the proposed rule change, as described in Items I and II below, which Items have been prepared by the Exchange. n11 The Commission is publishing this notice to solicit comments from interested persons on Amendment No.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80725 (May 18, 2017), </w:t>
      </w:r>
      <w:r>
        <w:rPr>
          <w:rFonts w:ascii="arial" w:eastAsia="arial" w:hAnsi="arial" w:cs="arial"/>
          <w:b w:val="0"/>
          <w:i/>
          <w:strike w:val="0"/>
          <w:noProof w:val="0"/>
          <w:color w:val="000000"/>
          <w:position w:val="0"/>
          <w:sz w:val="20"/>
          <w:u w:val="none"/>
          <w:vertAlign w:val="baseline"/>
        </w:rPr>
        <w:t>82 FR 23935</w:t>
      </w:r>
      <w:r>
        <w:rPr>
          <w:rFonts w:ascii="arial" w:eastAsia="arial" w:hAnsi="arial" w:cs="arial"/>
          <w:b w:val="0"/>
          <w:i w:val="0"/>
          <w:strike w:val="0"/>
          <w:noProof w:val="0"/>
          <w:color w:val="000000"/>
          <w:position w:val="0"/>
          <w:sz w:val="20"/>
          <w:u w:val="none"/>
          <w:vertAlign w:val="baseline"/>
        </w:rPr>
        <w:t xml:space="preserve"> (May 24,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0"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8"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Amendment No. 1 to the proposed rule change replaced and superseded the Original Proposal in its entirety. Amendment No. 1 is available on the Commission's website for Phlx at: </w:t>
      </w:r>
      <w:hyperlink r:id="rId27" w:history="1">
        <w:r>
          <w:rPr>
            <w:rFonts w:ascii="arial" w:eastAsia="arial" w:hAnsi="arial" w:cs="arial"/>
            <w:b w:val="0"/>
            <w:i/>
            <w:strike w:val="0"/>
            <w:noProof w:val="0"/>
            <w:color w:val="0077CC"/>
            <w:position w:val="0"/>
            <w:sz w:val="20"/>
            <w:u w:val="single"/>
            <w:vertAlign w:val="baseline"/>
          </w:rPr>
          <w:t>https://www.sec.gov/comments/sr-phlx-2017-37/phlx201737-2669581-161442.pdf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Amendment No. 2 replaces and supersedes Amendment No. 1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12, 2017, Nasdaq PHLX LLC filed with the Securities and Exchange Commission ("Commission" or "SEC") proposed rule change SR-Phlx-2017-37 (the "Original Proposal"), pursuant to which the Exchange proposed to adopt a fee schedule to establish the fees for Industry Members related to the National Market System Plan Governing the Consolidated Audit Trail (the "CAT NMS Plan" or "Plan"). n12 On November 6, 2017, the Exchange filed an amendment to the Original Proposal ("Amendment No. 1"), which replaced the Original Proposal in its entirety. The Exchange is now filing this Amendment No. 2 to replace Amendment No. 1 in its entirety. This Amendment No. 2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Amendment, the Exchange is including </w:t>
      </w:r>
      <w:r>
        <w:rPr>
          <w:rFonts w:ascii="arial" w:eastAsia="arial" w:hAnsi="arial" w:cs="arial"/>
          <w:b w:val="0"/>
          <w:i/>
          <w:strike w:val="0"/>
          <w:noProof w:val="0"/>
          <w:color w:val="000000"/>
          <w:position w:val="0"/>
          <w:sz w:val="20"/>
          <w:u w:val="none"/>
          <w:vertAlign w:val="baseline"/>
        </w:rPr>
        <w:t>Exhibit 4,</w:t>
      </w:r>
      <w:r>
        <w:rPr>
          <w:rFonts w:ascii="arial" w:eastAsia="arial" w:hAnsi="arial" w:cs="arial"/>
          <w:b w:val="0"/>
          <w:i w:val="0"/>
          <w:strike w:val="0"/>
          <w:noProof w:val="0"/>
          <w:color w:val="000000"/>
          <w:position w:val="0"/>
          <w:sz w:val="20"/>
          <w:u w:val="none"/>
          <w:vertAlign w:val="baseline"/>
        </w:rPr>
        <w:t xml:space="preserve"> which reflects the changes to the text of the proposed rule change as set forth in the Original Proposal, and </w:t>
      </w:r>
      <w:r>
        <w:rPr>
          <w:rFonts w:ascii="arial" w:eastAsia="arial" w:hAnsi="arial" w:cs="arial"/>
          <w:b w:val="0"/>
          <w:i/>
          <w:strike w:val="0"/>
          <w:noProof w:val="0"/>
          <w:color w:val="000000"/>
          <w:position w:val="0"/>
          <w:sz w:val="20"/>
          <w:u w:val="none"/>
          <w:vertAlign w:val="baseline"/>
        </w:rPr>
        <w:t>Exhibit 5,</w:t>
      </w:r>
      <w:r>
        <w:rPr>
          <w:rFonts w:ascii="arial" w:eastAsia="arial" w:hAnsi="arial" w:cs="arial"/>
          <w:b w:val="0"/>
          <w:i w:val="0"/>
          <w:strike w:val="0"/>
          <w:noProof w:val="0"/>
          <w:color w:val="000000"/>
          <w:position w:val="0"/>
          <w:sz w:val="20"/>
          <w:u w:val="none"/>
          <w:vertAlign w:val="baseline"/>
        </w:rPr>
        <w:t xml:space="preserve"> which reflects all proposed changes to the Exchange's current rule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w:t>
      </w:r>
      <w:r>
        <w:rPr>
          <w:rFonts w:ascii="arial" w:eastAsia="arial" w:hAnsi="arial" w:cs="arial"/>
          <w:b/>
          <w:i w:val="0"/>
          <w:strike w:val="0"/>
          <w:noProof w:val="0"/>
          <w:color w:val="000000"/>
          <w:position w:val="0"/>
          <w:sz w:val="20"/>
          <w:u w:val="none"/>
          <w:vertAlign w:val="baseline"/>
        </w:rPr>
        <w:t> [*58946] </w:t>
      </w:r>
      <w:r>
        <w:rPr>
          <w:rFonts w:ascii="arial" w:eastAsia="arial" w:hAnsi="arial" w:cs="arial"/>
          <w:b w:val="0"/>
          <w:i w:val="0"/>
          <w:strike w:val="0"/>
          <w:noProof w:val="0"/>
          <w:color w:val="000000"/>
          <w:position w:val="0"/>
          <w:sz w:val="20"/>
          <w:u w:val="none"/>
          <w:vertAlign w:val="baseline"/>
        </w:rPr>
        <w:t xml:space="preserve"> of the Exchange Act any such CAT Fees applicable to Industry Members that the Operating Committee approves. n24 Accordingly, the Exchange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80248 (March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Release No. 80326 (March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79902 (January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80725 (May 18, 2017), </w:t>
      </w:r>
      <w:r>
        <w:rPr>
          <w:rFonts w:ascii="arial" w:eastAsia="arial" w:hAnsi="arial" w:cs="arial"/>
          <w:b w:val="0"/>
          <w:i/>
          <w:strike w:val="0"/>
          <w:noProof w:val="0"/>
          <w:color w:val="000000"/>
          <w:position w:val="0"/>
          <w:sz w:val="20"/>
          <w:u w:val="none"/>
          <w:vertAlign w:val="baseline"/>
        </w:rPr>
        <w:t>82 FR 23935</w:t>
      </w:r>
      <w:r>
        <w:rPr>
          <w:rFonts w:ascii="arial" w:eastAsia="arial" w:hAnsi="arial" w:cs="arial"/>
          <w:b w:val="0"/>
          <w:i w:val="0"/>
          <w:strike w:val="0"/>
          <w:noProof w:val="0"/>
          <w:color w:val="000000"/>
          <w:position w:val="0"/>
          <w:sz w:val="20"/>
          <w:u w:val="none"/>
          <w:vertAlign w:val="baseline"/>
        </w:rPr>
        <w:t xml:space="preserve"> (May 24, 2017) (SR-PHLX-2017-37).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8"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share of the FINRA ORF will be discounted. Similarly, market share for Options Execution Venues will be determined by calculating each Options </w:t>
      </w:r>
      <w:r>
        <w:rPr>
          <w:rFonts w:ascii="arial" w:eastAsia="arial" w:hAnsi="arial" w:cs="arial"/>
          <w:b/>
          <w:i w:val="0"/>
          <w:strike w:val="0"/>
          <w:noProof w:val="0"/>
          <w:color w:val="000000"/>
          <w:position w:val="0"/>
          <w:sz w:val="20"/>
          <w:u w:val="none"/>
          <w:vertAlign w:val="baseline"/>
        </w:rPr>
        <w:t> [*58947] </w:t>
      </w:r>
      <w:r>
        <w:rPr>
          <w:rFonts w:ascii="arial" w:eastAsia="arial" w:hAnsi="arial" w:cs="arial"/>
          <w:b w:val="0"/>
          <w:i w:val="0"/>
          <w:strike w:val="0"/>
          <w:noProof w:val="0"/>
          <w:color w:val="000000"/>
          <w:position w:val="0"/>
          <w:sz w:val="20"/>
          <w:u w:val="none"/>
          <w:vertAlign w:val="baseline"/>
        </w:rPr>
        <w:t xml:space="preserve">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w:t>
      </w:r>
      <w:r>
        <w:rPr>
          <w:rFonts w:ascii="arial" w:eastAsia="arial" w:hAnsi="arial" w:cs="arial"/>
          <w:b/>
          <w:i w:val="0"/>
          <w:strike w:val="0"/>
          <w:noProof w:val="0"/>
          <w:color w:val="000000"/>
          <w:position w:val="0"/>
          <w:sz w:val="20"/>
          <w:u w:val="none"/>
          <w:vertAlign w:val="baseline"/>
        </w:rPr>
        <w:t> [*58948] </w:t>
      </w:r>
      <w:r>
        <w:rPr>
          <w:rFonts w:ascii="arial" w:eastAsia="arial" w:hAnsi="arial" w:cs="arial"/>
          <w:b w:val="0"/>
          <w:i w:val="0"/>
          <w:strike w:val="0"/>
          <w:noProof w:val="0"/>
          <w:color w:val="000000"/>
          <w:position w:val="0"/>
          <w:sz w:val="20"/>
          <w:u w:val="none"/>
          <w:vertAlign w:val="baseline"/>
        </w:rPr>
        <w:t xml:space="preserve">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w:t>
      </w:r>
      <w:r>
        <w:rPr>
          <w:rFonts w:ascii="arial" w:eastAsia="arial" w:hAnsi="arial" w:cs="arial"/>
          <w:b/>
          <w:i w:val="0"/>
          <w:strike w:val="0"/>
          <w:noProof w:val="0"/>
          <w:color w:val="000000"/>
          <w:position w:val="0"/>
          <w:sz w:val="20"/>
          <w:u w:val="none"/>
          <w:vertAlign w:val="baseline"/>
        </w:rPr>
        <w:t> [*58949] </w:t>
      </w:r>
      <w:r>
        <w:rPr>
          <w:rFonts w:ascii="arial" w:eastAsia="arial" w:hAnsi="arial" w:cs="arial"/>
          <w:b w:val="0"/>
          <w:i w:val="0"/>
          <w:strike w:val="0"/>
          <w:noProof w:val="0"/>
          <w:color w:val="000000"/>
          <w:position w:val="0"/>
          <w:sz w:val="20"/>
          <w:u w:val="none"/>
          <w:vertAlign w:val="baseline"/>
        </w:rPr>
        <w:t xml:space="preserv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w:t>
      </w:r>
      <w:r>
        <w:rPr>
          <w:rFonts w:ascii="arial" w:eastAsia="arial" w:hAnsi="arial" w:cs="arial"/>
          <w:b/>
          <w:i w:val="0"/>
          <w:strike w:val="0"/>
          <w:noProof w:val="0"/>
          <w:color w:val="000000"/>
          <w:position w:val="0"/>
          <w:sz w:val="20"/>
          <w:u w:val="none"/>
          <w:vertAlign w:val="baseline"/>
        </w:rPr>
        <w:t> [*58950] </w:t>
      </w:r>
      <w:r>
        <w:rPr>
          <w:rFonts w:ascii="arial" w:eastAsia="arial" w:hAnsi="arial" w:cs="arial"/>
          <w:b w:val="0"/>
          <w:i w:val="0"/>
          <w:strike w:val="0"/>
          <w:noProof w:val="0"/>
          <w:color w:val="000000"/>
          <w:position w:val="0"/>
          <w:sz w:val="20"/>
          <w:u w:val="none"/>
          <w:vertAlign w:val="baseline"/>
        </w:rPr>
        <w:t xml:space="preserve">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trade to quote ratios were calculated based on the inverse of the average of the monthly equity SIP and OPRA quote to trade ratios from June 2016--June 2017 that were compiled by the Financial Information Forum using data from Nasdaq and SIAC. </w:t>
      </w:r>
      <w:r>
        <w:rPr>
          <w:rFonts w:ascii="arial" w:eastAsia="arial" w:hAnsi="arial" w:cs="arial"/>
          <w:b/>
          <w:i w:val="0"/>
          <w:strike w:val="0"/>
          <w:noProof w:val="0"/>
          <w:color w:val="000000"/>
          <w:position w:val="0"/>
          <w:sz w:val="20"/>
          <w:u w:val="none"/>
          <w:vertAlign w:val="baseline"/>
        </w:rPr>
        <w:t> [*58952]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subject to higher tiers than their operations may warrant. To address this potential concern, the Operating Committee determined to discount the OTC Equity Securities market share of Execution Venue ATSs trading OTC Equity Securities and the market share </w:t>
      </w:r>
      <w:r>
        <w:rPr>
          <w:rFonts w:ascii="arial" w:eastAsia="arial" w:hAnsi="arial" w:cs="arial"/>
          <w:b/>
          <w:i w:val="0"/>
          <w:strike w:val="0"/>
          <w:noProof w:val="0"/>
          <w:color w:val="000000"/>
          <w:position w:val="0"/>
          <w:sz w:val="20"/>
          <w:u w:val="none"/>
          <w:vertAlign w:val="baseline"/>
        </w:rPr>
        <w:t> [*58953] </w:t>
      </w:r>
      <w:r>
        <w:rPr>
          <w:rFonts w:ascii="arial" w:eastAsia="arial" w:hAnsi="arial" w:cs="arial"/>
          <w:b w:val="0"/>
          <w:i w:val="0"/>
          <w:strike w:val="0"/>
          <w:noProof w:val="0"/>
          <w:color w:val="000000"/>
          <w:position w:val="0"/>
          <w:sz w:val="20"/>
          <w:u w:val="none"/>
          <w:vertAlign w:val="baseline"/>
        </w:rPr>
        <w:t xml:space="preserv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 Venue tier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w:t>
      </w:r>
      <w:r>
        <w:rPr>
          <w:rFonts w:ascii="arial" w:eastAsia="arial" w:hAnsi="arial" w:cs="arial"/>
          <w:b/>
          <w:i w:val="0"/>
          <w:strike w:val="0"/>
          <w:noProof w:val="0"/>
          <w:color w:val="000000"/>
          <w:position w:val="0"/>
          <w:sz w:val="20"/>
          <w:u w:val="none"/>
          <w:vertAlign w:val="baseline"/>
        </w:rPr>
        <w:t> [*58954] </w:t>
      </w:r>
      <w:r>
        <w:rPr>
          <w:rFonts w:ascii="arial" w:eastAsia="arial" w:hAnsi="arial" w:cs="arial"/>
          <w:b w:val="0"/>
          <w:i w:val="0"/>
          <w:strike w:val="0"/>
          <w:noProof w:val="0"/>
          <w:color w:val="000000"/>
          <w:position w:val="0"/>
          <w:sz w:val="20"/>
          <w:u w:val="none"/>
          <w:vertAlign w:val="baseline"/>
        </w:rPr>
        <w:t xml:space="preserve">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 </w:t>
      </w:r>
      <w:r>
        <w:rPr>
          <w:rFonts w:ascii="arial" w:eastAsia="arial" w:hAnsi="arial" w:cs="arial"/>
          <w:b/>
          <w:i w:val="0"/>
          <w:strike w:val="0"/>
          <w:noProof w:val="0"/>
          <w:color w:val="000000"/>
          <w:position w:val="0"/>
          <w:sz w:val="20"/>
          <w:u w:val="none"/>
          <w:vertAlign w:val="baseline"/>
        </w:rPr>
        <w:t> [*58955]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CAT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[*58957] </w:t>
      </w:r>
    </w:p>
    <w:p>
      <w:pPr>
        <w:keepNext w:val="0"/>
        <w:spacing w:before="200" w:after="0" w:line="260" w:lineRule="atLeast"/>
        <w:ind w:left="0" w:right="0" w:firstLine="0"/>
        <w:jc w:val="both"/>
      </w:pPr>
      <w:r>
        <w:pict>
          <v:shape id="_x0000_i1028" type="#_x0000_t75" style="width:432.06pt;height:442.56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Annual Tier Fees for Equity Execution Venues ("EV")</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[*58958] </w:t>
      </w:r>
    </w:p>
    <w:p>
      <w:pPr>
        <w:keepNext w:val="0"/>
        <w:spacing w:before="200" w:after="0" w:line="260" w:lineRule="atLeast"/>
        <w:ind w:left="0" w:right="0" w:firstLine="0"/>
        <w:jc w:val="both"/>
      </w:pPr>
      <w:r>
        <w:pict>
          <v:shape id="_x0000_i1029" type="#_x0000_t75" style="width:432.06pt;height:256.5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123.77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640"/>
        <w:gridCol w:w="12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$ 325,524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$ 3,580,764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$ 150,516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$ 602,064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$ 4,182,828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$ 50,700,000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has determined to calculate fee tiers every three months based on market share or message traffic, as applicable, from the </w:t>
      </w:r>
      <w:r>
        <w:rPr>
          <w:rFonts w:ascii="arial" w:eastAsia="arial" w:hAnsi="arial" w:cs="arial"/>
          <w:b/>
          <w:i w:val="0"/>
          <w:strike w:val="0"/>
          <w:noProof w:val="0"/>
          <w:color w:val="000000"/>
          <w:position w:val="0"/>
          <w:sz w:val="20"/>
          <w:u w:val="none"/>
          <w:vertAlign w:val="baseline"/>
        </w:rPr>
        <w:t> [*58960] </w:t>
      </w:r>
      <w:r>
        <w:rPr>
          <w:rFonts w:ascii="arial" w:eastAsia="arial" w:hAnsi="arial" w:cs="arial"/>
          <w:b w:val="0"/>
          <w:i w:val="0"/>
          <w:strike w:val="0"/>
          <w:noProof w:val="0"/>
          <w:color w:val="000000"/>
          <w:position w:val="0"/>
          <w:sz w:val="20"/>
          <w:u w:val="none"/>
          <w:vertAlign w:val="baseline"/>
        </w:rPr>
        <w:t xml:space="preserv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910A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w:t>
      </w:r>
      <w:r>
        <w:rPr>
          <w:rFonts w:ascii="arial" w:eastAsia="arial" w:hAnsi="arial" w:cs="arial"/>
          <w:b/>
          <w:i w:val="0"/>
          <w:strike w:val="0"/>
          <w:noProof w:val="0"/>
          <w:color w:val="000000"/>
          <w:position w:val="0"/>
          <w:sz w:val="20"/>
          <w:u w:val="none"/>
          <w:vertAlign w:val="baseline"/>
        </w:rPr>
        <w:t> [*58961] </w:t>
      </w:r>
      <w:r>
        <w:rPr>
          <w:rFonts w:ascii="arial" w:eastAsia="arial" w:hAnsi="arial" w:cs="arial"/>
          <w:b w:val="0"/>
          <w:i w:val="0"/>
          <w:strike w:val="0"/>
          <w:noProof w:val="0"/>
          <w:color w:val="000000"/>
          <w:position w:val="0"/>
          <w:sz w:val="20"/>
          <w:u w:val="none"/>
          <w:vertAlign w:val="baseline"/>
        </w:rPr>
        <w:t xml:space="preserv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w:t>
      </w:r>
      <w:r>
        <w:rPr>
          <w:rFonts w:ascii="arial" w:eastAsia="arial" w:hAnsi="arial" w:cs="arial"/>
          <w:b w:val="0"/>
          <w:i/>
          <w:strike w:val="0"/>
          <w:noProof w:val="0"/>
          <w:color w:val="000000"/>
          <w:position w:val="0"/>
          <w:sz w:val="20"/>
          <w:u w:val="none"/>
          <w:vertAlign w:val="baseline"/>
        </w:rPr>
        <w:t>Regulatory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has determined to require that the CAT Fees automatically sunset two years from the operative date of the CAT NMS Plan amendment adopting CAT Fees for Participants. Accordingly, the Exchange </w:t>
      </w:r>
      <w:r>
        <w:rPr>
          <w:rFonts w:ascii="arial" w:eastAsia="arial" w:hAnsi="arial" w:cs="arial"/>
          <w:b/>
          <w:i w:val="0"/>
          <w:strike w:val="0"/>
          <w:noProof w:val="0"/>
          <w:color w:val="000000"/>
          <w:position w:val="0"/>
          <w:sz w:val="20"/>
          <w:u w:val="none"/>
          <w:vertAlign w:val="baseline"/>
        </w:rPr>
        <w:t> [*58962] </w:t>
      </w:r>
      <w:r>
        <w:rPr>
          <w:rFonts w:ascii="arial" w:eastAsia="arial" w:hAnsi="arial" w:cs="arial"/>
          <w:b w:val="0"/>
          <w:i w:val="0"/>
          <w:strike w:val="0"/>
          <w:noProof w:val="0"/>
          <w:color w:val="000000"/>
          <w:position w:val="0"/>
          <w:sz w:val="20"/>
          <w:u w:val="none"/>
          <w:vertAlign w:val="baseline"/>
        </w:rPr>
        <w:t xml:space="preserv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w:t>
      </w:r>
      <w:r>
        <w:rPr>
          <w:rFonts w:ascii="arial" w:eastAsia="arial" w:hAnsi="arial" w:cs="arial"/>
          <w:b/>
          <w:i w:val="0"/>
          <w:strike w:val="0"/>
          <w:noProof w:val="0"/>
          <w:color w:val="000000"/>
          <w:position w:val="0"/>
          <w:sz w:val="20"/>
          <w:u w:val="none"/>
          <w:vertAlign w:val="baseline"/>
        </w:rPr>
        <w:t> [*58963] </w:t>
      </w:r>
      <w:r>
        <w:rPr>
          <w:rFonts w:ascii="arial" w:eastAsia="arial" w:hAnsi="arial" w:cs="arial"/>
          <w:b w:val="0"/>
          <w:i w:val="0"/>
          <w:strike w:val="0"/>
          <w:noProof w:val="0"/>
          <w:color w:val="000000"/>
          <w:position w:val="0"/>
          <w:sz w:val="20"/>
          <w:u w:val="none"/>
          <w:vertAlign w:val="baseline"/>
        </w:rPr>
        <w:t xml:space="preserve">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trading OTC Equity Securities to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w:t>
      </w:r>
      <w:r>
        <w:rPr>
          <w:rFonts w:ascii="arial" w:eastAsia="arial" w:hAnsi="arial" w:cs="arial"/>
          <w:b/>
          <w:i w:val="0"/>
          <w:strike w:val="0"/>
          <w:noProof w:val="0"/>
          <w:color w:val="000000"/>
          <w:position w:val="0"/>
          <w:sz w:val="20"/>
          <w:u w:val="none"/>
          <w:vertAlign w:val="baseline"/>
        </w:rPr>
        <w:t> [*58964] </w:t>
      </w:r>
      <w:r>
        <w:rPr>
          <w:rFonts w:ascii="arial" w:eastAsia="arial" w:hAnsi="arial" w:cs="arial"/>
          <w:b w:val="0"/>
          <w:i w:val="0"/>
          <w:strike w:val="0"/>
          <w:noProof w:val="0"/>
          <w:color w:val="000000"/>
          <w:position w:val="0"/>
          <w:sz w:val="20"/>
          <w:u w:val="none"/>
          <w:vertAlign w:val="baseline"/>
        </w:rPr>
        <w:t xml:space="preserve">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val="0"/>
          <w:strike w:val="0"/>
          <w:noProof w:val="0"/>
          <w:color w:val="000000"/>
          <w:position w:val="0"/>
          <w:sz w:val="20"/>
          <w:u w:val="none"/>
          <w:vertAlign w:val="baseline"/>
        </w:rPr>
        <w:t> [*58965]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w:t>
      </w:r>
      <w:r>
        <w:rPr>
          <w:rFonts w:ascii="arial" w:eastAsia="arial" w:hAnsi="arial" w:cs="arial"/>
          <w:b/>
          <w:i w:val="0"/>
          <w:strike w:val="0"/>
          <w:noProof w:val="0"/>
          <w:color w:val="000000"/>
          <w:position w:val="0"/>
          <w:sz w:val="20"/>
          <w:u w:val="none"/>
          <w:vertAlign w:val="baseline"/>
        </w:rPr>
        <w:t> [*58966] </w:t>
      </w:r>
      <w:r>
        <w:rPr>
          <w:rFonts w:ascii="arial" w:eastAsia="arial" w:hAnsi="arial" w:cs="arial"/>
          <w:b w:val="0"/>
          <w:i w:val="0"/>
          <w:strike w:val="0"/>
          <w:noProof w:val="0"/>
          <w:color w:val="000000"/>
          <w:position w:val="0"/>
          <w:sz w:val="20"/>
          <w:u w:val="none"/>
          <w:vertAlign w:val="baseline"/>
        </w:rPr>
        <w:t xml:space="preserve">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Release No. 67457 (July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w:t>
      </w:r>
      <w:r>
        <w:rPr>
          <w:rFonts w:ascii="arial" w:eastAsia="arial" w:hAnsi="arial" w:cs="arial"/>
          <w:b/>
          <w:i w:val="0"/>
          <w:strike w:val="0"/>
          <w:noProof w:val="0"/>
          <w:color w:val="000000"/>
          <w:position w:val="0"/>
          <w:sz w:val="20"/>
          <w:u w:val="none"/>
          <w:vertAlign w:val="baseline"/>
        </w:rPr>
        <w:t> [*58967] </w:t>
      </w:r>
      <w:r>
        <w:rPr>
          <w:rFonts w:ascii="arial" w:eastAsia="arial" w:hAnsi="arial" w:cs="arial"/>
          <w:b w:val="0"/>
          <w:i w:val="0"/>
          <w:strike w:val="0"/>
          <w:noProof w:val="0"/>
          <w:color w:val="000000"/>
          <w:position w:val="0"/>
          <w:sz w:val="20"/>
          <w:u w:val="none"/>
          <w:vertAlign w:val="baseline"/>
        </w:rPr>
        <w:t xml:space="preserv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w:t>
      </w:r>
      <w:r>
        <w:rPr>
          <w:rFonts w:ascii="arial" w:eastAsia="arial" w:hAnsi="arial" w:cs="arial"/>
          <w:b/>
          <w:i w:val="0"/>
          <w:strike w:val="0"/>
          <w:noProof w:val="0"/>
          <w:color w:val="000000"/>
          <w:position w:val="0"/>
          <w:sz w:val="20"/>
          <w:u w:val="none"/>
          <w:vertAlign w:val="baseline"/>
        </w:rPr>
        <w:t> [*58968] </w:t>
      </w:r>
      <w:r>
        <w:rPr>
          <w:rFonts w:ascii="arial" w:eastAsia="arial" w:hAnsi="arial" w:cs="arial"/>
          <w:b w:val="0"/>
          <w:i w:val="0"/>
          <w:strike w:val="0"/>
          <w:noProof w:val="0"/>
          <w:color w:val="000000"/>
          <w:position w:val="0"/>
          <w:sz w:val="20"/>
          <w:u w:val="none"/>
          <w:vertAlign w:val="baseline"/>
        </w:rPr>
        <w:t xml:space="preserv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n89 in general, and furthers the objectives of Sections 6(b)(4) and 6(b)(5) of the Act, n90 in particular, in that it provides for the equitable allocation of reasonable dues, fees, and other charges among members and issuers and other persons using any facility, is not designed to permit unfair discrimination between customers, issuers, brokers, or dealers, and is designed to prevent fraudulent and manipulative acts and practices, to promote just and equitable principles of trade, and, in general, to protect investors and the public interest.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w:t>
      </w:r>
      <w:r>
        <w:rPr>
          <w:rFonts w:ascii="arial" w:eastAsia="arial" w:hAnsi="arial" w:cs="arial"/>
          <w:b/>
          <w:i w:val="0"/>
          <w:strike w:val="0"/>
          <w:noProof w:val="0"/>
          <w:color w:val="000000"/>
          <w:position w:val="0"/>
          <w:sz w:val="20"/>
          <w:u w:val="none"/>
          <w:vertAlign w:val="baseline"/>
        </w:rPr>
        <w:t> [*58969] </w:t>
      </w:r>
      <w:r>
        <w:rPr>
          <w:rFonts w:ascii="arial" w:eastAsia="arial" w:hAnsi="arial" w:cs="arial"/>
          <w:b w:val="0"/>
          <w:i w:val="0"/>
          <w:strike w:val="0"/>
          <w:noProof w:val="0"/>
          <w:color w:val="000000"/>
          <w:position w:val="0"/>
          <w:sz w:val="20"/>
          <w:u w:val="none"/>
          <w:vertAlign w:val="baseline"/>
        </w:rPr>
        <w:t xml:space="preserv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2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w:t>
      </w:r>
      <w:r>
        <w:rPr>
          <w:rFonts w:ascii="arial" w:eastAsia="arial" w:hAnsi="arial" w:cs="arial"/>
          <w:b/>
          <w:i w:val="0"/>
          <w:strike w:val="0"/>
          <w:noProof w:val="0"/>
          <w:color w:val="000000"/>
          <w:position w:val="0"/>
          <w:sz w:val="20"/>
          <w:u w:val="none"/>
          <w:vertAlign w:val="baseline"/>
        </w:rPr>
        <w:t> [*58970] </w:t>
      </w:r>
      <w:r>
        <w:rPr>
          <w:rFonts w:ascii="arial" w:eastAsia="arial" w:hAnsi="arial" w:cs="arial"/>
          <w:b w:val="0"/>
          <w:i w:val="0"/>
          <w:strike w:val="0"/>
          <w:noProof w:val="0"/>
          <w:color w:val="000000"/>
          <w:position w:val="0"/>
          <w:sz w:val="20"/>
          <w:u w:val="none"/>
          <w:vertAlign w:val="baseline"/>
        </w:rPr>
        <w:t xml:space="preser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n96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SR-PHLX-2017-037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 2017-37.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SR-PHXL-2017-37, and </w:t>
      </w:r>
      <w:r>
        <w:rPr>
          <w:rFonts w:ascii="arial" w:eastAsia="arial" w:hAnsi="arial" w:cs="arial"/>
          <w:b/>
          <w:i w:val="0"/>
          <w:strike w:val="0"/>
          <w:noProof w:val="0"/>
          <w:color w:val="000000"/>
          <w:position w:val="0"/>
          <w:sz w:val="20"/>
          <w:u w:val="none"/>
          <w:vertAlign w:val="baseline"/>
        </w:rPr>
        <w:t> [*58971] </w:t>
      </w:r>
      <w:r>
        <w:rPr>
          <w:rFonts w:ascii="arial" w:eastAsia="arial" w:hAnsi="arial" w:cs="arial"/>
          <w:b w:val="0"/>
          <w:i w:val="0"/>
          <w:strike w:val="0"/>
          <w:noProof w:val="0"/>
          <w:color w:val="000000"/>
          <w:position w:val="0"/>
          <w:sz w:val="20"/>
          <w:u w:val="none"/>
          <w:vertAlign w:val="baseline"/>
        </w:rPr>
        <w:t xml:space="preserve"> should be submitted on or before January 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2017-27009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58944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ec.gov/comments/sr-batsbzx-2017-38/batsbzx201738-1788188-153228.pdf" TargetMode="External" /><Relationship Id="rId11" Type="http://schemas.openxmlformats.org/officeDocument/2006/relationships/hyperlink" Target="https://www.sec.gov/comments/sr-cboe-2017-040/cboe2017040-1799253-153675.pdf" TargetMode="External" /><Relationship Id="rId12" Type="http://schemas.openxmlformats.org/officeDocument/2006/relationships/hyperlink" Target="https://www.sec.gov/comments/sr-finra-2017-011/finra2017011-1801717-153703.pdf" TargetMode="External" /><Relationship Id="rId13" Type="http://schemas.openxmlformats.org/officeDocument/2006/relationships/hyperlink" Target="https://www.sec.gov/comments/sr-cboe-2017-040/cboe2017040-1819670-154195.pdf" TargetMode="External" /><Relationship Id="rId14" Type="http://schemas.openxmlformats.org/officeDocument/2006/relationships/hyperlink" Target="https://www.sec.gov/comments/sr-finra-2017-011/finra2017011-1822454-154283.pdf" TargetMode="External" /><Relationship Id="rId15" Type="http://schemas.openxmlformats.org/officeDocument/2006/relationships/hyperlink" Target="https://www.sec.gov/comments/sr-batsedgx-2017-22/batsedgx201722-154443.pdf" TargetMode="External" /><Relationship Id="rId16" Type="http://schemas.openxmlformats.org/officeDocument/2006/relationships/hyperlink" Target="https://www.sec.gov/comments/sr-batsbzx-2017-38/batsbzx201738-1785545-153152.htm" TargetMode="External" /><Relationship Id="rId17" Type="http://schemas.openxmlformats.org/officeDocument/2006/relationships/hyperlink" Target="https://www.sec.gov/comments/sr-batsbyx-2017-11/batsbyx201711-1832632-154584.pdf" TargetMode="External" /><Relationship Id="rId18" Type="http://schemas.openxmlformats.org/officeDocument/2006/relationships/hyperlink" Target="https://advance.lexis.com/api/document?collection=administrative-codes&amp;id=urn:contentItem:5NYN-83K0-006W-848X-00000-00&amp;context=" TargetMode="External" /><Relationship Id="rId19" Type="http://schemas.openxmlformats.org/officeDocument/2006/relationships/hyperlink" Target="https://www.sec.gov/comments/sr-batsbyx-2017-11/batsbyx201711-2148338-157737.pdf"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60-157740.pdf" TargetMode="External" /><Relationship Id="rId21" Type="http://schemas.openxmlformats.org/officeDocument/2006/relationships/hyperlink" Target="https://www.sec.gov/comments/sr-batsbyx-2017-11/batsbyx201711-2151228-157745.pdf" TargetMode="External" /><Relationship Id="rId22" Type="http://schemas.openxmlformats.org/officeDocument/2006/relationships/hyperlink" Target="https://www.sec.gov/comments/sr-batsbyx-2017-11/batsbyx201711-2150977-157744.pdf" TargetMode="External" /><Relationship Id="rId23" Type="http://schemas.openxmlformats.org/officeDocument/2006/relationships/hyperlink" Target="https://www.sec.gov/comments/sr-batsbyx-2017-11/batsbyx201711-2150818-157743.pdf" TargetMode="External" /><Relationship Id="rId24" Type="http://schemas.openxmlformats.org/officeDocument/2006/relationships/hyperlink" Target="https://www.sec.gov/comments/sr-finra-2017-011/finra2017011-2214568-160619.pdf" TargetMode="External" /><Relationship Id="rId25" Type="http://schemas.openxmlformats.org/officeDocument/2006/relationships/hyperlink" Target="https://www.sec.gov/comments/sr-finra-2017-011/finra2017011-2238648-160830.pdf" TargetMode="External" /><Relationship Id="rId26" Type="http://schemas.openxmlformats.org/officeDocument/2006/relationships/hyperlink" Target="https://www.sec.gov/comments/sr-batsbyx-2017-11/batsbyx201711-2674608-161412.pdf" TargetMode="External" /><Relationship Id="rId27" Type="http://schemas.openxmlformats.org/officeDocument/2006/relationships/hyperlink" Target="https://www.sec.gov/comments/sr-phlx-2017-37/phlx201737-2669581-16144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nasdaq.cchwallstreet.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7V-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58944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