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59004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59004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Miami International Securities Exchange, LLC; Notice of Filing of Amendment No. 1 to a Proposed Rule Change to Amend the Fee Schedule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34-82256; File No. SR-MIAX-2017-18]</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 2017, Miami International Securities Exchange LLC ("MIAX Options" or "Exchange")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19,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November 7,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80675 (May 15, 2017), </w:t>
      </w:r>
      <w:hyperlink r:id="rId10" w:history="1">
        <w:r>
          <w:rPr>
            <w:rFonts w:ascii="arial" w:eastAsia="arial" w:hAnsi="arial" w:cs="arial"/>
            <w:b w:val="0"/>
            <w:i/>
            <w:strike w:val="0"/>
            <w:noProof w:val="0"/>
            <w:color w:val="0077CC"/>
            <w:position w:val="0"/>
            <w:sz w:val="20"/>
            <w:u w:val="single"/>
            <w:vertAlign w:val="baseline"/>
          </w:rPr>
          <w:t>82 FR 23100</w:t>
        </w:r>
      </w:hyperlink>
      <w:r>
        <w:rPr>
          <w:rFonts w:ascii="arial" w:eastAsia="arial" w:hAnsi="arial" w:cs="arial"/>
          <w:b w:val="0"/>
          <w:i w:val="0"/>
          <w:strike w:val="0"/>
          <w:noProof w:val="0"/>
          <w:color w:val="000000"/>
          <w:position w:val="0"/>
          <w:sz w:val="20"/>
          <w:u w:val="none"/>
          <w:vertAlign w:val="baseline"/>
        </w:rPr>
        <w:t xml:space="preserve"> (May 19,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14-17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December 1,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82257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 2017 Miami International Securities Exchange, LLC ("MIAX Options" or "Exchange"), filed with the Securities and Exchange Commission ("Commission" or "SEC") a proposed rule change SR-MIAX-2017-18 (the "Original Proposal"), n12 to amend the MIAX Options Fee Schedule (the "Fee Schedule") to adopt a fee schedule to establish the fees for Industry Members related to the National Market System Plan Governing the Consolidated Audit Trail (the "CAT NMS Plan" or "Plan"). n13 MIAX Options files this proposed rule change (the "Amendment") to amend the Original Proposal. This Amendment replaces the Original Proposal in its entirety, and also describes the changes from the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80675 (May 15, 2017), </w:t>
      </w:r>
      <w:hyperlink r:id="rId10" w:history="1">
        <w:r>
          <w:rPr>
            <w:rFonts w:ascii="arial" w:eastAsia="arial" w:hAnsi="arial" w:cs="arial"/>
            <w:b w:val="0"/>
            <w:i/>
            <w:strike w:val="0"/>
            <w:noProof w:val="0"/>
            <w:color w:val="0077CC"/>
            <w:position w:val="0"/>
            <w:sz w:val="20"/>
            <w:u w:val="single"/>
            <w:vertAlign w:val="baseline"/>
          </w:rPr>
          <w:t>82 FR 23100</w:t>
        </w:r>
      </w:hyperlink>
      <w:r>
        <w:rPr>
          <w:rFonts w:ascii="arial" w:eastAsia="arial" w:hAnsi="arial" w:cs="arial"/>
          <w:b w:val="0"/>
          <w:i w:val="0"/>
          <w:strike w:val="0"/>
          <w:noProof w:val="0"/>
          <w:color w:val="000000"/>
          <w:position w:val="0"/>
          <w:sz w:val="20"/>
          <w:u w:val="none"/>
          <w:vertAlign w:val="baseline"/>
        </w:rPr>
        <w:t xml:space="preserve"> (May 19, 2017)(SR-MIAX-2017-18).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Unless otherwise specified, capitalized terms used in this fee filing are defined as set forth herein, in the CAT Compliance Rule Series, the CAT NMS Plan, or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website at </w:t>
      </w:r>
      <w:hyperlink r:id="rId29" w:history="1">
        <w:r>
          <w:rPr>
            <w:rFonts w:ascii="arial" w:eastAsia="arial" w:hAnsi="arial" w:cs="arial"/>
            <w:b w:val="0"/>
            <w:i/>
            <w:strike w:val="0"/>
            <w:noProof w:val="0"/>
            <w:color w:val="0077CC"/>
            <w:position w:val="0"/>
            <w:sz w:val="20"/>
            <w:u w:val="single"/>
            <w:vertAlign w:val="baseline"/>
          </w:rPr>
          <w:t>http://www.miaxoptions.com/rule-filings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MIAX's principal office, and at the Commission's Public Reference Room. </w:t>
      </w:r>
      <w:r>
        <w:rPr>
          <w:rFonts w:ascii="arial" w:eastAsia="arial" w:hAnsi="arial" w:cs="arial"/>
          <w:b/>
          <w:i w:val="0"/>
          <w:strike w:val="0"/>
          <w:noProof w:val="0"/>
          <w:color w:val="000000"/>
          <w:position w:val="0"/>
          <w:sz w:val="20"/>
          <w:u w:val="none"/>
          <w:vertAlign w:val="baseline"/>
        </w:rPr>
        <w:t> [*59005]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w:t>
      </w:r>
      <w:r>
        <w:rPr>
          <w:rFonts w:ascii="arial" w:eastAsia="arial" w:hAnsi="arial" w:cs="arial"/>
          <w:b w:val="0"/>
          <w:i w:val="0"/>
          <w:strike w:val="0"/>
          <w:noProof w:val="0"/>
          <w:color w:val="000000"/>
          <w:position w:val="0"/>
          <w:sz w:val="20"/>
          <w:u w:val="none"/>
          <w:vertAlign w:val="baseline"/>
        </w:rPr>
        <w:t xml:space="preserve">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n14 Chicago Stock Exchange, Inc., Financial Industry Regulatory Authority, Inc. ("FINRA"), Investors' Exchange LLC, Miami International Securities Exchange, LLC, MIAX PEARL, LLC, NASDAQ BX, Inc., Nasdaq GEMX, LLC, Nasdaq ISE, LLC, Nasdaq MRX, LLC, n15 NASDAQ PHLX LLC, The NASDAQ Stock Market LLC, New York Stock Exchange LLC, NYSE American LLC, n16 NYSE Arca, Inc. and NYSE National, Inc. n17 (collectively, the "Participants") filed with the Commission, pursuant to Section 11A of the Exchange Act n18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n19 the CAT NMS Plan. n20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n21 and approved by the Commission, as modified, on November 15, 2016. n22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n23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n24 The Participants are required to file with the SEC under Section 19(b) of the Exchange Act any such CAT Fees applicable to Industry Members that the Operating Committee approves. n25 Accordingly, the Exchange submitted the Original Proposal to propose the Consolidated Audit Trail Funding Fees, which would require Industry Members that are Exchange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Note that Bats BYX Exchange, Inc., Bats BZX Exchange, Inc., Bats EDGA Exchange, Inc., Bats EDGX Exchange, Inc., C2 Options Exchange, Incorporated and Chicago Board Options Exchange, Incorporated, have been renamed Cboe BYX Exchange, Inc., Cboe BZX Exchange, Inc., Cboe EDGA Exchange, Inc., Cboe EDGX Exchange, Inc., Cboe C2 Exchange, Inc. and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19, 2017, n26 and received comments in response to the Original Proposal or similar fee filings by other Participants. n27 On June 30, 2017, the Commission suspended, and instituted proceedings to determine whether to approve or disapprove, the Original Proposal. n28 The Commission received seven comment letters in response to those proceedings.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on the Original Proposal, the Operating Committee determined to make the following changes to the funding model: (1) Add two additional CAT Fee tiers for Equity Execution Venues; (2) discount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exclusively trading OTC Equity Securities and FINRA; (3) discount the Options Market Maker quotes by the trade to quote ratio for options (calculated as 0.01% based on available data for June 2016 through June 2017) when calculating message traffic for Options Market Makers; (4) discount equity market maker quotes by the trade to quote ratio for equities (calculated as 5.43% based on available data for June 2016 through June 2017) when calculating message traffic for equity market makers; (5) decrease the number of tiers for Industry Members (other than the Execution Venue ATSs) from nine to seven; (6) change the allocation of CAT costs between Equity Execution Venues and Options Execution Venues from 75%/25% to 67%/33%; (7) adjust tier percentages and recovery allocations for Equity Execution Venues, Options Execution Venues and Industry Members (other than Execution Venue ATSs); (8) focus the comparability of CAT Fees on the individual entity level, rather than primarily on the comparability of </w:t>
      </w:r>
      <w:r>
        <w:rPr>
          <w:rFonts w:ascii="arial" w:eastAsia="arial" w:hAnsi="arial" w:cs="arial"/>
          <w:b/>
          <w:i w:val="0"/>
          <w:strike w:val="0"/>
          <w:noProof w:val="0"/>
          <w:color w:val="000000"/>
          <w:position w:val="0"/>
          <w:sz w:val="20"/>
          <w:u w:val="none"/>
          <w:vertAlign w:val="baseline"/>
        </w:rPr>
        <w:t> [*59006] </w:t>
      </w:r>
      <w:r>
        <w:rPr>
          <w:rFonts w:ascii="arial" w:eastAsia="arial" w:hAnsi="arial" w:cs="arial"/>
          <w:b w:val="0"/>
          <w:i w:val="0"/>
          <w:strike w:val="0"/>
          <w:noProof w:val="0"/>
          <w:color w:val="000000"/>
          <w:position w:val="0"/>
          <w:sz w:val="20"/>
          <w:u w:val="none"/>
          <w:vertAlign w:val="baseline"/>
        </w:rPr>
        <w:t xml:space="preserve"> affiliated entities; (9) commence invoicing CAT Reporters as promptly as possible following the latest operative date of the respective Consolidated Audit Trail Funding Fees filed or to be filed by each of the Participants and the operative date of the CAT NMS Plan amendment adopting CAT Fees for Participants; and (10) require the proposed fees to automatically expire two years from the operative date of the CAT NMS Plan amendment adopting CAT Fees for Participants. As discussed in detail below, the Exchange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w:t>
      </w:r>
      <w:r>
        <w:rPr>
          <w:rFonts w:ascii="arial" w:eastAsia="arial" w:hAnsi="arial" w:cs="arial"/>
          <w:b/>
          <w:i w:val="0"/>
          <w:strike w:val="0"/>
          <w:noProof w:val="0"/>
          <w:color w:val="000000"/>
          <w:position w:val="0"/>
          <w:sz w:val="20"/>
          <w:u w:val="none"/>
          <w:vertAlign w:val="baseline"/>
        </w:rPr>
        <w:t> [*59007] </w:t>
      </w:r>
      <w:r>
        <w:rPr>
          <w:rFonts w:ascii="arial" w:eastAsia="arial" w:hAnsi="arial" w:cs="arial"/>
          <w:b w:val="0"/>
          <w:i w:val="0"/>
          <w:strike w:val="0"/>
          <w:noProof w:val="0"/>
          <w:color w:val="000000"/>
          <w:position w:val="0"/>
          <w:sz w:val="20"/>
          <w:u w:val="none"/>
          <w:vertAlign w:val="baseline"/>
        </w:rPr>
        <w:t xml:space="preserve">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n30 and "reflects a reasonable exercise of the Participants' funding authority to recover the Participants' costs related to the CAT."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n32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n34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n35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n36 The Operating Committee considered several approaches to developing a tiered model, including defining fee tiers based on such factors as size of firm, message traffic or trading dollar volume. After analyzing the alternatives, it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n37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n38 Correspondingly, Execution Venues with the highest market shares will be in the top tier, and will be charged higher fees. Execution Venues with the lowest market shares will be in the lowest tier and will be assessed smaller fees for the CAT.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n40 While there are multiple factors that contribute to the cost of building, maintaining and using the CAT, processing and storage of incoming message traffic is one of the most significant cost drivers for the CAT. n41 Thus, the CAT NMS Plan provides that the fees payable by Industry Members (other than Execution Venue ATSs) will be based on the message traffic generated by such Industry Member.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constitutes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t>
      </w:r>
      <w:r>
        <w:rPr>
          <w:rFonts w:ascii="arial" w:eastAsia="arial" w:hAnsi="arial" w:cs="arial"/>
          <w:b/>
          <w:i w:val="0"/>
          <w:strike w:val="0"/>
          <w:noProof w:val="0"/>
          <w:color w:val="000000"/>
          <w:position w:val="0"/>
          <w:sz w:val="20"/>
          <w:u w:val="none"/>
          <w:vertAlign w:val="baseline"/>
        </w:rPr>
        <w:t> [*59008] </w:t>
      </w:r>
      <w:r>
        <w:rPr>
          <w:rFonts w:ascii="arial" w:eastAsia="arial" w:hAnsi="arial" w:cs="arial"/>
          <w:b w:val="0"/>
          <w:i w:val="0"/>
          <w:strike w:val="0"/>
          <w:noProof w:val="0"/>
          <w:color w:val="000000"/>
          <w:position w:val="0"/>
          <w:sz w:val="20"/>
          <w:u w:val="none"/>
          <w:vertAlign w:val="baseline"/>
        </w:rPr>
        <w:t xml:space="preserve"> were in Tiers 1 and 2. n43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n44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less likely to have an incremental deterrent effect on liquidity provision."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n46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n47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n48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establish a tiered fee structure in which the fees charged to: (i) CAT Reporters that are Execution Venues, including ATSs, are based upon the level of market share; (ii) Industry </w:t>
      </w:r>
      <w:r>
        <w:rPr>
          <w:rFonts w:ascii="arial" w:eastAsia="arial" w:hAnsi="arial" w:cs="arial"/>
          <w:b/>
          <w:i w:val="0"/>
          <w:strike w:val="0"/>
          <w:noProof w:val="0"/>
          <w:color w:val="000000"/>
          <w:position w:val="0"/>
          <w:sz w:val="20"/>
          <w:u w:val="none"/>
          <w:vertAlign w:val="baseline"/>
        </w:rPr>
        <w:t> [*59009] </w:t>
      </w:r>
      <w:r>
        <w:rPr>
          <w:rFonts w:ascii="arial" w:eastAsia="arial" w:hAnsi="arial" w:cs="arial"/>
          <w:b w:val="0"/>
          <w:i w:val="0"/>
          <w:strike w:val="0"/>
          <w:noProof w:val="0"/>
          <w:color w:val="000000"/>
          <w:position w:val="0"/>
          <w:sz w:val="20"/>
          <w:u w:val="none"/>
          <w:vertAlign w:val="baseline"/>
        </w:rPr>
        <w:t xml:space="preserve">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 </w:t>
      </w:r>
      <w:r>
        <w:rPr>
          <w:rFonts w:ascii="arial" w:eastAsia="arial" w:hAnsi="arial" w:cs="arial"/>
          <w:b/>
          <w:i w:val="0"/>
          <w:strike w:val="0"/>
          <w:noProof w:val="0"/>
          <w:color w:val="000000"/>
          <w:position w:val="0"/>
          <w:sz w:val="20"/>
          <w:u w:val="none"/>
          <w:vertAlign w:val="baseline"/>
        </w:rPr>
        <w:t> [*59010]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w:t>
      </w:r>
      <w:r>
        <w:rPr>
          <w:rFonts w:ascii="arial" w:eastAsia="arial" w:hAnsi="arial" w:cs="arial"/>
          <w:b/>
          <w:i w:val="0"/>
          <w:strike w:val="0"/>
          <w:noProof w:val="0"/>
          <w:color w:val="000000"/>
          <w:position w:val="0"/>
          <w:sz w:val="20"/>
          <w:u w:val="none"/>
          <w:vertAlign w:val="baseline"/>
        </w:rPr>
        <w:t> [*59011] </w:t>
      </w:r>
      <w:r>
        <w:rPr>
          <w:rFonts w:ascii="arial" w:eastAsia="arial" w:hAnsi="arial" w:cs="arial"/>
          <w:b w:val="0"/>
          <w:i w:val="0"/>
          <w:strike w:val="0"/>
          <w:noProof w:val="0"/>
          <w:color w:val="000000"/>
          <w:position w:val="0"/>
          <w:sz w:val="20"/>
          <w:u w:val="none"/>
          <w:vertAlign w:val="baseline"/>
        </w:rPr>
        <w:t xml:space="preserve"> executions originated by a member of FINRA, and excluding order rejects, system-modified orders, order routes and implied orders. n49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n51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n52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11.3(a)(i) of the CAT NMS Plan, the Operating Committee approved a tiered fee </w:t>
      </w:r>
      <w:r>
        <w:rPr>
          <w:rFonts w:ascii="arial" w:eastAsia="arial" w:hAnsi="arial" w:cs="arial"/>
          <w:b/>
          <w:i w:val="0"/>
          <w:strike w:val="0"/>
          <w:noProof w:val="0"/>
          <w:color w:val="000000"/>
          <w:position w:val="0"/>
          <w:sz w:val="20"/>
          <w:u w:val="none"/>
          <w:vertAlign w:val="baseline"/>
        </w:rPr>
        <w:t> [*59012] </w:t>
      </w:r>
      <w:r>
        <w:rPr>
          <w:rFonts w:ascii="arial" w:eastAsia="arial" w:hAnsi="arial" w:cs="arial"/>
          <w:b w:val="0"/>
          <w:i w:val="0"/>
          <w:strike w:val="0"/>
          <w:noProof w:val="0"/>
          <w:color w:val="000000"/>
          <w:position w:val="0"/>
          <w:sz w:val="20"/>
          <w:u w:val="none"/>
          <w:vertAlign w:val="baseline"/>
        </w:rPr>
        <w:t xml:space="preserv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the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n54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w:t>
      </w:r>
      <w:r>
        <w:rPr>
          <w:rFonts w:ascii="arial" w:eastAsia="arial" w:hAnsi="arial" w:cs="arial"/>
          <w:b/>
          <w:i w:val="0"/>
          <w:strike w:val="0"/>
          <w:noProof w:val="0"/>
          <w:color w:val="000000"/>
          <w:position w:val="0"/>
          <w:sz w:val="20"/>
          <w:u w:val="none"/>
          <w:vertAlign w:val="baseline"/>
        </w:rPr>
        <w:t> [*59014] </w:t>
      </w:r>
      <w:r>
        <w:rPr>
          <w:rFonts w:ascii="arial" w:eastAsia="arial" w:hAnsi="arial" w:cs="arial"/>
          <w:b w:val="0"/>
          <w:i w:val="0"/>
          <w:strike w:val="0"/>
          <w:noProof w:val="0"/>
          <w:color w:val="000000"/>
          <w:position w:val="0"/>
          <w:sz w:val="20"/>
          <w:u w:val="none"/>
          <w:vertAlign w:val="baseline"/>
        </w:rPr>
        <w:t xml:space="preserve">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8011-01-P </w:t>
      </w:r>
      <w:r>
        <w:rPr>
          <w:rFonts w:ascii="arial" w:eastAsia="arial" w:hAnsi="arial" w:cs="arial"/>
          <w:b/>
          <w:i w:val="0"/>
          <w:strike w:val="0"/>
          <w:noProof w:val="0"/>
          <w:color w:val="000000"/>
          <w:position w:val="0"/>
          <w:sz w:val="20"/>
          <w:u w:val="none"/>
          <w:vertAlign w:val="baseline"/>
        </w:rPr>
        <w:t> [*59017] </w:t>
      </w:r>
    </w:p>
    <w:p>
      <w:pPr>
        <w:keepNext w:val="0"/>
        <w:spacing w:before="200" w:after="0" w:line="260" w:lineRule="atLeast"/>
        <w:ind w:left="0" w:right="0" w:firstLine="0"/>
        <w:jc w:val="both"/>
      </w:pPr>
      <w:r>
        <w:pict>
          <v:shape id="_x0000_i1028" type="#_x0000_t75" style="width:432.06pt;height:468.07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29" type="#_x0000_t75" style="width:432.06pt;height:275.29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[*59019] </w:t>
      </w:r>
    </w:p>
    <w:p>
      <w:pPr>
        <w:keepNext w:val="0"/>
        <w:spacing w:before="200" w:after="0" w:line="260" w:lineRule="atLeast"/>
        <w:ind w:left="0" w:right="0" w:firstLine="0"/>
        <w:jc w:val="both"/>
      </w:pPr>
      <w:r>
        <w:pict>
          <v:shape id="_x0000_i1030" type="#_x0000_t75" style="width:432.06pt;height:132.02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Excess(58M)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w:t>
      </w:r>
      <w:r>
        <w:rPr>
          <w:rFonts w:ascii="arial" w:eastAsia="arial" w:hAnsi="arial" w:cs="arial"/>
          <w:b/>
          <w:i w:val="0"/>
          <w:strike w:val="0"/>
          <w:noProof w:val="0"/>
          <w:color w:val="000000"/>
          <w:position w:val="0"/>
          <w:sz w:val="20"/>
          <w:u w:val="none"/>
          <w:vertAlign w:val="baseline"/>
        </w:rPr>
        <w:t> [*59020] </w:t>
      </w:r>
      <w:r>
        <w:rPr>
          <w:rFonts w:ascii="arial" w:eastAsia="arial" w:hAnsi="arial" w:cs="arial"/>
          <w:b w:val="0"/>
          <w:i w:val="0"/>
          <w:strike w:val="0"/>
          <w:noProof w:val="0"/>
          <w:color w:val="000000"/>
          <w:position w:val="0"/>
          <w:sz w:val="20"/>
          <w:u w:val="none"/>
          <w:vertAlign w:val="baseline"/>
        </w:rPr>
        <w:t xml:space="preserve">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n59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n60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w:t>
      </w:r>
      <w:r>
        <w:rPr>
          <w:rFonts w:ascii="arial" w:eastAsia="arial" w:hAnsi="arial" w:cs="arial"/>
          <w:b/>
          <w:i w:val="0"/>
          <w:strike w:val="0"/>
          <w:noProof w:val="0"/>
          <w:color w:val="000000"/>
          <w:position w:val="0"/>
          <w:sz w:val="20"/>
          <w:u w:val="none"/>
          <w:vertAlign w:val="baseline"/>
        </w:rPr>
        <w:t> [*59021] </w:t>
      </w:r>
      <w:r>
        <w:rPr>
          <w:rFonts w:ascii="arial" w:eastAsia="arial" w:hAnsi="arial" w:cs="arial"/>
          <w:b w:val="0"/>
          <w:i w:val="0"/>
          <w:strike w:val="0"/>
          <w:noProof w:val="0"/>
          <w:color w:val="000000"/>
          <w:position w:val="0"/>
          <w:sz w:val="20"/>
          <w:u w:val="none"/>
          <w:vertAlign w:val="baseline"/>
        </w:rPr>
        <w:t xml:space="preserve">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impose the CAT Fees determined by the Operating Committee on the Exchange's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1701 (Consolidated Audit Trail Compliance Rule--Definitions).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n61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Regulatory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w:t>
      </w:r>
      <w:r>
        <w:rPr>
          <w:rFonts w:ascii="arial" w:eastAsia="arial" w:hAnsi="arial" w:cs="arial"/>
          <w:b/>
          <w:i w:val="0"/>
          <w:strike w:val="0"/>
          <w:noProof w:val="0"/>
          <w:color w:val="000000"/>
          <w:position w:val="0"/>
          <w:sz w:val="20"/>
          <w:u w:val="none"/>
          <w:vertAlign w:val="baseline"/>
        </w:rPr>
        <w:t> [*59022] </w:t>
      </w:r>
      <w:r>
        <w:rPr>
          <w:rFonts w:ascii="arial" w:eastAsia="arial" w:hAnsi="arial" w:cs="arial"/>
          <w:b w:val="0"/>
          <w:i w:val="0"/>
          <w:strike w:val="0"/>
          <w:noProof w:val="0"/>
          <w:color w:val="000000"/>
          <w:position w:val="0"/>
          <w:sz w:val="20"/>
          <w:u w:val="none"/>
          <w:vertAlign w:val="baseline"/>
        </w:rPr>
        <w:t xml:space="preserve"> collection of CAT fees established by the Company.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proposes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the Exchange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n63 The SEC suspended the Original Proposal and instituted proceedings to determine whether to approve or disapprove it. n64 Pursuant to those proceedings, additional comment letters were submitted regarding the proposed funding model. n65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n66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n67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w:t>
      </w:r>
      <w:r>
        <w:rPr>
          <w:rFonts w:ascii="arial" w:eastAsia="arial" w:hAnsi="arial" w:cs="arial"/>
          <w:b/>
          <w:i w:val="0"/>
          <w:strike w:val="0"/>
          <w:noProof w:val="0"/>
          <w:color w:val="000000"/>
          <w:position w:val="0"/>
          <w:sz w:val="20"/>
          <w:u w:val="none"/>
          <w:vertAlign w:val="baseline"/>
        </w:rPr>
        <w:t> [*59023] </w:t>
      </w:r>
      <w:r>
        <w:rPr>
          <w:rFonts w:ascii="arial" w:eastAsia="arial" w:hAnsi="arial" w:cs="arial"/>
          <w:b w:val="0"/>
          <w:i w:val="0"/>
          <w:strike w:val="0"/>
          <w:noProof w:val="0"/>
          <w:color w:val="000000"/>
          <w:position w:val="0"/>
          <w:sz w:val="20"/>
          <w:u w:val="none"/>
          <w:vertAlign w:val="baseline"/>
        </w:rPr>
        <w:t xml:space="preserv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percentages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n68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n69 To address this concern, the Operating Committee proposes to discount the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n70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w:t>
      </w:r>
      <w:r>
        <w:rPr>
          <w:rFonts w:ascii="arial" w:eastAsia="arial" w:hAnsi="arial" w:cs="arial"/>
          <w:b/>
          <w:i w:val="0"/>
          <w:strike w:val="0"/>
          <w:noProof w:val="0"/>
          <w:color w:val="000000"/>
          <w:position w:val="0"/>
          <w:sz w:val="20"/>
          <w:u w:val="none"/>
          <w:vertAlign w:val="baseline"/>
        </w:rPr>
        <w:t> [*59024] </w:t>
      </w:r>
      <w:r>
        <w:rPr>
          <w:rFonts w:ascii="arial" w:eastAsia="arial" w:hAnsi="arial" w:cs="arial"/>
          <w:b w:val="0"/>
          <w:i w:val="0"/>
          <w:strike w:val="0"/>
          <w:noProof w:val="0"/>
          <w:color w:val="000000"/>
          <w:position w:val="0"/>
          <w:sz w:val="20"/>
          <w:u w:val="none"/>
          <w:vertAlign w:val="baseline"/>
        </w:rPr>
        <w:t xml:space="preserve">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n71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the Exchange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n72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n73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n74 The proposed discounts recognize the different types of trading operations presented by Options Market Makers and equities market makers, as well as the value of </w:t>
      </w:r>
      <w:r>
        <w:rPr>
          <w:rFonts w:ascii="arial" w:eastAsia="arial" w:hAnsi="arial" w:cs="arial"/>
          <w:b/>
          <w:i w:val="0"/>
          <w:strike w:val="0"/>
          <w:noProof w:val="0"/>
          <w:color w:val="000000"/>
          <w:position w:val="0"/>
          <w:sz w:val="20"/>
          <w:u w:val="none"/>
          <w:vertAlign w:val="baseline"/>
        </w:rPr>
        <w:t> [*59025] </w:t>
      </w:r>
      <w:r>
        <w:rPr>
          <w:rFonts w:ascii="arial" w:eastAsia="arial" w:hAnsi="arial" w:cs="arial"/>
          <w:b w:val="0"/>
          <w:i w:val="0"/>
          <w:strike w:val="0"/>
          <w:noProof w:val="0"/>
          <w:color w:val="000000"/>
          <w:position w:val="0"/>
          <w:sz w:val="20"/>
          <w:u w:val="none"/>
          <w:vertAlign w:val="baseline"/>
        </w:rPr>
        <w:t xml:space="preserve">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fee schedule to indicate that the message traffic related to equity market maker quotes and Options Market Maker quotes would be discounted. In addition, the Exchange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w:t>
      </w:r>
      <w:r>
        <w:rPr>
          <w:rFonts w:ascii="arial" w:eastAsia="arial" w:hAnsi="arial" w:cs="arial"/>
          <w:b/>
          <w:i w:val="0"/>
          <w:strike w:val="0"/>
          <w:noProof w:val="0"/>
          <w:color w:val="000000"/>
          <w:position w:val="0"/>
          <w:sz w:val="20"/>
          <w:u w:val="none"/>
          <w:vertAlign w:val="baseline"/>
        </w:rPr>
        <w:t> [*59026] </w:t>
      </w:r>
      <w:r>
        <w:rPr>
          <w:rFonts w:ascii="arial" w:eastAsia="arial" w:hAnsi="arial" w:cs="arial"/>
          <w:b w:val="0"/>
          <w:i w:val="0"/>
          <w:strike w:val="0"/>
          <w:noProof w:val="0"/>
          <w:color w:val="000000"/>
          <w:position w:val="0"/>
          <w:sz w:val="20"/>
          <w:u w:val="none"/>
          <w:vertAlign w:val="baseline"/>
        </w:rPr>
        <w:t xml:space="preserve">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n76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Securities Exchange Act Rel. No. 67457 (Jul 18, 2012), </w:t>
      </w:r>
      <w:hyperlink r:id="rId42"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fee schedule to reflect the changes discussed in this section. Specifically, the Exchange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n77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w:t>
      </w:r>
      <w:r>
        <w:rPr>
          <w:rFonts w:ascii="arial" w:eastAsia="arial" w:hAnsi="arial" w:cs="arial"/>
          <w:b/>
          <w:i w:val="0"/>
          <w:strike w:val="0"/>
          <w:noProof w:val="0"/>
          <w:color w:val="000000"/>
          <w:position w:val="0"/>
          <w:sz w:val="20"/>
          <w:u w:val="none"/>
          <w:vertAlign w:val="baseline"/>
        </w:rPr>
        <w:t> [*59027] </w:t>
      </w:r>
      <w:r>
        <w:rPr>
          <w:rFonts w:ascii="arial" w:eastAsia="arial" w:hAnsi="arial" w:cs="arial"/>
          <w:b w:val="0"/>
          <w:i w:val="0"/>
          <w:strike w:val="0"/>
          <w:noProof w:val="0"/>
          <w:color w:val="000000"/>
          <w:position w:val="0"/>
          <w:sz w:val="20"/>
          <w:u w:val="none"/>
          <w:vertAlign w:val="baseline"/>
        </w:rPr>
        <w:t xml:space="preserv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n78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the Exchange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n80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concern regarding the level of Industry Member input into the development of the proposed funding model, and certain commenters have recommended a greater role in the governance of the CAT. n81 The Participants previously addressed this concern in its letters responding to comments on the Plan and the CAT Fees. n82 As discussed in </w:t>
      </w:r>
      <w:r>
        <w:rPr>
          <w:rFonts w:ascii="arial" w:eastAsia="arial" w:hAnsi="arial" w:cs="arial"/>
          <w:b/>
          <w:i w:val="0"/>
          <w:strike w:val="0"/>
          <w:noProof w:val="0"/>
          <w:color w:val="000000"/>
          <w:position w:val="0"/>
          <w:sz w:val="20"/>
          <w:u w:val="none"/>
          <w:vertAlign w:val="baseline"/>
        </w:rPr>
        <w:t> [*59028] </w:t>
      </w:r>
      <w:r>
        <w:rPr>
          <w:rFonts w:ascii="arial" w:eastAsia="arial" w:hAnsi="arial" w:cs="arial"/>
          <w:b w:val="0"/>
          <w:i w:val="0"/>
          <w:strike w:val="0"/>
          <w:noProof w:val="0"/>
          <w:color w:val="000000"/>
          <w:position w:val="0"/>
          <w:sz w:val="20"/>
          <w:u w:val="none"/>
          <w:vertAlign w:val="baseline"/>
        </w:rPr>
        <w:t xml:space="preserve"> those letters, the Participants discussed the funding model with the Development Advisory Group ("DAG"), the advisory group formed to assist in the development of the Plan, during its original development. n83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n84 The Participants previously responded to this concern in both the Plan Response Letter and the Fee Rule Response Letter. n85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n86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n87 The Participants previously responded to this same comment in the Plan Response Letter and the Fee Rule Response Letter. n88 As the Participants previously noted, SEC Rule 613 specifically contemplates broker-dealers contributing to the funding of the CAT. In addition, as noted by the SEC, the CAT "substantially enhance[s] the ability of the SROs and the Commission to oversee today's securities markets," n89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to amend its Fee Schedule is consistent with the provisions of Section 6(b)(5) of the Act, n90 which require, among other things, that the Exchange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dealers, and Section 6(b)(4) of the Act, n91 which requires that Exchange rules provide for equitable allocation of reasonable dues, fees and other charges among its members and issuers and other persons using its facilities. As discussed above, the SEC approved the bifurcated, tiered, fixed fee funding model in the CAT NMS Plan, finding it was reasonable and that it equitably allocated fees among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4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n92 To the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Exchange believes that the proposed CAT Fees are reasonably designed to allocate the total costs of the CAT equitably between and </w:t>
      </w:r>
      <w:r>
        <w:rPr>
          <w:rFonts w:ascii="arial" w:eastAsia="arial" w:hAnsi="arial" w:cs="arial"/>
          <w:b/>
          <w:i w:val="0"/>
          <w:strike w:val="0"/>
          <w:noProof w:val="0"/>
          <w:color w:val="000000"/>
          <w:position w:val="0"/>
          <w:sz w:val="20"/>
          <w:u w:val="none"/>
          <w:vertAlign w:val="baseline"/>
        </w:rPr>
        <w:t> [*59029] </w:t>
      </w:r>
      <w:r>
        <w:rPr>
          <w:rFonts w:ascii="arial" w:eastAsia="arial" w:hAnsi="arial" w:cs="arial"/>
          <w:b w:val="0"/>
          <w:i w:val="0"/>
          <w:strike w:val="0"/>
          <w:noProof w:val="0"/>
          <w:color w:val="000000"/>
          <w:position w:val="0"/>
          <w:sz w:val="20"/>
          <w:u w:val="none"/>
          <w:vertAlign w:val="baseline"/>
        </w:rPr>
        <w:t xml:space="preserve">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n93 requires that Exchange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The Exchange does not believe that the proposed amendments to its Fee Schedule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43"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Commenters' views on whether an analysis of the ratio of the expected Industry Member-reported CAT messages to the expected SRO-reported </w:t>
      </w:r>
      <w:r>
        <w:rPr>
          <w:rFonts w:ascii="arial" w:eastAsia="arial" w:hAnsi="arial" w:cs="arial"/>
          <w:b/>
          <w:i w:val="0"/>
          <w:strike w:val="0"/>
          <w:noProof w:val="0"/>
          <w:color w:val="000000"/>
          <w:position w:val="0"/>
          <w:sz w:val="20"/>
          <w:u w:val="none"/>
          <w:vertAlign w:val="baseline"/>
        </w:rPr>
        <w:t> [*59030] </w:t>
      </w:r>
      <w:r>
        <w:rPr>
          <w:rFonts w:ascii="arial" w:eastAsia="arial" w:hAnsi="arial" w:cs="arial"/>
          <w:b w:val="0"/>
          <w:i w:val="0"/>
          <w:strike w:val="0"/>
          <w:noProof w:val="0"/>
          <w:color w:val="000000"/>
          <w:position w:val="0"/>
          <w:sz w:val="20"/>
          <w:u w:val="none"/>
          <w:vertAlign w:val="baseline"/>
        </w:rPr>
        <w:t xml:space="preserve"> CAT messages should be the basis for determining the allocation of costs between Industry Members and Execution Venues.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n98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[*59031]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SR-MIAX-2017-18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SR-MIAX-2017-18. This file number should be included on the subject line if email is used. To help the Commission process and review your comments more efficiently, please use only one method. The Commission will post all comments on the Commission's internet website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SR-MIAX-2017-18, and should be submitted on or before January 4,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4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authority.&lt;100&gt;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2017-27016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59004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K6-TMH0-006W-84FC-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miaxoptions.com/rule-filings"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67K-XK60-006W-83N3-00000-00&amp;context=" TargetMode="External" /><Relationship Id="rId43" Type="http://schemas.openxmlformats.org/officeDocument/2006/relationships/hyperlink" Target="https://advance.lexis.com/api/document?collection=statutes-legislation&amp;id=urn:contentItem:4YF7-GPC1-NRF4-4309-00000-00&amp;context=" TargetMode="External" /><Relationship Id="rId44" Type="http://schemas.openxmlformats.org/officeDocument/2006/relationships/hyperlink" Target="http://www.sec.gov/rules/sro.shtml" TargetMode="External" /><Relationship Id="rId45" Type="http://schemas.openxmlformats.org/officeDocument/2006/relationships/hyperlink" Target="mailto:rule-comments@sec.gov" TargetMode="External" /><Relationship Id="rId46" Type="http://schemas.openxmlformats.org/officeDocument/2006/relationships/hyperlink" Target="https://advance.lexis.com/api/document?collection=administrative-codes&amp;id=urn:contentItem:5SPP-2120-008G-Y2ND-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80-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59040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71564408</vt:lpwstr>
  </property>
  <property fmtid="{D5CDD505-2E9C-101B-9397-08002B2CF9AE}" pid="3" name="LADocCount">
    <vt:lpwstr>1</vt:lpwstr>
  </property>
  <property fmtid="{D5CDD505-2E9C-101B-9397-08002B2CF9AE}" pid="4" name="UserPermID">
    <vt:lpwstr>urn:user:PA185916758</vt:lpwstr>
  </property>
</Properties>
</file>