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59040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59040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of Amendment No. 2 to a Proposed Rule Change To Adopt Rule 7004 and Chapter XV, Section 11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34-82285; File No. SR-NASDAQ-2017-046]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 2017, The Nasdaq Stock Market LLC. ("Nasdaq" or "Exchange")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6, 2017, the Exchange filed Amendment No. 1 to the proposed rule change. n9 On November 9, 2017, the Commission extended the time period within which to approve the proposed rule change or disapprove the proposed rule change to January 14, 2018. n10 On December 4, 2017, the Exchange filed Amendment No. 2 to the proposed rule change, as described in Items I and II below, which Items have been prepared by the Exchange. n11 The Commission is publishing this notice to solicit comments from interested persons on Amendment No.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80696 (May 16, 2017), </w:t>
      </w:r>
      <w:hyperlink r:id="rId10" w:history="1">
        <w:r>
          <w:rPr>
            <w:rFonts w:ascii="arial" w:eastAsia="arial" w:hAnsi="arial" w:cs="arial"/>
            <w:b w:val="0"/>
            <w:i/>
            <w:strike w:val="0"/>
            <w:noProof w:val="0"/>
            <w:color w:val="0077CC"/>
            <w:position w:val="0"/>
            <w:sz w:val="20"/>
            <w:u w:val="single"/>
            <w:vertAlign w:val="baseline"/>
          </w:rPr>
          <w:t>82 FR 23439</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Amendment No. 1 to the proposed rule change replaced and superseded the Original Proposal in its entirety. Amendment No. 1 is available on the Commission's website for Nasdaq at: </w:t>
      </w:r>
      <w:hyperlink r:id="rId28" w:history="1">
        <w:r>
          <w:rPr>
            <w:rFonts w:ascii="arial" w:eastAsia="arial" w:hAnsi="arial" w:cs="arial"/>
            <w:b w:val="0"/>
            <w:i/>
            <w:strike w:val="0"/>
            <w:noProof w:val="0"/>
            <w:color w:val="0077CC"/>
            <w:position w:val="0"/>
            <w:sz w:val="20"/>
            <w:u w:val="single"/>
            <w:vertAlign w:val="baseline"/>
          </w:rPr>
          <w:t>https://www.sec.gov/comments/sr-nasdaq-2017-046/nasdaq2017046-2673136-161450.pdf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9"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Amendment No. 2 replaces and supersedes Amendment No. 1 in its entirety.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 2017, The Nasdaq Stock Market LLC filed with the Securities and Exchange Commission ("Commission" or "SEC") proposed rule change SR-NASDAQ-2017-046 (the "Original Proposal"), pursuant to which the Exchange proposed to adopt a fee schedule to establish the fees for Industry Members related to the National Market System Plan Governing the Consolidated Audit Trail (the "CAT NMS Plan" or "Plan"). n12 The Exchange is filing this proposed rule change (the "Amendment") to amend the Original Proposal. On November 6, 2017, the Exchange filed an amendment to the Original Proposal ("Amendment No. 1"), which replaced the Original Proposal in its entirety. The Exchange is now filing this Amendment No. 2 to replace Amendment No. 1 in its entirety. This Amendment No. 2 describes the changes from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fee filing are defined as set forth herein, the CAT Compliance Rule Series, in the CAT NMS Plan, or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Amendment No. 2, the Exchange is including </w:t>
      </w:r>
      <w:r>
        <w:rPr>
          <w:rFonts w:ascii="arial" w:eastAsia="arial" w:hAnsi="arial" w:cs="arial"/>
          <w:b w:val="0"/>
          <w:i/>
          <w:strike w:val="0"/>
          <w:noProof w:val="0"/>
          <w:color w:val="000000"/>
          <w:position w:val="0"/>
          <w:sz w:val="20"/>
          <w:u w:val="none"/>
          <w:vertAlign w:val="baseline"/>
        </w:rPr>
        <w:t>Exhibit 4,</w:t>
      </w:r>
      <w:r>
        <w:rPr>
          <w:rFonts w:ascii="arial" w:eastAsia="arial" w:hAnsi="arial" w:cs="arial"/>
          <w:b w:val="0"/>
          <w:i w:val="0"/>
          <w:strike w:val="0"/>
          <w:noProof w:val="0"/>
          <w:color w:val="000000"/>
          <w:position w:val="0"/>
          <w:sz w:val="20"/>
          <w:u w:val="none"/>
          <w:vertAlign w:val="baseline"/>
        </w:rPr>
        <w:t xml:space="preserve"> which reflects the changes to the text of the proposed rule change as set forth in the Original Proposal, and </w:t>
      </w:r>
      <w:r>
        <w:rPr>
          <w:rFonts w:ascii="arial" w:eastAsia="arial" w:hAnsi="arial" w:cs="arial"/>
          <w:b w:val="0"/>
          <w:i/>
          <w:strike w:val="0"/>
          <w:noProof w:val="0"/>
          <w:color w:val="000000"/>
          <w:position w:val="0"/>
          <w:sz w:val="20"/>
          <w:u w:val="none"/>
          <w:vertAlign w:val="baseline"/>
        </w:rPr>
        <w:t>Exhibit 5,</w:t>
      </w:r>
      <w:r>
        <w:rPr>
          <w:rFonts w:ascii="arial" w:eastAsia="arial" w:hAnsi="arial" w:cs="arial"/>
          <w:b w:val="0"/>
          <w:i w:val="0"/>
          <w:strike w:val="0"/>
          <w:noProof w:val="0"/>
          <w:color w:val="000000"/>
          <w:position w:val="0"/>
          <w:sz w:val="20"/>
          <w:u w:val="none"/>
          <w:vertAlign w:val="baseline"/>
        </w:rPr>
        <w:t xml:space="preserve"> which reflects all proposed changes to the Exchange's current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website at </w:t>
      </w:r>
      <w:hyperlink r:id="rId3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 </w:t>
      </w:r>
      <w:r>
        <w:rPr>
          <w:rFonts w:ascii="arial" w:eastAsia="arial" w:hAnsi="arial" w:cs="arial"/>
          <w:b/>
          <w:i w:val="0"/>
          <w:strike w:val="0"/>
          <w:noProof w:val="0"/>
          <w:color w:val="000000"/>
          <w:position w:val="0"/>
          <w:sz w:val="20"/>
          <w:u w:val="none"/>
          <w:vertAlign w:val="baseline"/>
        </w:rPr>
        <w:t> [*59041]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80248 (March 15, 2017), </w:t>
      </w:r>
      <w:hyperlink r:id="rId31"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(March 21, 2017); Securities Exchange Act Release No. 80326 (March 29, 2017), </w:t>
      </w:r>
      <w:hyperlink r:id="rId32"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(April 4, 2017); and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79902 (January 30, 2017), </w:t>
      </w:r>
      <w:hyperlink r:id="rId33"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(February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5"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Release No. 77724 (April 27, 2016), </w:t>
      </w:r>
      <w:hyperlink r:id="rId36"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Release No. 79318 (November 15, 2016), </w:t>
      </w:r>
      <w:hyperlink r:id="rId37"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80696 (May 16, 2017), </w:t>
      </w:r>
      <w:hyperlink r:id="rId10" w:history="1">
        <w:r>
          <w:rPr>
            <w:rFonts w:ascii="arial" w:eastAsia="arial" w:hAnsi="arial" w:cs="arial"/>
            <w:b w:val="0"/>
            <w:i/>
            <w:strike w:val="0"/>
            <w:noProof w:val="0"/>
            <w:color w:val="0077CC"/>
            <w:position w:val="0"/>
            <w:sz w:val="20"/>
            <w:u w:val="single"/>
            <w:vertAlign w:val="baseline"/>
          </w:rPr>
          <w:t>82 FR 23439</w:t>
        </w:r>
      </w:hyperlink>
      <w:r>
        <w:rPr>
          <w:rFonts w:ascii="arial" w:eastAsia="arial" w:hAnsi="arial" w:cs="arial"/>
          <w:b w:val="0"/>
          <w:i w:val="0"/>
          <w:strike w:val="0"/>
          <w:noProof w:val="0"/>
          <w:color w:val="000000"/>
          <w:position w:val="0"/>
          <w:sz w:val="20"/>
          <w:u w:val="none"/>
          <w:vertAlign w:val="baseline"/>
        </w:rPr>
        <w:t xml:space="preserve"> (May 22, 2017) (SR-NASDAQ-2017-046).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Original Proposal, the Operating Committee determined to make the following changes to the funding model: (1) Adds two additional CAT Fee tiers for Equity Execution Venues; (2) discounts the OTC Equity Securities market share of Execution Venue ATSs trading OTC Equity Securities as well as the market share of the FINRA over-the-counter reporting facility ("ORF") by the average shares per trade ratio between NMS Stocks and OTC Equity Securities (calculated as 0.17% based on available data from the second quarter of 2017) when calculating the market share of Execution Venue ATS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w:t>
      </w:r>
      <w:r>
        <w:rPr>
          <w:rFonts w:ascii="arial" w:eastAsia="arial" w:hAnsi="arial" w:cs="arial"/>
          <w:b/>
          <w:i w:val="0"/>
          <w:strike w:val="0"/>
          <w:noProof w:val="0"/>
          <w:color w:val="000000"/>
          <w:position w:val="0"/>
          <w:sz w:val="20"/>
          <w:u w:val="none"/>
          <w:vertAlign w:val="baseline"/>
        </w:rPr>
        <w:t> [*59042] </w:t>
      </w:r>
      <w:r>
        <w:rPr>
          <w:rFonts w:ascii="arial" w:eastAsia="arial" w:hAnsi="arial" w:cs="arial"/>
          <w:b w:val="0"/>
          <w:i w:val="0"/>
          <w:strike w:val="0"/>
          <w:noProof w:val="0"/>
          <w:color w:val="000000"/>
          <w:position w:val="0"/>
          <w:sz w:val="20"/>
          <w:u w:val="none"/>
          <w:vertAlign w:val="baseline"/>
        </w:rPr>
        <w:t xml:space="preserve">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used in calculating the CAT Fees in this fee filing are comprised of Plan Processor CAT costs and non-Plan Processor CAT costs incurred, and estimated to be incurred, from November 21, 2016 through November 21, 2017. Although the CAT costs from November 21, 2016 through November 21, 2017 were used in calculating the CAT Fees, the CAT Fees set forth in this fee filing would be in effect until the automatic sunset date, as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OTC Equity Securities market share of Execution Venue ATSs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w:t>
      </w:r>
      <w:r>
        <w:rPr>
          <w:rFonts w:ascii="arial" w:eastAsia="arial" w:hAnsi="arial" w:cs="arial"/>
          <w:b/>
          <w:i w:val="0"/>
          <w:strike w:val="0"/>
          <w:noProof w:val="0"/>
          <w:color w:val="000000"/>
          <w:position w:val="0"/>
          <w:sz w:val="20"/>
          <w:u w:val="none"/>
          <w:vertAlign w:val="baseline"/>
        </w:rPr>
        <w:t> [*59043] </w:t>
      </w:r>
      <w:r>
        <w:rPr>
          <w:rFonts w:ascii="arial" w:eastAsia="arial" w:hAnsi="arial" w:cs="arial"/>
          <w:b w:val="0"/>
          <w:i w:val="0"/>
          <w:strike w:val="0"/>
          <w:noProof w:val="0"/>
          <w:color w:val="000000"/>
          <w:position w:val="0"/>
          <w:sz w:val="20"/>
          <w:u w:val="none"/>
          <w:vertAlign w:val="baseline"/>
        </w:rPr>
        <w:t xml:space="preserve">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n37 Correspondingly, Execution Venues with the highest market shares will be in the top tier, and will be charged higher fees. Execution Venues with the lowest market shares will be in the lowest tier and will be assessed smaller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w:t>
      </w:r>
      <w:r>
        <w:rPr>
          <w:rFonts w:ascii="arial" w:eastAsia="arial" w:hAnsi="arial" w:cs="arial"/>
          <w:b/>
          <w:i w:val="0"/>
          <w:strike w:val="0"/>
          <w:noProof w:val="0"/>
          <w:color w:val="000000"/>
          <w:position w:val="0"/>
          <w:sz w:val="20"/>
          <w:u w:val="none"/>
          <w:vertAlign w:val="baseline"/>
        </w:rPr>
        <w:t> [*59044] </w:t>
      </w:r>
      <w:r>
        <w:rPr>
          <w:rFonts w:ascii="arial" w:eastAsia="arial" w:hAnsi="arial" w:cs="arial"/>
          <w:b w:val="0"/>
          <w:i w:val="0"/>
          <w:strike w:val="0"/>
          <w:noProof w:val="0"/>
          <w:color w:val="000000"/>
          <w:position w:val="0"/>
          <w:sz w:val="20"/>
          <w:u w:val="none"/>
          <w:vertAlign w:val="baseline"/>
        </w:rPr>
        <w:t xml:space="preserve">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OTC Equity Securities market share of Execution Venue ATSs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 </w:t>
      </w:r>
      <w:r>
        <w:rPr>
          <w:rFonts w:ascii="arial" w:eastAsia="arial" w:hAnsi="arial" w:cs="arial"/>
          <w:b/>
          <w:i w:val="0"/>
          <w:strike w:val="0"/>
          <w:noProof w:val="0"/>
          <w:color w:val="000000"/>
          <w:position w:val="0"/>
          <w:sz w:val="20"/>
          <w:u w:val="none"/>
          <w:vertAlign w:val="baseline"/>
        </w:rPr>
        <w:t> [*59045]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w:t>
      </w:r>
      <w:r>
        <w:rPr>
          <w:rFonts w:ascii="arial" w:eastAsia="arial" w:hAnsi="arial" w:cs="arial"/>
          <w:b/>
          <w:i w:val="0"/>
          <w:strike w:val="0"/>
          <w:noProof w:val="0"/>
          <w:color w:val="000000"/>
          <w:position w:val="0"/>
          <w:sz w:val="20"/>
          <w:u w:val="none"/>
          <w:vertAlign w:val="baseline"/>
        </w:rPr>
        <w:t> [*59046] </w:t>
      </w:r>
      <w:r>
        <w:rPr>
          <w:rFonts w:ascii="arial" w:eastAsia="arial" w:hAnsi="arial" w:cs="arial"/>
          <w:b w:val="0"/>
          <w:i w:val="0"/>
          <w:strike w:val="0"/>
          <w:noProof w:val="0"/>
          <w:color w:val="000000"/>
          <w:position w:val="0"/>
          <w:sz w:val="20"/>
          <w:u w:val="none"/>
          <w:vertAlign w:val="baseline"/>
        </w:rPr>
        <w:t xml:space="preserve">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8"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w:t>
      </w:r>
      <w:r>
        <w:rPr>
          <w:rFonts w:ascii="arial" w:eastAsia="arial" w:hAnsi="arial" w:cs="arial"/>
          <w:b/>
          <w:i w:val="0"/>
          <w:strike w:val="0"/>
          <w:noProof w:val="0"/>
          <w:color w:val="000000"/>
          <w:position w:val="0"/>
          <w:sz w:val="20"/>
          <w:u w:val="none"/>
          <w:vertAlign w:val="baseline"/>
        </w:rPr>
        <w:t> [*59047] </w:t>
      </w:r>
      <w:r>
        <w:rPr>
          <w:rFonts w:ascii="arial" w:eastAsia="arial" w:hAnsi="arial" w:cs="arial"/>
          <w:b w:val="0"/>
          <w:i w:val="0"/>
          <w:strike w:val="0"/>
          <w:noProof w:val="0"/>
          <w:color w:val="000000"/>
          <w:position w:val="0"/>
          <w:sz w:val="20"/>
          <w:u w:val="none"/>
          <w:vertAlign w:val="baseline"/>
        </w:rPr>
        <w:t xml:space="preserve">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77265 (March 1, 2017), </w:t>
      </w:r>
      <w:hyperlink r:id="rId39"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(March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w:t>
      </w:r>
      <w:r>
        <w:rPr>
          <w:rFonts w:ascii="arial" w:eastAsia="arial" w:hAnsi="arial" w:cs="arial"/>
          <w:b/>
          <w:i w:val="0"/>
          <w:strike w:val="0"/>
          <w:noProof w:val="0"/>
          <w:color w:val="000000"/>
          <w:position w:val="0"/>
          <w:sz w:val="20"/>
          <w:u w:val="none"/>
          <w:vertAlign w:val="baseline"/>
        </w:rPr>
        <w:t> [*59048] </w:t>
      </w:r>
      <w:r>
        <w:rPr>
          <w:rFonts w:ascii="arial" w:eastAsia="arial" w:hAnsi="arial" w:cs="arial"/>
          <w:b w:val="0"/>
          <w:i w:val="0"/>
          <w:strike w:val="0"/>
          <w:noProof w:val="0"/>
          <w:color w:val="000000"/>
          <w:position w:val="0"/>
          <w:sz w:val="20"/>
          <w:u w:val="none"/>
          <w:vertAlign w:val="baseline"/>
        </w:rPr>
        <w:t xml:space="preserve">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w:t>
      </w:r>
      <w:r>
        <w:rPr>
          <w:rFonts w:ascii="arial" w:eastAsia="arial" w:hAnsi="arial" w:cs="arial"/>
          <w:b w:val="0"/>
          <w:i/>
          <w:strike w:val="0"/>
          <w:noProof w:val="0"/>
          <w:color w:val="000000"/>
          <w:position w:val="0"/>
          <w:sz w:val="20"/>
          <w:u w:val="none"/>
          <w:vertAlign w:val="baseline"/>
        </w:rPr>
        <w:t>otcmarkets.com</w:t>
      </w:r>
      <w:r>
        <w:rPr>
          <w:rFonts w:ascii="arial" w:eastAsia="arial" w:hAnsi="arial" w:cs="arial"/>
          <w:b w:val="0"/>
          <w:i w:val="0"/>
          <w:strike w:val="0"/>
          <w:noProof w:val="0"/>
          <w:color w:val="000000"/>
          <w:position w:val="0"/>
          <w:sz w:val="20"/>
          <w:u w:val="none"/>
          <w:vertAlign w:val="baseline"/>
        </w:rPr>
        <w:t>,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OTC Equity Securities market share of Execution Venue ATSs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trading OTC Equity Securities and FINRA would likely be subject to higher tiers than their operations may warrant. To address this potential concern, the Operating Committee determined to discount the OTC Equity Securities market share of Execution Venue ATSs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 Venue tier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OTC Equity Securities market share of Execution Venue ATSs trading OTC Equity Securities as well as the market share of the FINRA ORF, as described above). Similarly, market share for Options Execution Venues will be determined by calculating each Options Execution </w:t>
      </w:r>
      <w:r>
        <w:rPr>
          <w:rFonts w:ascii="arial" w:eastAsia="arial" w:hAnsi="arial" w:cs="arial"/>
          <w:b/>
          <w:i w:val="0"/>
          <w:strike w:val="0"/>
          <w:noProof w:val="0"/>
          <w:color w:val="000000"/>
          <w:position w:val="0"/>
          <w:sz w:val="20"/>
          <w:u w:val="none"/>
          <w:vertAlign w:val="baseline"/>
        </w:rPr>
        <w:t> [*59050] </w:t>
      </w:r>
      <w:r>
        <w:rPr>
          <w:rFonts w:ascii="arial" w:eastAsia="arial" w:hAnsi="arial" w:cs="arial"/>
          <w:b w:val="0"/>
          <w:i w:val="0"/>
          <w:strike w:val="0"/>
          <w:noProof w:val="0"/>
          <w:color w:val="000000"/>
          <w:position w:val="0"/>
          <w:sz w:val="20"/>
          <w:u w:val="none"/>
          <w:vertAlign w:val="baseline"/>
        </w:rPr>
        <w:t xml:space="preserve">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 </w:t>
      </w:r>
      <w:r>
        <w:rPr>
          <w:rFonts w:ascii="arial" w:eastAsia="arial" w:hAnsi="arial" w:cs="arial"/>
          <w:b/>
          <w:i w:val="0"/>
          <w:strike w:val="0"/>
          <w:noProof w:val="0"/>
          <w:color w:val="000000"/>
          <w:position w:val="0"/>
          <w:sz w:val="20"/>
          <w:u w:val="none"/>
          <w:vertAlign w:val="baseline"/>
        </w:rPr>
        <w:t> [*59051]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[*59053] </w:t>
      </w:r>
    </w:p>
    <w:p>
      <w:pPr>
        <w:keepNext w:val="0"/>
        <w:spacing w:before="200" w:after="0" w:line="260" w:lineRule="atLeast"/>
        <w:ind w:left="0" w:right="0" w:firstLine="0"/>
        <w:jc w:val="both"/>
      </w:pPr>
      <w:r>
        <w:pict>
          <v:shape id="_x0000_i1028" type="#_x0000_t75" style="width:414.06pt;height:586.58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Calculation of Annual Tier Fees for Equity Execution Venues ("EV") </w:t>
      </w:r>
      <w:r>
        <w:rPr>
          <w:rFonts w:ascii="arial" w:eastAsia="arial" w:hAnsi="arial" w:cs="arial"/>
          <w:b/>
          <w:i w:val="0"/>
          <w:strike w:val="0"/>
          <w:noProof w:val="0"/>
          <w:color w:val="000000"/>
          <w:position w:val="0"/>
          <w:sz w:val="20"/>
          <w:u w:val="none"/>
          <w:vertAlign w:val="baseline"/>
        </w:rPr>
        <w:t> [*59054]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302.29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138.77pt">
            <v:imagedata r:id="rId42"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11.1(c) of the CAT NMS Plan, to fund the development and implementation of the CAT, the Company shall time the imposition and collection of all fees on Participants and Industry Members in a manner reasonably related to the timing when the Company expects to incur such </w:t>
      </w:r>
      <w:r>
        <w:rPr>
          <w:rFonts w:ascii="arial" w:eastAsia="arial" w:hAnsi="arial" w:cs="arial"/>
          <w:b/>
          <w:i w:val="0"/>
          <w:strike w:val="0"/>
          <w:noProof w:val="0"/>
          <w:color w:val="000000"/>
          <w:position w:val="0"/>
          <w:sz w:val="20"/>
          <w:u w:val="none"/>
          <w:vertAlign w:val="baseline"/>
        </w:rPr>
        <w:t> [*59056] </w:t>
      </w:r>
      <w:r>
        <w:rPr>
          <w:rFonts w:ascii="arial" w:eastAsia="arial" w:hAnsi="arial" w:cs="arial"/>
          <w:b w:val="0"/>
          <w:i w:val="0"/>
          <w:strike w:val="0"/>
          <w:noProof w:val="0"/>
          <w:color w:val="000000"/>
          <w:position w:val="0"/>
          <w:sz w:val="20"/>
          <w:u w:val="none"/>
          <w:vertAlign w:val="baseline"/>
        </w:rPr>
        <w:t xml:space="preserve">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the Participants will file such changes with the SEC pursuant to Section 19(b) of the Exchange Act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and any such changes will become effective in accordance with the requirements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[*59057]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impose the CAT Fees determined by the Operating Committee on the Exchange's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6810 and Chapter IX, Section 8(a)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the OTC Equity Securities market share of Equity ATSs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w:t>
      </w:r>
      <w:r>
        <w:rPr>
          <w:rFonts w:ascii="arial" w:eastAsia="arial" w:hAnsi="arial" w:cs="arial"/>
          <w:b/>
          <w:i w:val="0"/>
          <w:strike w:val="0"/>
          <w:noProof w:val="0"/>
          <w:color w:val="000000"/>
          <w:position w:val="0"/>
          <w:sz w:val="20"/>
          <w:u w:val="none"/>
          <w:vertAlign w:val="baseline"/>
        </w:rPr>
        <w:t> [*59058] </w:t>
      </w:r>
      <w:r>
        <w:rPr>
          <w:rFonts w:ascii="arial" w:eastAsia="arial" w:hAnsi="arial" w:cs="arial"/>
          <w:b w:val="0"/>
          <w:i w:val="0"/>
          <w:strike w:val="0"/>
          <w:noProof w:val="0"/>
          <w:color w:val="000000"/>
          <w:position w:val="0"/>
          <w:sz w:val="20"/>
          <w:u w:val="none"/>
          <w:vertAlign w:val="baseline"/>
        </w:rPr>
        <w:t xml:space="preserve">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w:t>
      </w:r>
      <w:r>
        <w:rPr>
          <w:rFonts w:ascii="arial" w:eastAsia="arial" w:hAnsi="arial" w:cs="arial"/>
          <w:b w:val="0"/>
          <w:i/>
          <w:strike w:val="0"/>
          <w:noProof w:val="0"/>
          <w:color w:val="000000"/>
          <w:position w:val="0"/>
          <w:sz w:val="20"/>
          <w:u w:val="none"/>
          <w:vertAlign w:val="baseline"/>
        </w:rPr>
        <w:t>Regulatory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makes the following changes to the Original Proposal: (1) Adds two additional CAT Fee tiers for Equity Execution Venues; (2) discounts the OTC Equity Securities market share of Execution Venue ATSs trading OTC Equity Securities as well as the market share of the FINRA ORF by the average shares per trade ratio between NMS Stocks and OTC Equity Securities (calculated as 0.17% based on available data from the second quarter of 2017) when calculating the market share of Execution Venue ATSs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w:t>
      </w:r>
      <w:r>
        <w:rPr>
          <w:rFonts w:ascii="arial" w:eastAsia="arial" w:hAnsi="arial" w:cs="arial"/>
          <w:b/>
          <w:i w:val="0"/>
          <w:strike w:val="0"/>
          <w:noProof w:val="0"/>
          <w:color w:val="000000"/>
          <w:position w:val="0"/>
          <w:sz w:val="20"/>
          <w:u w:val="none"/>
          <w:vertAlign w:val="baseline"/>
        </w:rPr>
        <w:t> [*59059] </w:t>
      </w:r>
      <w:r>
        <w:rPr>
          <w:rFonts w:ascii="arial" w:eastAsia="arial" w:hAnsi="arial" w:cs="arial"/>
          <w:b w:val="0"/>
          <w:i w:val="0"/>
          <w:strike w:val="0"/>
          <w:noProof w:val="0"/>
          <w:color w:val="000000"/>
          <w:position w:val="0"/>
          <w:sz w:val="20"/>
          <w:u w:val="none"/>
          <w:vertAlign w:val="baseline"/>
        </w:rPr>
        <w:t xml:space="preserve">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n68 To address this concern, the Operating Committee proposes to discount the OTC Equity Securities market share of Execution Venue ATSs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OTC Equity Securities market share of Execution Venue ATSs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OTC Equity Securities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Suspension Order at 31664-5. </w:t>
      </w:r>
      <w:r>
        <w:rPr>
          <w:rFonts w:ascii="arial" w:eastAsia="arial" w:hAnsi="arial" w:cs="arial"/>
          <w:b/>
          <w:i w:val="0"/>
          <w:strike w:val="0"/>
          <w:noProof w:val="0"/>
          <w:color w:val="000000"/>
          <w:position w:val="0"/>
          <w:sz w:val="20"/>
          <w:u w:val="none"/>
          <w:vertAlign w:val="baseline"/>
        </w:rPr>
        <w:t> [*59060]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trading OTC Equity Securities to tiers for smaller Execution Venues and with lower fees. For example, under the Original Proposal, one Execution Venue ATS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fee schedule to indicate that the OTC Equity Securities market share for Equity ATSs trading OTC Equity Securities as well as the market share of the FINRA ORF would be discounted. In addition, as discussed above, to address concerns related to smaller ATSs, including those that trade OTC Equity Securities, the Exchange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w:t>
      </w:r>
      <w:r>
        <w:rPr>
          <w:rFonts w:ascii="arial" w:eastAsia="arial" w:hAnsi="arial" w:cs="arial"/>
          <w:b/>
          <w:i w:val="0"/>
          <w:strike w:val="0"/>
          <w:noProof w:val="0"/>
          <w:color w:val="000000"/>
          <w:position w:val="0"/>
          <w:sz w:val="20"/>
          <w:u w:val="none"/>
          <w:vertAlign w:val="baseline"/>
        </w:rPr>
        <w:t> [*59061] </w:t>
      </w:r>
      <w:r>
        <w:rPr>
          <w:rFonts w:ascii="arial" w:eastAsia="arial" w:hAnsi="arial" w:cs="arial"/>
          <w:b w:val="0"/>
          <w:i w:val="0"/>
          <w:strike w:val="0"/>
          <w:noProof w:val="0"/>
          <w:color w:val="000000"/>
          <w:position w:val="0"/>
          <w:sz w:val="20"/>
          <w:u w:val="none"/>
          <w:vertAlign w:val="baseline"/>
        </w:rPr>
        <w:t xml:space="preserv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fee schedule to indicate that the message traffic related to equity market maker quotes and Options Market Maker quotes would be discounted. In addition, the Exchange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w:t>
      </w:r>
      <w:r>
        <w:rPr>
          <w:rFonts w:ascii="arial" w:eastAsia="arial" w:hAnsi="arial" w:cs="arial"/>
          <w:b/>
          <w:i w:val="0"/>
          <w:strike w:val="0"/>
          <w:noProof w:val="0"/>
          <w:color w:val="000000"/>
          <w:position w:val="0"/>
          <w:sz w:val="20"/>
          <w:u w:val="none"/>
          <w:vertAlign w:val="baseline"/>
        </w:rPr>
        <w:t> [*59062] </w:t>
      </w:r>
      <w:r>
        <w:rPr>
          <w:rFonts w:ascii="arial" w:eastAsia="arial" w:hAnsi="arial" w:cs="arial"/>
          <w:b w:val="0"/>
          <w:i w:val="0"/>
          <w:strike w:val="0"/>
          <w:noProof w:val="0"/>
          <w:color w:val="000000"/>
          <w:position w:val="0"/>
          <w:sz w:val="20"/>
          <w:u w:val="none"/>
          <w:vertAlign w:val="baseline"/>
        </w:rPr>
        <w:t xml:space="preserv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Release No. 67457 (July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(August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fee schedule to reflect the changes discussed in this section. Specifically, the Exchange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w:t>
      </w:r>
      <w:r>
        <w:rPr>
          <w:rFonts w:ascii="arial" w:eastAsia="arial" w:hAnsi="arial" w:cs="arial"/>
          <w:b/>
          <w:i w:val="0"/>
          <w:strike w:val="0"/>
          <w:noProof w:val="0"/>
          <w:color w:val="000000"/>
          <w:position w:val="0"/>
          <w:sz w:val="20"/>
          <w:u w:val="none"/>
          <w:vertAlign w:val="baseline"/>
        </w:rPr>
        <w:t> [*59063] </w:t>
      </w:r>
      <w:r>
        <w:rPr>
          <w:rFonts w:ascii="arial" w:eastAsia="arial" w:hAnsi="arial" w:cs="arial"/>
          <w:b w:val="0"/>
          <w:i w:val="0"/>
          <w:strike w:val="0"/>
          <w:noProof w:val="0"/>
          <w:color w:val="000000"/>
          <w:position w:val="0"/>
          <w:sz w:val="20"/>
          <w:u w:val="none"/>
          <w:vertAlign w:val="baseline"/>
        </w:rPr>
        <w:t xml:space="preserve">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various funding model alternatives discussed above regarding discounts, number of tiers and allocation percentages, the Operating Committee also discussed other possible funding models. For example, the Operating Committee considered </w:t>
      </w:r>
      <w:r>
        <w:rPr>
          <w:rFonts w:ascii="arial" w:eastAsia="arial" w:hAnsi="arial" w:cs="arial"/>
          <w:b/>
          <w:i w:val="0"/>
          <w:strike w:val="0"/>
          <w:noProof w:val="0"/>
          <w:color w:val="000000"/>
          <w:position w:val="0"/>
          <w:sz w:val="20"/>
          <w:u w:val="none"/>
          <w:vertAlign w:val="baseline"/>
        </w:rPr>
        <w:t> [*59064] </w:t>
      </w:r>
      <w:r>
        <w:rPr>
          <w:rFonts w:ascii="arial" w:eastAsia="arial" w:hAnsi="arial" w:cs="arial"/>
          <w:b w:val="0"/>
          <w:i w:val="0"/>
          <w:strike w:val="0"/>
          <w:noProof w:val="0"/>
          <w:color w:val="000000"/>
          <w:position w:val="0"/>
          <w:sz w:val="20"/>
          <w:u w:val="none"/>
          <w:vertAlign w:val="baseline"/>
        </w:rPr>
        <w:t xml:space="preserve">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n89 in general, and furthers the objectives of Sections 6(b)(4) and 6(b)(5) of the Act, n90 in particular, in that it provides for the equitable allocation of reasonable dues, fees, and other charges among members and issuers and other persons using any facility, is not designed to permit unfair discrimination between customers, issuers, brokers, or dealers, and is designed to prevent fraudulent and manipulative acts and practices, to promote just and equitable principles of trade, and, in general, to protect investors and the public interest.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w:t>
      </w:r>
      <w:r>
        <w:rPr>
          <w:rFonts w:ascii="arial" w:eastAsia="arial" w:hAnsi="arial" w:cs="arial"/>
          <w:b/>
          <w:i w:val="0"/>
          <w:strike w:val="0"/>
          <w:noProof w:val="0"/>
          <w:color w:val="000000"/>
          <w:position w:val="0"/>
          <w:sz w:val="20"/>
          <w:u w:val="none"/>
          <w:vertAlign w:val="baseline"/>
        </w:rPr>
        <w:t> [*59065] </w:t>
      </w:r>
      <w:r>
        <w:rPr>
          <w:rFonts w:ascii="arial" w:eastAsia="arial" w:hAnsi="arial" w:cs="arial"/>
          <w:b w:val="0"/>
          <w:i w:val="0"/>
          <w:strike w:val="0"/>
          <w:noProof w:val="0"/>
          <w:color w:val="000000"/>
          <w:position w:val="0"/>
          <w:sz w:val="20"/>
          <w:u w:val="none"/>
          <w:vertAlign w:val="baseline"/>
        </w:rPr>
        <w:t xml:space="preserv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2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Commenters' views as to whether the allocation of 25% of CAT costs to </w:t>
      </w:r>
      <w:r>
        <w:rPr>
          <w:rFonts w:ascii="arial" w:eastAsia="arial" w:hAnsi="arial" w:cs="arial"/>
          <w:b/>
          <w:i w:val="0"/>
          <w:strike w:val="0"/>
          <w:noProof w:val="0"/>
          <w:color w:val="000000"/>
          <w:position w:val="0"/>
          <w:sz w:val="20"/>
          <w:u w:val="none"/>
          <w:vertAlign w:val="baseline"/>
        </w:rPr>
        <w:t> [*59066] </w:t>
      </w:r>
      <w:r>
        <w:rPr>
          <w:rFonts w:ascii="arial" w:eastAsia="arial" w:hAnsi="arial" w:cs="arial"/>
          <w:b w:val="0"/>
          <w:i w:val="0"/>
          <w:strike w:val="0"/>
          <w:noProof w:val="0"/>
          <w:color w:val="000000"/>
          <w:position w:val="0"/>
          <w:sz w:val="20"/>
          <w:u w:val="none"/>
          <w:vertAlign w:val="baseline"/>
        </w:rPr>
        <w:t xml:space="preserve">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n96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 </w:t>
      </w:r>
      <w:r>
        <w:rPr>
          <w:rFonts w:ascii="arial" w:eastAsia="arial" w:hAnsi="arial" w:cs="arial"/>
          <w:b/>
          <w:i w:val="0"/>
          <w:strike w:val="0"/>
          <w:noProof w:val="0"/>
          <w:color w:val="000000"/>
          <w:position w:val="0"/>
          <w:sz w:val="20"/>
          <w:u w:val="none"/>
          <w:vertAlign w:val="baseline"/>
        </w:rPr>
        <w:t> [*59067]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SR-NASDAQ-2017-046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SR-NASDAQ-2017-046.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SR-NASDAQ-2017-046, and should be submitted on or before January 4,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authority.&lt;98&gt;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2017-27007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59040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J-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www.sec.gov/comments/sr-nasdaq-2017-046/nasdaq2017046-2673136-161450.pdf" TargetMode="External" /><Relationship Id="rId29" Type="http://schemas.openxmlformats.org/officeDocument/2006/relationships/hyperlink" Target="https://advance.lexis.com/api/document?collection=administrative-codes&amp;id=urn:contentItem:5PYV-R2X0-006W-81MM-00000-00&amp;context=" TargetMode="External" /><Relationship Id="rId3" Type="http://schemas.openxmlformats.org/officeDocument/2006/relationships/fontTable" Target="fontTable.xml" /><Relationship Id="rId30" Type="http://schemas.openxmlformats.org/officeDocument/2006/relationships/hyperlink" Target="http://nasdaq.cchwallstreet.com/" TargetMode="External" /><Relationship Id="rId31" Type="http://schemas.openxmlformats.org/officeDocument/2006/relationships/hyperlink" Target="https://advance.lexis.com/api/document?collection=administrative-codes&amp;id=urn:contentItem:5N4M-G290-006W-83WC-00000-00&amp;context=" TargetMode="External" /><Relationship Id="rId32" Type="http://schemas.openxmlformats.org/officeDocument/2006/relationships/hyperlink" Target="https://advance.lexis.com/api/document?collection=administrative-codes&amp;id=urn:contentItem:5N7M-0R40-006W-8021-00000-00&amp;context=" TargetMode="External" /><Relationship Id="rId33" Type="http://schemas.openxmlformats.org/officeDocument/2006/relationships/hyperlink" Target="https://advance.lexis.com/api/document?collection=administrative-codes&amp;id=urn:contentItem:5MST-XP80-006W-850P-00000-00&amp;context=" TargetMode="External" /><Relationship Id="rId34" Type="http://schemas.openxmlformats.org/officeDocument/2006/relationships/hyperlink" Target="https://advance.lexis.com/api/document?collection=statutes-legislation&amp;id=urn:contentItem:4YF7-GK71-NRF4-4360-00000-00&amp;context=" TargetMode="External" /><Relationship Id="rId35" Type="http://schemas.openxmlformats.org/officeDocument/2006/relationships/hyperlink" Target="https://advance.lexis.com/api/document?collection=administrative-codes&amp;id=urn:contentItem:5MJ8-4SN0-008G-Y37V-00000-00&amp;context=" TargetMode="External" /><Relationship Id="rId36" Type="http://schemas.openxmlformats.org/officeDocument/2006/relationships/hyperlink" Target="https://advance.lexis.com/api/document?collection=administrative-codes&amp;id=urn:contentItem:5JSY-P7D0-006W-8255-00000-00&amp;context=" TargetMode="External" /><Relationship Id="rId37" Type="http://schemas.openxmlformats.org/officeDocument/2006/relationships/hyperlink" Target="https://advance.lexis.com/api/document?collection=administrative-codes&amp;id=urn:contentItem:5M7G-5J10-006W-82HT-00000-00&amp;context=" TargetMode="External" /><Relationship Id="rId38" Type="http://schemas.openxmlformats.org/officeDocument/2006/relationships/image" Target="media/image1.png" /><Relationship Id="rId39" Type="http://schemas.openxmlformats.org/officeDocument/2006/relationships/hyperlink" Target="https://advance.lexis.com/api/document?collection=administrative-codes&amp;id=urn:contentItem:5J7T-V0M0-006W-8422-00000-00&amp;context=" TargetMode="External" /><Relationship Id="rId4" Type="http://schemas.openxmlformats.org/officeDocument/2006/relationships/header" Target="header1.xml" /><Relationship Id="rId40" Type="http://schemas.openxmlformats.org/officeDocument/2006/relationships/image" Target="media/image2.png" /><Relationship Id="rId41" Type="http://schemas.openxmlformats.org/officeDocument/2006/relationships/image" Target="media/image3.png" /><Relationship Id="rId42" Type="http://schemas.openxmlformats.org/officeDocument/2006/relationships/image" Target="media/image4.png"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4-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59040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