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59094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59094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MIAX PEARL, LLC; Notice of Filing of Amendment No. 1 to a Proposed Rule Change To Amend the Fee Schedule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34-82254; File No. SR-PEARL-2017-20]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 2017, MIAX PEARL, LLC ("MIAX PEARL" or "Exchange")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19, 2017. n3 The Commission received seven comment letters on the proposed rule change, n4 and a response to </w:t>
      </w:r>
      <w:r>
        <w:rPr>
          <w:rFonts w:ascii="arial" w:eastAsia="arial" w:hAnsi="arial" w:cs="arial"/>
          <w:b/>
          <w:i w:val="0"/>
          <w:strike w:val="0"/>
          <w:noProof w:val="0"/>
          <w:color w:val="000000"/>
          <w:position w:val="0"/>
          <w:sz w:val="20"/>
          <w:u w:val="none"/>
          <w:vertAlign w:val="baseline"/>
        </w:rPr>
        <w:t> [*59095] </w:t>
      </w:r>
      <w:r>
        <w:rPr>
          <w:rFonts w:ascii="arial" w:eastAsia="arial" w:hAnsi="arial" w:cs="arial"/>
          <w:b w:val="0"/>
          <w:i w:val="0"/>
          <w:strike w:val="0"/>
          <w:noProof w:val="0"/>
          <w:color w:val="000000"/>
          <w:position w:val="0"/>
          <w:sz w:val="20"/>
          <w:u w:val="none"/>
          <w:vertAlign w:val="baseline"/>
        </w:rPr>
        <w:t xml:space="preserve">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7,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80676 (May 15, 2017), </w:t>
      </w:r>
      <w:hyperlink r:id="rId10" w:history="1">
        <w:r>
          <w:rPr>
            <w:rFonts w:ascii="arial" w:eastAsia="arial" w:hAnsi="arial" w:cs="arial"/>
            <w:b w:val="0"/>
            <w:i/>
            <w:strike w:val="0"/>
            <w:noProof w:val="0"/>
            <w:color w:val="0077CC"/>
            <w:position w:val="0"/>
            <w:sz w:val="20"/>
            <w:u w:val="single"/>
            <w:vertAlign w:val="baseline"/>
          </w:rPr>
          <w:t>82 FR 23083</w:t>
        </w:r>
      </w:hyperlink>
      <w:r>
        <w:rPr>
          <w:rFonts w:ascii="arial" w:eastAsia="arial" w:hAnsi="arial" w:cs="arial"/>
          <w:b w:val="0"/>
          <w:i w:val="0"/>
          <w:strike w:val="0"/>
          <w:noProof w:val="0"/>
          <w:color w:val="000000"/>
          <w:position w:val="0"/>
          <w:sz w:val="20"/>
          <w:u w:val="none"/>
          <w:vertAlign w:val="baseline"/>
        </w:rPr>
        <w:t xml:space="preserve"> (May 19,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14-17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1,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82255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 2017, MIAX PEARL, LLC ("MIAX PEARL" or "Exchange") filed with the Securities and Exchange Commission ("Commission" or "SEC") a proposed rule change SR-PEARL-2017-20 (the "Original Proposal"), n12 to amend the MIAX PEARL Fee Schedule (the "Fee Schedule") to adopt a fee schedule to establish the fees for Industry Members related to the National Market System Plan Governing the Consolidated Audit Trail (the "CAT NMS Plan" or "Plan"). n13 MIAX PEARL files this proposed rule change (the "Amendment") to amend the Original Proposal. This Amendment replaces the Original Proposal in its entirety, and also describes the changes from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80676 (May 15, 2017), </w:t>
      </w:r>
      <w:hyperlink r:id="rId10" w:history="1">
        <w:r>
          <w:rPr>
            <w:rFonts w:ascii="arial" w:eastAsia="arial" w:hAnsi="arial" w:cs="arial"/>
            <w:b w:val="0"/>
            <w:i/>
            <w:strike w:val="0"/>
            <w:noProof w:val="0"/>
            <w:color w:val="0077CC"/>
            <w:position w:val="0"/>
            <w:sz w:val="20"/>
            <w:u w:val="single"/>
            <w:vertAlign w:val="baseline"/>
          </w:rPr>
          <w:t>82 FR 23083</w:t>
        </w:r>
      </w:hyperlink>
      <w:r>
        <w:rPr>
          <w:rFonts w:ascii="arial" w:eastAsia="arial" w:hAnsi="arial" w:cs="arial"/>
          <w:b w:val="0"/>
          <w:i w:val="0"/>
          <w:strike w:val="0"/>
          <w:noProof w:val="0"/>
          <w:color w:val="000000"/>
          <w:position w:val="0"/>
          <w:sz w:val="20"/>
          <w:u w:val="none"/>
          <w:vertAlign w:val="baseline"/>
        </w:rPr>
        <w:t xml:space="preserve"> (May 19, 2017)(SR-PEARL-2017-20).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Unless otherwise specified, capitalized terms used in this fee filing are defined as set forth herein, in the CAT Compliance Rule Series, the CAT NMS Plan, or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29" w:history="1">
        <w:r>
          <w:rPr>
            <w:rFonts w:ascii="arial" w:eastAsia="arial" w:hAnsi="arial" w:cs="arial"/>
            <w:b w:val="0"/>
            <w:i/>
            <w:strike w:val="0"/>
            <w:noProof w:val="0"/>
            <w:color w:val="0077CC"/>
            <w:position w:val="0"/>
            <w:sz w:val="20"/>
            <w:u w:val="single"/>
            <w:vertAlign w:val="baseline"/>
          </w:rPr>
          <w:t>http://www.miaxoptions.com/rule-filings/pearl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MIAX's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n14 Chicago Stock Exchange, Inc., Financial Industry Regulatory Authority, Inc. ("FINRA"), Investors' Exchange LLC, Miami International Securities Exchange, LLC, MIAX PEARL, LLC, NASDAQ BX, Inc., Nasdaq GEMX, LLC, Nasdaq ISE, LLC, Nasdaq MRX, LLC, n15 NASDAQ PHLX LLC, The NASDAQ Stock Market LLC, New York Stock Exchange LLC, NYSE American LLC, n16 NYSE Arca, Inc. and NYSE National, Inc. n17 (collectively, the "Participants") filed with the Commission, pursuant to Section 11A of the Exchange Act n18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n19 the CAT NMS Plan. n20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w:t>
      </w:r>
      <w:r>
        <w:rPr>
          <w:rFonts w:ascii="arial" w:eastAsia="arial" w:hAnsi="arial" w:cs="arial"/>
          <w:b/>
          <w:i w:val="0"/>
          <w:strike w:val="0"/>
          <w:noProof w:val="0"/>
          <w:color w:val="000000"/>
          <w:position w:val="0"/>
          <w:sz w:val="20"/>
          <w:u w:val="none"/>
          <w:vertAlign w:val="baseline"/>
        </w:rPr>
        <w:t> [*59096] </w:t>
      </w:r>
      <w:r>
        <w:rPr>
          <w:rFonts w:ascii="arial" w:eastAsia="arial" w:hAnsi="arial" w:cs="arial"/>
          <w:b w:val="0"/>
          <w:i w:val="0"/>
          <w:strike w:val="0"/>
          <w:noProof w:val="0"/>
          <w:color w:val="000000"/>
          <w:position w:val="0"/>
          <w:sz w:val="20"/>
          <w:u w:val="none"/>
          <w:vertAlign w:val="baseline"/>
        </w:rPr>
        <w:t xml:space="preserve">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n21 and approved by the Commission, as modified, on November 15, 2016. n22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n23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n24 The Participants are required to file with the SEC under Section 19(b) of the Exchange Act any such CAT Fees applicable to Industry Members that the Operating Committee approves. n25 Accordingly, the Exchange submitted the Original Proposal to propose the Consolidated Audit Trail Funding Fees, which would require Industry Members that are Exchange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Note that Bats BYX Exchange, Inc., Bats BZX Exchange, Inc., Bats EDGA Exchange, Inc., Bats EDGX Exchange, Inc., C2 Options Exchange, Incorporated and Chicago Board Options Exchange, Incorporated, have been renamed Cboe BYX Exchange, Inc., Cboe BZX Exchange, Inc., Cboe EDGA Exchange, Inc., Cboe EDGX Exchange, Inc., Cboe C2 Exchange, Inc. and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19, 2017, n26 and received comments in response to the Original Proposal or similar fee filings by other Participants. n27 On June 30, 2017, the Commission suspended, and instituted proceedings to determine whether to approve or disapprove, the Original Proposal. n28 The Commission received seven comment letters in response to those proceedings.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 two additional CAT Fee tiers for Equity Execution Venues; (2) discount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exclusively trading OTC Equity Securities and FINRA; (3) discount the Options Market Maker quotes by the trade to quote ratio for options (calculated as 0.01% based on available data for June 2016 through June 2017) when calculating message traffic for Options Market Makers; (4) discount equity market maker quotes by the trade to quote ratio for equities (calculated as 5.43% based on available data for June 2016 through June 2017) when calculating message traffic for equity market makers; (5) decrease the number of tiers for Industry Members (other than the Execution Venue ATSs) from nine to seven; (6) change the allocation of CAT costs between Equity Execution Venues and Options Execution Venues from 75%/25% to 67%/33%; (7) adjust tier percentages and recovery allocations for Equity Execution Venues, Options Execution Venues and Industry Members (other than Execution Venue ATSs); (8) focus the comparability of CAT Fees on the individual entity level, rather than primarily on the comparability of affiliated entities; (9) commence invoicing CAT Reporters as promptly as possible following the latest operative date of the respective Consolidated Audit Trail Funding Fees filed or to be filed by each of the Participants and the operative date of the CAT NMS Plan amendment adopting CAT Fees for Participants; and (10) require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w:t>
      </w:r>
      <w:r>
        <w:rPr>
          <w:rFonts w:ascii="arial" w:eastAsia="arial" w:hAnsi="arial" w:cs="arial"/>
          <w:b/>
          <w:i w:val="0"/>
          <w:strike w:val="0"/>
          <w:noProof w:val="0"/>
          <w:color w:val="000000"/>
          <w:position w:val="0"/>
          <w:sz w:val="20"/>
          <w:u w:val="none"/>
          <w:vertAlign w:val="baseline"/>
        </w:rPr>
        <w:t> [*59097] </w:t>
      </w:r>
      <w:r>
        <w:rPr>
          <w:rFonts w:ascii="arial" w:eastAsia="arial" w:hAnsi="arial" w:cs="arial"/>
          <w:b w:val="0"/>
          <w:i w:val="0"/>
          <w:strike w:val="0"/>
          <w:noProof w:val="0"/>
          <w:color w:val="000000"/>
          <w:position w:val="0"/>
          <w:sz w:val="20"/>
          <w:u w:val="none"/>
          <w:vertAlign w:val="baseline"/>
        </w:rPr>
        <w:t xml:space="preserve">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n30 and "reflects a reasonable exercise of the Participants' funding authority to recover the Participants' costs related to the CAT."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n32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n34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Reviews from varying time periods of current broker-dealer order and trading </w:t>
      </w:r>
      <w:r>
        <w:rPr>
          <w:rFonts w:ascii="arial" w:eastAsia="arial" w:hAnsi="arial" w:cs="arial"/>
          <w:b/>
          <w:i w:val="0"/>
          <w:strike w:val="0"/>
          <w:noProof w:val="0"/>
          <w:color w:val="000000"/>
          <w:position w:val="0"/>
          <w:sz w:val="20"/>
          <w:u w:val="none"/>
          <w:vertAlign w:val="baseline"/>
        </w:rPr>
        <w:t> [*59098] </w:t>
      </w:r>
      <w:r>
        <w:rPr>
          <w:rFonts w:ascii="arial" w:eastAsia="arial" w:hAnsi="arial" w:cs="arial"/>
          <w:b w:val="0"/>
          <w:i w:val="0"/>
          <w:strike w:val="0"/>
          <w:noProof w:val="0"/>
          <w:color w:val="000000"/>
          <w:position w:val="0"/>
          <w:sz w:val="20"/>
          <w:u w:val="none"/>
          <w:vertAlign w:val="baseline"/>
        </w:rPr>
        <w:t xml:space="preserve">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n35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n36 The Operating Committee considered several approaches to developing a tiered model, including defining fee tiers based on such factors as size of firm, message traffic or trading dollar volume. After analyzing the alternatives, it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n37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n38 Correspondingly, Execution Venues with the highest market shares will be in the top tier, and will be charged higher fees. Execution Venues with the lowest market shares will be in the lowest tier and will be assessed smaller fees for the CAT.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n40 While there are multiple factors that contribute to the cost of building, maintaining and using the CAT, processing and storage of incoming message traffic is one of the most significant cost drivers for the CAT. n41 Thus, the CAT NMS Plan provides that the fees payable by Industry Members (other than Execution Venue ATSs) will be based on the message traffic generated by such Industry Member.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constitutes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n43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n44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less likely to have an incremental deterrent effect on liquidity provision."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n46 To ensure that the Participants' operation of the CAT will not contribute to the funding of their other operations, Section 11.1(c) of </w:t>
      </w:r>
      <w:r>
        <w:rPr>
          <w:rFonts w:ascii="arial" w:eastAsia="arial" w:hAnsi="arial" w:cs="arial"/>
          <w:b/>
          <w:i w:val="0"/>
          <w:strike w:val="0"/>
          <w:noProof w:val="0"/>
          <w:color w:val="000000"/>
          <w:position w:val="0"/>
          <w:sz w:val="20"/>
          <w:u w:val="none"/>
          <w:vertAlign w:val="baseline"/>
        </w:rPr>
        <w:t> [*59099] </w:t>
      </w:r>
      <w:r>
        <w:rPr>
          <w:rFonts w:ascii="arial" w:eastAsia="arial" w:hAnsi="arial" w:cs="arial"/>
          <w:b w:val="0"/>
          <w:i w:val="0"/>
          <w:strike w:val="0"/>
          <w:noProof w:val="0"/>
          <w:color w:val="000000"/>
          <w:position w:val="0"/>
          <w:sz w:val="20"/>
          <w:u w:val="none"/>
          <w:vertAlign w:val="baseline"/>
        </w:rPr>
        <w:t xml:space="preserve">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n47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n48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seven tier structure was selected to provide a wide range of levels for tiering Industry Members such that Industry Members submitting significantly less message traffic to the CAT would be adequately differentiated from Industry </w:t>
      </w:r>
      <w:r>
        <w:rPr>
          <w:rFonts w:ascii="arial" w:eastAsia="arial" w:hAnsi="arial" w:cs="arial"/>
          <w:b/>
          <w:i w:val="0"/>
          <w:strike w:val="0"/>
          <w:noProof w:val="0"/>
          <w:color w:val="000000"/>
          <w:position w:val="0"/>
          <w:sz w:val="20"/>
          <w:u w:val="none"/>
          <w:vertAlign w:val="baseline"/>
        </w:rPr>
        <w:t> [*59100] </w:t>
      </w:r>
      <w:r>
        <w:rPr>
          <w:rFonts w:ascii="arial" w:eastAsia="arial" w:hAnsi="arial" w:cs="arial"/>
          <w:b w:val="0"/>
          <w:i w:val="0"/>
          <w:strike w:val="0"/>
          <w:noProof w:val="0"/>
          <w:color w:val="000000"/>
          <w:position w:val="0"/>
          <w:sz w:val="20"/>
          <w:u w:val="none"/>
          <w:vertAlign w:val="baseline"/>
        </w:rPr>
        <w:t xml:space="preserve">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 </w:t>
      </w:r>
      <w:r>
        <w:rPr>
          <w:rFonts w:ascii="arial" w:eastAsia="arial" w:hAnsi="arial" w:cs="arial"/>
          <w:b/>
          <w:i w:val="0"/>
          <w:strike w:val="0"/>
          <w:noProof w:val="0"/>
          <w:color w:val="000000"/>
          <w:position w:val="0"/>
          <w:sz w:val="20"/>
          <w:u w:val="none"/>
          <w:vertAlign w:val="baseline"/>
        </w:rPr>
        <w:t> [*59101]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Message traffic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Industry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 and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w:t>
      </w:r>
      <w:r>
        <w:rPr>
          <w:rFonts w:ascii="arial" w:eastAsia="arial" w:hAnsi="arial" w:cs="arial"/>
          <w:b/>
          <w:i w:val="0"/>
          <w:strike w:val="0"/>
          <w:noProof w:val="0"/>
          <w:color w:val="000000"/>
          <w:position w:val="0"/>
          <w:sz w:val="20"/>
          <w:u w:val="none"/>
          <w:vertAlign w:val="baseline"/>
        </w:rPr>
        <w:t> [*59102] </w:t>
      </w:r>
      <w:r>
        <w:rPr>
          <w:rFonts w:ascii="arial" w:eastAsia="arial" w:hAnsi="arial" w:cs="arial"/>
          <w:b w:val="0"/>
          <w:i w:val="0"/>
          <w:strike w:val="0"/>
          <w:noProof w:val="0"/>
          <w:color w:val="000000"/>
          <w:position w:val="0"/>
          <w:sz w:val="20"/>
          <w:u w:val="none"/>
          <w:vertAlign w:val="baseline"/>
        </w:rPr>
        <w:t xml:space="preserve">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n49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n51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n52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w:t>
      </w:r>
      <w:r>
        <w:rPr>
          <w:rFonts w:ascii="arial" w:eastAsia="arial" w:hAnsi="arial" w:cs="arial"/>
          <w:b/>
          <w:i w:val="0"/>
          <w:strike w:val="0"/>
          <w:noProof w:val="0"/>
          <w:color w:val="000000"/>
          <w:position w:val="0"/>
          <w:sz w:val="20"/>
          <w:u w:val="none"/>
          <w:vertAlign w:val="baseline"/>
        </w:rPr>
        <w:t> [*59103] </w:t>
      </w:r>
      <w:r>
        <w:rPr>
          <w:rFonts w:ascii="arial" w:eastAsia="arial" w:hAnsi="arial" w:cs="arial"/>
          <w:b w:val="0"/>
          <w:i w:val="0"/>
          <w:strike w:val="0"/>
          <w:noProof w:val="0"/>
          <w:color w:val="000000"/>
          <w:position w:val="0"/>
          <w:sz w:val="20"/>
          <w:u w:val="none"/>
          <w:vertAlign w:val="baseline"/>
        </w:rPr>
        <w:t xml:space="preserve">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the </w:t>
      </w:r>
      <w:r>
        <w:rPr>
          <w:rFonts w:ascii="arial" w:eastAsia="arial" w:hAnsi="arial" w:cs="arial"/>
          <w:b w:val="0"/>
          <w:i/>
          <w:strike w:val="0"/>
          <w:noProof w:val="0"/>
          <w:color w:val="000000"/>
          <w:position w:val="0"/>
          <w:sz w:val="20"/>
          <w:u w:val="none"/>
          <w:vertAlign w:val="baseline"/>
        </w:rPr>
        <w:t>otcmarkets.com</w:t>
      </w:r>
      <w:r>
        <w:rPr>
          <w:rFonts w:ascii="arial" w:eastAsia="arial" w:hAnsi="arial" w:cs="arial"/>
          <w:b w:val="0"/>
          <w:i w:val="0"/>
          <w:strike w:val="0"/>
          <w:noProof w:val="0"/>
          <w:color w:val="000000"/>
          <w:position w:val="0"/>
          <w:sz w:val="20"/>
          <w:u w:val="none"/>
          <w:vertAlign w:val="baseline"/>
        </w:rPr>
        <w:t>,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n54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54--Comparison of CY 2017 and CY 2018 Geometric Mean Costs for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Imaging APCs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w:t>
      </w:r>
      <w:r>
        <w:rPr>
          <w:rFonts w:ascii="arial" w:eastAsia="arial" w:hAnsi="arial" w:cs="arial"/>
          <w:b/>
          <w:i w:val="0"/>
          <w:strike w:val="0"/>
          <w:noProof w:val="0"/>
          <w:color w:val="000000"/>
          <w:position w:val="0"/>
          <w:sz w:val="20"/>
          <w:u w:val="none"/>
          <w:vertAlign w:val="baseline"/>
        </w:rPr>
        <w:t> [*59105] </w:t>
      </w:r>
      <w:r>
        <w:rPr>
          <w:rFonts w:ascii="arial" w:eastAsia="arial" w:hAnsi="arial" w:cs="arial"/>
          <w:b w:val="0"/>
          <w:i w:val="0"/>
          <w:strike w:val="0"/>
          <w:noProof w:val="0"/>
          <w:color w:val="000000"/>
          <w:position w:val="0"/>
          <w:sz w:val="20"/>
          <w:u w:val="none"/>
          <w:vertAlign w:val="baseline"/>
        </w:rPr>
        <w:t xml:space="preserve">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 </w:t>
      </w:r>
      <w:r>
        <w:rPr>
          <w:rFonts w:ascii="arial" w:eastAsia="arial" w:hAnsi="arial" w:cs="arial"/>
          <w:b/>
          <w:i w:val="0"/>
          <w:strike w:val="0"/>
          <w:noProof w:val="0"/>
          <w:color w:val="000000"/>
          <w:position w:val="0"/>
          <w:sz w:val="20"/>
          <w:u w:val="none"/>
          <w:vertAlign w:val="baseline"/>
        </w:rPr>
        <w:t> [*59106]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[*59107] </w:t>
      </w:r>
    </w:p>
    <w:p>
      <w:pPr>
        <w:keepNext w:val="0"/>
        <w:spacing w:before="200" w:after="0" w:line="260" w:lineRule="atLeast"/>
        <w:ind w:left="0" w:right="0" w:firstLine="0"/>
        <w:jc w:val="both"/>
      </w:pPr>
      <w:r>
        <w:pict>
          <v:shape id="_x0000_i1028" type="#_x0000_t75" style="width:426.06pt;height:586.58pt">
            <v:imagedata r:id="rId3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[*59108] </w:t>
      </w:r>
    </w:p>
    <w:p>
      <w:pPr>
        <w:keepNext w:val="0"/>
        <w:spacing w:before="200" w:after="0" w:line="260" w:lineRule="atLeast"/>
        <w:ind w:left="0" w:right="0" w:firstLine="0"/>
        <w:jc w:val="both"/>
      </w:pPr>
      <w:r>
        <w:pict>
          <v:shape id="_x0000_i1029" type="#_x0000_t75" style="width:426.06pt;height:586.58pt">
            <v:imagedata r:id="rId3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[*59108] </w:t>
      </w:r>
    </w:p>
    <w:p>
      <w:pPr>
        <w:keepNext w:val="0"/>
        <w:spacing w:before="200" w:after="0" w:line="260" w:lineRule="atLeast"/>
        <w:ind w:left="0" w:right="0" w:firstLine="0"/>
        <w:jc w:val="both"/>
      </w:pPr>
      <w:r>
        <w:pict>
          <v:shape id="_x0000_i1030" type="#_x0000_t75" style="width:432.06pt;height:84.76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[*59109] </w:t>
      </w:r>
    </w:p>
    <w:p>
      <w:pPr>
        <w:keepNext w:val="0"/>
        <w:spacing w:before="200" w:after="0" w:line="260" w:lineRule="atLeast"/>
        <w:ind w:left="0" w:right="0" w:firstLine="0"/>
        <w:jc w:val="both"/>
      </w:pPr>
      <w:r>
        <w:pict>
          <v:shape id="_x0000_i1031" type="#_x0000_t75" style="width:432.06pt;height:435.81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2" type="#_x0000_t75" style="width:432.06pt;height:204.78pt">
            <v:imagedata r:id="rId42"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3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325,932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(58M) Excess</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w:t>
      </w:r>
      <w:r>
        <w:rPr>
          <w:rFonts w:ascii="arial" w:eastAsia="arial" w:hAnsi="arial" w:cs="arial"/>
          <w:b/>
          <w:i w:val="0"/>
          <w:strike w:val="0"/>
          <w:noProof w:val="0"/>
          <w:color w:val="000000"/>
          <w:position w:val="0"/>
          <w:sz w:val="20"/>
          <w:u w:val="none"/>
          <w:vertAlign w:val="baseline"/>
        </w:rPr>
        <w:t> [*59111] </w:t>
      </w:r>
      <w:r>
        <w:rPr>
          <w:rFonts w:ascii="arial" w:eastAsia="arial" w:hAnsi="arial" w:cs="arial"/>
          <w:b w:val="0"/>
          <w:i w:val="0"/>
          <w:strike w:val="0"/>
          <w:noProof w:val="0"/>
          <w:color w:val="000000"/>
          <w:position w:val="0"/>
          <w:sz w:val="20"/>
          <w:u w:val="none"/>
          <w:vertAlign w:val="baseline"/>
        </w:rPr>
        <w:t xml:space="preserve">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n59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n60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1701 (Consolidated Audit Trail Compliance Rule--Definitions).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The rules contained in Miami International Securities Exchange, LLC Rule Book Chapter XVII, as such rules may be in effect from time to time (the "Chapter XVII Rules"), have been incorporated by reference into MIAX PEARL Chapter XVII, and are thus MIAX PEARL Rules and thereby applicable to MIAX PEARL members. MIAX PEARL members shall comply with the Chapter XVII Rules as though such rules were fully-set forth in the MIAX PEARL Rule Book. All defined terms, including any variations thereof, contained in Chapter XVII Rules shall be read to refer to the MIAX PEARL related meaning of such term.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80256 (March 15, 2017), </w:t>
      </w:r>
      <w:hyperlink r:id="rId43" w:history="1">
        <w:r>
          <w:rPr>
            <w:rFonts w:ascii="arial" w:eastAsia="arial" w:hAnsi="arial" w:cs="arial"/>
            <w:b w:val="0"/>
            <w:i/>
            <w:strike w:val="0"/>
            <w:noProof w:val="0"/>
            <w:color w:val="0077CC"/>
            <w:position w:val="0"/>
            <w:sz w:val="20"/>
            <w:u w:val="single"/>
            <w:vertAlign w:val="baseline"/>
          </w:rPr>
          <w:t>82 FR 14,526</w:t>
        </w:r>
      </w:hyperlink>
      <w:r>
        <w:rPr>
          <w:rFonts w:ascii="arial" w:eastAsia="arial" w:hAnsi="arial" w:cs="arial"/>
          <w:b w:val="0"/>
          <w:i w:val="0"/>
          <w:strike w:val="0"/>
          <w:noProof w:val="0"/>
          <w:color w:val="000000"/>
          <w:position w:val="0"/>
          <w:sz w:val="20"/>
          <w:u w:val="none"/>
          <w:vertAlign w:val="baseline"/>
        </w:rPr>
        <w:t xml:space="preserve"> (March 21, 2017) (SR-PEARL-2017-004) and Securities Exchange Act Release No. 80338 (March 29, 2017), </w:t>
      </w:r>
      <w:hyperlink r:id="rId44" w:history="1">
        <w:r>
          <w:rPr>
            <w:rFonts w:ascii="arial" w:eastAsia="arial" w:hAnsi="arial" w:cs="arial"/>
            <w:b w:val="0"/>
            <w:i/>
            <w:strike w:val="0"/>
            <w:noProof w:val="0"/>
            <w:color w:val="0077CC"/>
            <w:position w:val="0"/>
            <w:sz w:val="20"/>
            <w:u w:val="single"/>
            <w:vertAlign w:val="baseline"/>
          </w:rPr>
          <w:t>82 FR 16,464</w:t>
        </w:r>
      </w:hyperlink>
      <w:r>
        <w:rPr>
          <w:rFonts w:ascii="arial" w:eastAsia="arial" w:hAnsi="arial" w:cs="arial"/>
          <w:b w:val="0"/>
          <w:i w:val="0"/>
          <w:strike w:val="0"/>
          <w:noProof w:val="0"/>
          <w:color w:val="000000"/>
          <w:position w:val="0"/>
          <w:sz w:val="20"/>
          <w:u w:val="none"/>
          <w:vertAlign w:val="baseline"/>
        </w:rPr>
        <w:t xml:space="preserve"> (April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n62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Regulatory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proposes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n64 The SEC suspended the Original Proposal and instituted proceedings to determine whether to approve or disapprove it. n65 Pursuant to those proceedings, additional comment letters were submitted regarding the proposed funding model. n66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w:t>
      </w:r>
      <w:r>
        <w:rPr>
          <w:rFonts w:ascii="arial" w:eastAsia="arial" w:hAnsi="arial" w:cs="arial"/>
          <w:b/>
          <w:i w:val="0"/>
          <w:strike w:val="0"/>
          <w:noProof w:val="0"/>
          <w:color w:val="000000"/>
          <w:position w:val="0"/>
          <w:sz w:val="20"/>
          <w:u w:val="none"/>
          <w:vertAlign w:val="baseline"/>
        </w:rPr>
        <w:t> [*59114] </w:t>
      </w:r>
      <w:r>
        <w:rPr>
          <w:rFonts w:ascii="arial" w:eastAsia="arial" w:hAnsi="arial" w:cs="arial"/>
          <w:b w:val="0"/>
          <w:i w:val="0"/>
          <w:strike w:val="0"/>
          <w:noProof w:val="0"/>
          <w:color w:val="000000"/>
          <w:position w:val="0"/>
          <w:sz w:val="20"/>
          <w:u w:val="none"/>
          <w:vertAlign w:val="baseline"/>
        </w:rPr>
        <w:t xml:space="preserve">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n67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n68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percentages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n69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recognizing that the application of share volume may lead to different outcomes as applied to OTC Equity Securities and NMS Stocks. n70 To address this concern, the Operating Committee proposes to discount the </w:t>
      </w:r>
      <w:r>
        <w:rPr>
          <w:rFonts w:ascii="arial" w:eastAsia="arial" w:hAnsi="arial" w:cs="arial"/>
          <w:b/>
          <w:i w:val="0"/>
          <w:strike w:val="0"/>
          <w:noProof w:val="0"/>
          <w:color w:val="000000"/>
          <w:position w:val="0"/>
          <w:sz w:val="20"/>
          <w:u w:val="none"/>
          <w:vertAlign w:val="baseline"/>
        </w:rPr>
        <w:t> [*59115] </w:t>
      </w:r>
      <w:r>
        <w:rPr>
          <w:rFonts w:ascii="arial" w:eastAsia="arial" w:hAnsi="arial" w:cs="arial"/>
          <w:b w:val="0"/>
          <w:i w:val="0"/>
          <w:strike w:val="0"/>
          <w:noProof w:val="0"/>
          <w:color w:val="000000"/>
          <w:position w:val="0"/>
          <w:sz w:val="20"/>
          <w:u w:val="none"/>
          <w:vertAlign w:val="baseline"/>
        </w:rPr>
        <w:t xml:space="preserv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n71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n72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n73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market maker quotes were treated the same as other message traffic for purposes of tiering for Industry Members (other than </w:t>
      </w:r>
      <w:r>
        <w:rPr>
          <w:rFonts w:ascii="arial" w:eastAsia="arial" w:hAnsi="arial" w:cs="arial"/>
          <w:b/>
          <w:i w:val="0"/>
          <w:strike w:val="0"/>
          <w:noProof w:val="0"/>
          <w:color w:val="000000"/>
          <w:position w:val="0"/>
          <w:sz w:val="20"/>
          <w:u w:val="none"/>
          <w:vertAlign w:val="baseline"/>
        </w:rPr>
        <w:t> [*59116] </w:t>
      </w:r>
      <w:r>
        <w:rPr>
          <w:rFonts w:ascii="arial" w:eastAsia="arial" w:hAnsi="arial" w:cs="arial"/>
          <w:b w:val="0"/>
          <w:i w:val="0"/>
          <w:strike w:val="0"/>
          <w:noProof w:val="0"/>
          <w:color w:val="000000"/>
          <w:position w:val="0"/>
          <w:sz w:val="20"/>
          <w:u w:val="none"/>
          <w:vertAlign w:val="baseline"/>
        </w:rPr>
        <w:t xml:space="preserve">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n74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n75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w:t>
      </w:r>
      <w:r>
        <w:rPr>
          <w:rFonts w:ascii="arial" w:eastAsia="arial" w:hAnsi="arial" w:cs="arial"/>
          <w:b/>
          <w:i w:val="0"/>
          <w:strike w:val="0"/>
          <w:noProof w:val="0"/>
          <w:color w:val="000000"/>
          <w:position w:val="0"/>
          <w:sz w:val="20"/>
          <w:u w:val="none"/>
          <w:vertAlign w:val="baseline"/>
        </w:rPr>
        <w:t> [*59117] </w:t>
      </w:r>
      <w:r>
        <w:rPr>
          <w:rFonts w:ascii="arial" w:eastAsia="arial" w:hAnsi="arial" w:cs="arial"/>
          <w:b w:val="0"/>
          <w:i w:val="0"/>
          <w:strike w:val="0"/>
          <w:noProof w:val="0"/>
          <w:color w:val="000000"/>
          <w:position w:val="0"/>
          <w:sz w:val="20"/>
          <w:u w:val="none"/>
          <w:vertAlign w:val="baseline"/>
        </w:rPr>
        <w:t xml:space="preserve">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n77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Securities Exchange Act Rel. No. 67457 (Jul 18, 2012), </w:t>
      </w:r>
      <w:hyperlink r:id="rId45"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w:t>
      </w:r>
      <w:r>
        <w:rPr>
          <w:rFonts w:ascii="arial" w:eastAsia="arial" w:hAnsi="arial" w:cs="arial"/>
          <w:b/>
          <w:i w:val="0"/>
          <w:strike w:val="0"/>
          <w:noProof w:val="0"/>
          <w:color w:val="000000"/>
          <w:position w:val="0"/>
          <w:sz w:val="20"/>
          <w:u w:val="none"/>
          <w:vertAlign w:val="baseline"/>
        </w:rPr>
        <w:t> [*59118] </w:t>
      </w:r>
      <w:r>
        <w:rPr>
          <w:rFonts w:ascii="arial" w:eastAsia="arial" w:hAnsi="arial" w:cs="arial"/>
          <w:b w:val="0"/>
          <w:i w:val="0"/>
          <w:strike w:val="0"/>
          <w:noProof w:val="0"/>
          <w:color w:val="000000"/>
          <w:position w:val="0"/>
          <w:sz w:val="20"/>
          <w:u w:val="none"/>
          <w:vertAlign w:val="baseline"/>
        </w:rPr>
        <w:t xml:space="preserve">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n78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n79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 </w:t>
      </w:r>
      <w:r>
        <w:rPr>
          <w:rFonts w:ascii="arial" w:eastAsia="arial" w:hAnsi="arial" w:cs="arial"/>
          <w:b/>
          <w:i w:val="0"/>
          <w:strike w:val="0"/>
          <w:noProof w:val="0"/>
          <w:color w:val="000000"/>
          <w:position w:val="0"/>
          <w:sz w:val="20"/>
          <w:u w:val="none"/>
          <w:vertAlign w:val="baseline"/>
        </w:rPr>
        <w:t> [*59119]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n81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n82 The Participants previously addressed this concern in its letters responding to comments on the Plan and the CAT Fees. n83 As discussed in those letters, the Participants discussed the funding model with the Development Advisory Group ("DAG"), the advisory group formed to assist in the development of the Plan, during its original development. n84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n85 The Participants previously responded to this concern in both the Plan Response Letter and the Fee Rule Response Letter. n86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n87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questioned the authority of the Operating Committee to impose CAT Fees on Industry </w:t>
      </w:r>
      <w:r>
        <w:rPr>
          <w:rFonts w:ascii="arial" w:eastAsia="arial" w:hAnsi="arial" w:cs="arial"/>
          <w:b/>
          <w:i w:val="0"/>
          <w:strike w:val="0"/>
          <w:noProof w:val="0"/>
          <w:color w:val="000000"/>
          <w:position w:val="0"/>
          <w:sz w:val="20"/>
          <w:u w:val="none"/>
          <w:vertAlign w:val="baseline"/>
        </w:rPr>
        <w:t> [*59120] </w:t>
      </w:r>
      <w:r>
        <w:rPr>
          <w:rFonts w:ascii="arial" w:eastAsia="arial" w:hAnsi="arial" w:cs="arial"/>
          <w:b w:val="0"/>
          <w:i w:val="0"/>
          <w:strike w:val="0"/>
          <w:noProof w:val="0"/>
          <w:color w:val="000000"/>
          <w:position w:val="0"/>
          <w:sz w:val="20"/>
          <w:u w:val="none"/>
          <w:vertAlign w:val="baseline"/>
        </w:rPr>
        <w:t xml:space="preserve"> Members. n88 The Participants previously responded to this same comment in the Plan Response Letter and the Fee Rule Response Letter. n89 As the Participants previously noted, SEC Rule 613 specifically contemplates broker-dealers contributing to the funding of the CAT. In addition, as noted by the SEC, the CAT "substantially enhance[s] the ability of the SROs and the Commission to oversee today's securities markets," n90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to amend its Fee Schedule is consistent with the provisions of Section 6(b)(5) of the Act, n91 which require, among other things, that the Exchange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dealers, and Section 6(b)(4) of the Act, n92 which requires that Exchange rules provide for equitable allocation of reasonable dues, fees and other charges among its members and issuers and other persons using its facilities.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6"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n93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n94 requires that Exchange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The Exchange does not believe that the proposed amendments to its Fee Schedule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46"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w:t>
      </w:r>
      <w:r>
        <w:rPr>
          <w:rFonts w:ascii="arial" w:eastAsia="arial" w:hAnsi="arial" w:cs="arial"/>
          <w:b/>
          <w:i w:val="0"/>
          <w:strike w:val="0"/>
          <w:noProof w:val="0"/>
          <w:color w:val="000000"/>
          <w:position w:val="0"/>
          <w:sz w:val="20"/>
          <w:u w:val="none"/>
          <w:vertAlign w:val="baseline"/>
        </w:rPr>
        <w:t> [*59121] </w:t>
      </w:r>
      <w:r>
        <w:rPr>
          <w:rFonts w:ascii="arial" w:eastAsia="arial" w:hAnsi="arial" w:cs="arial"/>
          <w:b w:val="0"/>
          <w:i w:val="0"/>
          <w:strike w:val="0"/>
          <w:noProof w:val="0"/>
          <w:color w:val="000000"/>
          <w:position w:val="0"/>
          <w:sz w:val="20"/>
          <w:u w:val="none"/>
          <w:vertAlign w:val="baseline"/>
        </w:rPr>
        <w:t xml:space="preserve">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n99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Commenters' views on dividing CAT costs equally among each of the Participants, and then each Participant charging its own members as it deems appropriate, taking into consideration the possibility of inconsistency in </w:t>
      </w:r>
      <w:r>
        <w:rPr>
          <w:rFonts w:ascii="arial" w:eastAsia="arial" w:hAnsi="arial" w:cs="arial"/>
          <w:b/>
          <w:i w:val="0"/>
          <w:strike w:val="0"/>
          <w:noProof w:val="0"/>
          <w:color w:val="000000"/>
          <w:position w:val="0"/>
          <w:sz w:val="20"/>
          <w:u w:val="none"/>
          <w:vertAlign w:val="baseline"/>
        </w:rPr>
        <w:t> [*59122] </w:t>
      </w:r>
      <w:r>
        <w:rPr>
          <w:rFonts w:ascii="arial" w:eastAsia="arial" w:hAnsi="arial" w:cs="arial"/>
          <w:b w:val="0"/>
          <w:i w:val="0"/>
          <w:strike w:val="0"/>
          <w:noProof w:val="0"/>
          <w:color w:val="000000"/>
          <w:position w:val="0"/>
          <w:sz w:val="20"/>
          <w:u w:val="none"/>
          <w:vertAlign w:val="baseline"/>
        </w:rPr>
        <w:t xml:space="preserve">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SR-PEARL-2017-20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SR-PEARL-2017-20. This file number should be included on the subject line if email is used. To help the Commission process and review your comments more efficiently, please use only one method. The Commission will post all comments on the Commission's internet website (</w:t>
      </w:r>
      <w:hyperlink r:id="rId4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SR-PEARL-2017-20, and should be submitted on or before January 4,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4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2017-27014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59094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6-TMH0-006W-84FB-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miaxoptions.com/rule-filings/pear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image" Target="media/image5.png" /><Relationship Id="rId43" Type="http://schemas.openxmlformats.org/officeDocument/2006/relationships/hyperlink" Target="https://advance.lexis.com/api/document?collection=administrative-codes&amp;id=urn:contentItem:5N4M-G290-006W-83WB-00000-00&amp;context=" TargetMode="External" /><Relationship Id="rId44" Type="http://schemas.openxmlformats.org/officeDocument/2006/relationships/hyperlink" Target="https://advance.lexis.com/api/document?collection=administrative-codes&amp;id=urn:contentItem:5N7M-0R40-006W-8023-00000-00&amp;context=" TargetMode="External" /><Relationship Id="rId45" Type="http://schemas.openxmlformats.org/officeDocument/2006/relationships/hyperlink" Target="https://advance.lexis.com/api/document?collection=administrative-codes&amp;id=urn:contentItem:567K-XK60-006W-83N3-00000-00&amp;context=" TargetMode="External" /><Relationship Id="rId46" Type="http://schemas.openxmlformats.org/officeDocument/2006/relationships/hyperlink" Target="https://advance.lexis.com/api/document?collection=statutes-legislation&amp;id=urn:contentItem:4YF7-GPC1-NRF4-4309-00000-00&amp;context=" TargetMode="External" /><Relationship Id="rId47" Type="http://schemas.openxmlformats.org/officeDocument/2006/relationships/hyperlink" Target="http://www.sec.gov/rules/sro.shtml" TargetMode="External" /><Relationship Id="rId48" Type="http://schemas.openxmlformats.org/officeDocument/2006/relationships/hyperlink" Target="mailto:rule-comments@sec.gov" TargetMode="External" /><Relationship Id="rId49" Type="http://schemas.openxmlformats.org/officeDocument/2006/relationships/hyperlink" Target="https://advance.lexis.com/api/document?collection=administrative-codes&amp;id=urn:contentItem:5SPP-2120-008G-Y2ND-00000-00&amp;context="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86-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59094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