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59122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239, Thursday, December 14,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59122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of Amendment No. 1 to a Proposed Rule Change Amending the Consolidated Audit Trail Funding Fees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34-82262; File No. SR-NYSEMKT-2017-26]</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10, 2017, NYSE MKT LLC n1 (the "Exchange" or "NYSE MKT") filed with the Securities and Exchange Commission ("Commission"), pursuant to Section 19(b)(1) of the Securities Exchange Act of 1934 ("Act") n2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n3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22, 2017. n4 The Commission received seven comment letters on the proposed rule change, n5 and a response to </w:t>
      </w:r>
      <w:r>
        <w:rPr>
          <w:rFonts w:ascii="arial" w:eastAsia="arial" w:hAnsi="arial" w:cs="arial"/>
          <w:b/>
          <w:i w:val="0"/>
          <w:strike w:val="0"/>
          <w:noProof w:val="0"/>
          <w:color w:val="000000"/>
          <w:position w:val="0"/>
          <w:sz w:val="20"/>
          <w:u w:val="none"/>
          <w:vertAlign w:val="baseline"/>
        </w:rPr>
        <w:t> [*59123] </w:t>
      </w:r>
      <w:r>
        <w:rPr>
          <w:rFonts w:ascii="arial" w:eastAsia="arial" w:hAnsi="arial" w:cs="arial"/>
          <w:b w:val="0"/>
          <w:i w:val="0"/>
          <w:strike w:val="0"/>
          <w:noProof w:val="0"/>
          <w:color w:val="000000"/>
          <w:position w:val="0"/>
          <w:sz w:val="20"/>
          <w:u w:val="none"/>
          <w:vertAlign w:val="baseline"/>
        </w:rPr>
        <w:t xml:space="preserve"> comments from the Participants. n6 On June 30, 2017, the Commission temporarily suspended and initiated proceedings to determine whether to approve or disapprove the proposed rule change. n7 The Commission thereafter received seven comment letters, n8 and a response to comments from the Participants. n9 On October 25, 2017, the Exchange filed Amendment No. 1 to the proposed rule change, as described in Items I and II below, which Items have been prepared by the Exchange. n10 On November 9, 2017, the Commission extended the time period within which to approve the proposed rule change or disapprove the proposed rule change to January 14, 2018. n11 The Commission is publishing this notice to solicit comments from interested persons on Amendment No. 1.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80694 (May 16, 2017), </w:t>
      </w:r>
      <w:hyperlink r:id="rId10" w:history="1">
        <w:r>
          <w:rPr>
            <w:rFonts w:ascii="arial" w:eastAsia="arial" w:hAnsi="arial" w:cs="arial"/>
            <w:b w:val="0"/>
            <w:i/>
            <w:strike w:val="0"/>
            <w:noProof w:val="0"/>
            <w:color w:val="0077CC"/>
            <w:position w:val="0"/>
            <w:sz w:val="20"/>
            <w:u w:val="single"/>
            <w:vertAlign w:val="baseline"/>
          </w:rPr>
          <w:t>82 FR 23416</w:t>
        </w:r>
      </w:hyperlink>
      <w:r>
        <w:rPr>
          <w:rFonts w:ascii="arial" w:eastAsia="arial" w:hAnsi="arial" w:cs="arial"/>
          <w:b w:val="0"/>
          <w:i w:val="0"/>
          <w:strike w:val="0"/>
          <w:noProof w:val="0"/>
          <w:color w:val="000000"/>
          <w:position w:val="0"/>
          <w:sz w:val="20"/>
          <w:u w:val="none"/>
          <w:vertAlign w:val="baseline"/>
        </w:rPr>
        <w:t xml:space="preserve"> (May 22,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14-16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available at:</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Commission notes that on November 29,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Amendment No. 2 also deletes footnote 45 in Section 3(a) on page 23 of the First Amendment which reads, "The discount is only applied to the market share of Execution Venue ATSs exclusively trading OTC Equity Securities. Accordingly, FINRA's market share, which includes market share from the OTC Reporting Facility, is not discounted as a result of its OTC Equity Securities activity," as the footnote is erroneous and was included inadvertently.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82263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NYSE American Equities Price List ("Price List") and the NYSE American Options Fee Schedule ("Fee Schedule") to adopt the fees for Industry Members related to the National Market System Plan Governing the Consolidated Audit Trail (the "CAT NMS Plan" or "Plan"). n13 The Exchange files this proposed rule change (the "Amendment") to amend the Original Proposal. This Amendment replaces the Original Proposal in its entirety, and also describes the changes from the Original Proposal. The proposed change is available on the Exchange's website at </w:t>
      </w:r>
      <w:hyperlink r:id="rId29"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Unless otherwise specified, capitalized terms used in this rule filing are defined as set forth herein, the CAT Compliance Rule Series or in the CAT NMS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n14 Chicago Stock Exchange, Inc., Financial Industry Regulatory Authority, Inc. ("FINRA"), Investors' Exchange LLC, Miami International Securities Exchange, LLC, MIAX PEARL, LLC, NASDAQ BX, Inc., Nasdaq GEMX, LLC, Nasdaq ISE, LLC, Nasdaq MRX, LLC, n15 NASDAQ PHLX LLC, The NASDAQ Stock Market LLC, New York Stock Exchange LLC, NYSE American LLC, NYSE Arca, Inc. and NYSE </w:t>
      </w:r>
      <w:r>
        <w:rPr>
          <w:rFonts w:ascii="arial" w:eastAsia="arial" w:hAnsi="arial" w:cs="arial"/>
          <w:b/>
          <w:i w:val="0"/>
          <w:strike w:val="0"/>
          <w:noProof w:val="0"/>
          <w:color w:val="000000"/>
          <w:position w:val="0"/>
          <w:sz w:val="20"/>
          <w:u w:val="none"/>
          <w:vertAlign w:val="baseline"/>
        </w:rPr>
        <w:t> [*59124] </w:t>
      </w:r>
      <w:r>
        <w:rPr>
          <w:rFonts w:ascii="arial" w:eastAsia="arial" w:hAnsi="arial" w:cs="arial"/>
          <w:b w:val="0"/>
          <w:i w:val="0"/>
          <w:strike w:val="0"/>
          <w:noProof w:val="0"/>
          <w:color w:val="000000"/>
          <w:position w:val="0"/>
          <w:sz w:val="20"/>
          <w:u w:val="none"/>
          <w:vertAlign w:val="baseline"/>
        </w:rPr>
        <w:t xml:space="preserv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the Exchange submitted the Original Proposal to amend the Price List and the Fee Schedule to adopt the Consolidated Audit Trail Funding Fees, which would require Industry Members that are Exchange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22,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 No. 80694 (May 16, 2017), </w:t>
      </w:r>
      <w:hyperlink r:id="rId10" w:history="1">
        <w:r>
          <w:rPr>
            <w:rFonts w:ascii="arial" w:eastAsia="arial" w:hAnsi="arial" w:cs="arial"/>
            <w:b w:val="0"/>
            <w:i/>
            <w:strike w:val="0"/>
            <w:noProof w:val="0"/>
            <w:color w:val="0077CC"/>
            <w:position w:val="0"/>
            <w:sz w:val="20"/>
            <w:u w:val="single"/>
            <w:vertAlign w:val="baseline"/>
          </w:rPr>
          <w:t>82 FR 23416</w:t>
        </w:r>
      </w:hyperlink>
      <w:r>
        <w:rPr>
          <w:rFonts w:ascii="arial" w:eastAsia="arial" w:hAnsi="arial" w:cs="arial"/>
          <w:b w:val="0"/>
          <w:i w:val="0"/>
          <w:strike w:val="0"/>
          <w:noProof w:val="0"/>
          <w:color w:val="000000"/>
          <w:position w:val="0"/>
          <w:sz w:val="20"/>
          <w:u w:val="none"/>
          <w:vertAlign w:val="baseline"/>
        </w:rPr>
        <w:t xml:space="preserve"> (May 22, 2017) (SR-NYSEMKT-2017-26).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 two additional CAT Fee tiers for Equity Execution Venues; (2) discount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June 2017) when calculating the market share of Execution Venue ATS exclusively trading OTC Equity Securities and FINRA; (3) discount the Options Market Maker quotes by the trade to quote ratio for options (calculated as 0.01% based on available data for June 2016 through June 2017) when calculating message traffic for Options Market Makers; (4) discount equity market maker quotes by the trade to quote ratio for equities (calculated as 5.43% based on available data for June 2016 through June 2017) when calculating message traffic for equity market makers; (5) decrease the number of tiers for Industry Members (other than the Execution Venue ATSs) from nine to seven; (6) change the allocation of CAT costs between Equity Execution Venues and Options Execution Venues from 75%/25% to 67%/33%; (7) adjust tier percentages and recovery allocations for Equity Execution Venues, Options Execution Venues and Industry Members (other than Execution Venue ATSs); (8) focus the comparability of CAT Fees on the individual entity level, rather than primarily on the comparability of affiliated entities; (9) commence invoicing of CAT Reporters as promptly as possible following the latest of the operative date of the Consolidated Audit Trail Funding Fees for each of the Participants and the operative date of the CAT NMS Plan amendment adopting CAT Fees for Participants; and (10) require the proposed fees to automatically expire two years from the operative date of the CAT NMS Plan amendment adopting CAT Fees for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for the calculation of the CAT Fees in this fee filing are comprised of Plan Processor CAT costs and non-Plan Processor CAT costs incurred, and estimated to be incurred, from November 21, 2016 through November 21,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w:t>
      </w:r>
      <w:r>
        <w:rPr>
          <w:rFonts w:ascii="arial" w:eastAsia="arial" w:hAnsi="arial" w:cs="arial"/>
          <w:b/>
          <w:i w:val="0"/>
          <w:strike w:val="0"/>
          <w:noProof w:val="0"/>
          <w:color w:val="000000"/>
          <w:position w:val="0"/>
          <w:sz w:val="20"/>
          <w:u w:val="none"/>
          <w:vertAlign w:val="baseline"/>
        </w:rPr>
        <w:t> [*59125] </w:t>
      </w:r>
      <w:r>
        <w:rPr>
          <w:rFonts w:ascii="arial" w:eastAsia="arial" w:hAnsi="arial" w:cs="arial"/>
          <w:b w:val="0"/>
          <w:i w:val="0"/>
          <w:strike w:val="0"/>
          <w:noProof w:val="0"/>
          <w:color w:val="000000"/>
          <w:position w:val="0"/>
          <w:sz w:val="20"/>
          <w:u w:val="none"/>
          <w:vertAlign w:val="baseline"/>
        </w:rPr>
        <w:t xml:space="preserve">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w:t>
      </w:r>
      <w:r>
        <w:rPr>
          <w:rFonts w:ascii="arial" w:eastAsia="arial" w:hAnsi="arial" w:cs="arial"/>
          <w:b/>
          <w:i w:val="0"/>
          <w:strike w:val="0"/>
          <w:noProof w:val="0"/>
          <w:color w:val="000000"/>
          <w:position w:val="0"/>
          <w:sz w:val="20"/>
          <w:u w:val="none"/>
          <w:vertAlign w:val="baseline"/>
        </w:rPr>
        <w:t> [*59126] </w:t>
      </w:r>
      <w:r>
        <w:rPr>
          <w:rFonts w:ascii="arial" w:eastAsia="arial" w:hAnsi="arial" w:cs="arial"/>
          <w:b w:val="0"/>
          <w:i w:val="0"/>
          <w:strike w:val="0"/>
          <w:noProof w:val="0"/>
          <w:color w:val="000000"/>
          <w:position w:val="0"/>
          <w:sz w:val="20"/>
          <w:u w:val="none"/>
          <w:vertAlign w:val="baseline"/>
        </w:rPr>
        <w:t xml:space="preserv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lower fee for the CAT. n37 Correspondingly, Execution Venues with the highest market shares will be in the top tier, and will be charged higher fees. Execution Venues with the lowest market shares will be in the lowest tier and will be assessed lower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on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model also is structured to avoid a reduction in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w:t>
      </w:r>
      <w:r>
        <w:rPr>
          <w:rFonts w:ascii="arial" w:eastAsia="arial" w:hAnsi="arial" w:cs="arial"/>
          <w:b/>
          <w:i w:val="0"/>
          <w:strike w:val="0"/>
          <w:noProof w:val="0"/>
          <w:color w:val="000000"/>
          <w:position w:val="0"/>
          <w:sz w:val="20"/>
          <w:u w:val="none"/>
          <w:vertAlign w:val="baseline"/>
        </w:rPr>
        <w:t> [*59127] </w:t>
      </w:r>
      <w:r>
        <w:rPr>
          <w:rFonts w:ascii="arial" w:eastAsia="arial" w:hAnsi="arial" w:cs="arial"/>
          <w:b w:val="0"/>
          <w:i w:val="0"/>
          <w:strike w:val="0"/>
          <w:noProof w:val="0"/>
          <w:color w:val="000000"/>
          <w:position w:val="0"/>
          <w:sz w:val="20"/>
          <w:u w:val="none"/>
          <w:vertAlign w:val="baseline"/>
        </w:rPr>
        <w:t xml:space="preserve">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w:t>
      </w:r>
      <w:r>
        <w:rPr>
          <w:rFonts w:ascii="arial" w:eastAsia="arial" w:hAnsi="arial" w:cs="arial"/>
          <w:b/>
          <w:i w:val="0"/>
          <w:strike w:val="0"/>
          <w:noProof w:val="0"/>
          <w:color w:val="000000"/>
          <w:position w:val="0"/>
          <w:sz w:val="20"/>
          <w:u w:val="none"/>
          <w:vertAlign w:val="baseline"/>
        </w:rPr>
        <w:t> [*59128] </w:t>
      </w:r>
      <w:r>
        <w:rPr>
          <w:rFonts w:ascii="arial" w:eastAsia="arial" w:hAnsi="arial" w:cs="arial"/>
          <w:b w:val="0"/>
          <w:i w:val="0"/>
          <w:strike w:val="0"/>
          <w:noProof w:val="0"/>
          <w:color w:val="000000"/>
          <w:position w:val="0"/>
          <w:sz w:val="20"/>
          <w:u w:val="none"/>
          <w:vertAlign w:val="baseline"/>
        </w:rPr>
        <w:t xml:space="preserve">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 </w:t>
      </w:r>
      <w:r>
        <w:rPr>
          <w:rFonts w:ascii="arial" w:eastAsia="arial" w:hAnsi="arial" w:cs="arial"/>
          <w:b/>
          <w:i w:val="0"/>
          <w:strike w:val="0"/>
          <w:noProof w:val="0"/>
          <w:color w:val="000000"/>
          <w:position w:val="0"/>
          <w:sz w:val="20"/>
          <w:u w:val="none"/>
          <w:vertAlign w:val="baseline"/>
        </w:rPr>
        <w:t> [*59129]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300.79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w:t>
      </w:r>
      <w:r>
        <w:rPr>
          <w:rFonts w:ascii="arial" w:eastAsia="arial" w:hAnsi="arial" w:cs="arial"/>
          <w:b/>
          <w:i w:val="0"/>
          <w:strike w:val="0"/>
          <w:noProof w:val="0"/>
          <w:color w:val="000000"/>
          <w:position w:val="0"/>
          <w:sz w:val="20"/>
          <w:u w:val="none"/>
          <w:vertAlign w:val="baseline"/>
        </w:rPr>
        <w:t> [*59130] </w:t>
      </w:r>
      <w:r>
        <w:rPr>
          <w:rFonts w:ascii="arial" w:eastAsia="arial" w:hAnsi="arial" w:cs="arial"/>
          <w:b w:val="0"/>
          <w:i w:val="0"/>
          <w:strike w:val="0"/>
          <w:noProof w:val="0"/>
          <w:color w:val="000000"/>
          <w:position w:val="0"/>
          <w:sz w:val="20"/>
          <w:u w:val="none"/>
          <w:vertAlign w:val="baseline"/>
        </w:rPr>
        <w:t xml:space="preserve">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Execution Venues and Options Execution Venues are treated separately for two reasons. First, the differing quoting behavior of Equity Execution Venues and Options Execution Venues makes comparison of activity between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11.3(a)(i) of the CAT NMS Plan, the Operating Committee approved a tiered fee </w:t>
      </w:r>
      <w:r>
        <w:rPr>
          <w:rFonts w:ascii="arial" w:eastAsia="arial" w:hAnsi="arial" w:cs="arial"/>
          <w:b/>
          <w:i w:val="0"/>
          <w:strike w:val="0"/>
          <w:noProof w:val="0"/>
          <w:color w:val="000000"/>
          <w:position w:val="0"/>
          <w:sz w:val="20"/>
          <w:u w:val="none"/>
          <w:vertAlign w:val="baseline"/>
        </w:rPr>
        <w:t> [*59131] </w:t>
      </w:r>
      <w:r>
        <w:rPr>
          <w:rFonts w:ascii="arial" w:eastAsia="arial" w:hAnsi="arial" w:cs="arial"/>
          <w:b w:val="0"/>
          <w:i w:val="0"/>
          <w:strike w:val="0"/>
          <w:noProof w:val="0"/>
          <w:color w:val="000000"/>
          <w:position w:val="0"/>
          <w:sz w:val="20"/>
          <w:u w:val="none"/>
          <w:vertAlign w:val="baseline"/>
        </w:rPr>
        <w:t xml:space="preserv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discount is only applied to the market share of Execution Venue ATSs exclusively trading OTC Equity Securities. Accordingly, FINRA's market share, which includes market share from the OTC Reporting Facility, is not discounted as a result of its OTC Equity Securities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 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Exhibit 3 of the proposed rule change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w:t>
      </w:r>
      <w:r>
        <w:rPr>
          <w:rFonts w:ascii="arial" w:eastAsia="arial" w:hAnsi="arial" w:cs="arial"/>
          <w:b/>
          <w:i w:val="0"/>
          <w:strike w:val="0"/>
          <w:noProof w:val="0"/>
          <w:color w:val="000000"/>
          <w:position w:val="0"/>
          <w:sz w:val="20"/>
          <w:u w:val="none"/>
          <w:vertAlign w:val="baseline"/>
        </w:rPr>
        <w:t> [*59133] </w:t>
      </w:r>
      <w:r>
        <w:rPr>
          <w:rFonts w:ascii="arial" w:eastAsia="arial" w:hAnsi="arial" w:cs="arial"/>
          <w:b w:val="0"/>
          <w:i w:val="0"/>
          <w:strike w:val="0"/>
          <w:noProof w:val="0"/>
          <w:color w:val="000000"/>
          <w:position w:val="0"/>
          <w:sz w:val="20"/>
          <w:u w:val="none"/>
          <w:vertAlign w:val="baseline"/>
        </w:rPr>
        <w:t xml:space="preserve">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Execution Venues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Execution Venues and Options Execution Venues maintained the greatest level of fee equitability and comparability based on the current number of Equity Execution Venues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This $ 5,000,000 represents the gradual accumulation of the funds for a target operating reserve of $ 11,425,000. </w:t>
      </w:r>
      <w:r>
        <w:rPr>
          <w:rFonts w:ascii="arial" w:eastAsia="arial" w:hAnsi="arial" w:cs="arial"/>
          <w:b/>
          <w:i w:val="0"/>
          <w:strike w:val="0"/>
          <w:noProof w:val="0"/>
          <w:color w:val="000000"/>
          <w:position w:val="0"/>
          <w:sz w:val="20"/>
          <w:u w:val="none"/>
          <w:vertAlign w:val="baseline"/>
        </w:rPr>
        <w:t> [*59134]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 Execution</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[*59135]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pict>
          <v:shape id="_x0000_i1028" type="#_x0000_t75" style="width:432.06pt;height:248.28pt">
            <v:imagedata r:id="rId39"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[*59136] </w:t>
      </w:r>
    </w:p>
    <w:p>
      <w:pPr>
        <w:keepNext w:val="0"/>
        <w:spacing w:before="200" w:after="0" w:line="260" w:lineRule="atLeast"/>
        <w:ind w:left="0" w:right="0" w:firstLine="0"/>
        <w:jc w:val="both"/>
      </w:pPr>
      <w:r>
        <w:pict>
          <v:shape id="_x0000_i1029" type="#_x0000_t75" style="width:432.06pt;height:143.27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0" type="#_x0000_t75" style="width:432.06pt;height:71.26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Excess(58M)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n59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n60 To the extent that the Operating Committee approves changes to the number of tiers in the funding model or the fees assigned to each tier, then the Exchange will file such changes with the SEC pursuant to Section 19(b) of the Exchange Act, and any such changes will become effective in accordance with the requirements of Section 19(b).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w:t>
      </w:r>
      <w:r>
        <w:rPr>
          <w:rFonts w:ascii="arial" w:eastAsia="arial" w:hAnsi="arial" w:cs="arial"/>
          <w:b/>
          <w:i w:val="0"/>
          <w:strike w:val="0"/>
          <w:noProof w:val="0"/>
          <w:color w:val="000000"/>
          <w:position w:val="0"/>
          <w:sz w:val="20"/>
          <w:u w:val="none"/>
          <w:vertAlign w:val="baseline"/>
        </w:rPr>
        <w:t> [*59138] </w:t>
      </w:r>
      <w:r>
        <w:rPr>
          <w:rFonts w:ascii="arial" w:eastAsia="arial" w:hAnsi="arial" w:cs="arial"/>
          <w:b w:val="0"/>
          <w:i w:val="0"/>
          <w:strike w:val="0"/>
          <w:noProof w:val="0"/>
          <w:color w:val="000000"/>
          <w:position w:val="0"/>
          <w:sz w:val="20"/>
          <w:u w:val="none"/>
          <w:vertAlign w:val="baseline"/>
        </w:rPr>
        <w:t xml:space="preserve">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adopt the CAT Fees determined by the Operating Committee on the Exchange's Industry Members. The proposed fee change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sets forth the definitions applicable to the proposed Consolidated Audit Trail Funding Fees. Proposed paragraph (a)(1) states that, for purposes of the Consolidated Audit Trail Funding Fees, the terms "CAT", "CAT NMS Plan," "Industry Member," "NMS Stock," "OTC Equity Security", "Options Market Maker", and "Participant" are defined as set forth in Rule 6810 (Consolidated Audit Trail--Definitions) of the CAT Compliance Rule.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Securities Exchange Act Rel. No. 80256 (Mar. 15, 2017), </w:t>
      </w:r>
      <w:hyperlink r:id="rId42" w:history="1">
        <w:r>
          <w:rPr>
            <w:rFonts w:ascii="arial" w:eastAsia="arial" w:hAnsi="arial" w:cs="arial"/>
            <w:b w:val="0"/>
            <w:i/>
            <w:strike w:val="0"/>
            <w:noProof w:val="0"/>
            <w:color w:val="0077CC"/>
            <w:position w:val="0"/>
            <w:sz w:val="20"/>
            <w:u w:val="single"/>
            <w:vertAlign w:val="baseline"/>
          </w:rPr>
          <w:t>82 FR 14526</w:t>
        </w:r>
      </w:hyperlink>
      <w:r>
        <w:rPr>
          <w:rFonts w:ascii="arial" w:eastAsia="arial" w:hAnsi="arial" w:cs="arial"/>
          <w:b w:val="0"/>
          <w:i w:val="0"/>
          <w:strike w:val="0"/>
          <w:noProof w:val="0"/>
          <w:color w:val="000000"/>
          <w:position w:val="0"/>
          <w:sz w:val="20"/>
          <w:u w:val="none"/>
          <w:vertAlign w:val="baseline"/>
        </w:rPr>
        <w:t xml:space="preserve"> (Mar. 21, 2017) (SR-NYSEMKT-2017-02).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different fees for Equity ATSs and Industry Members that are not Equity ATSs. Accordingly, the Exchange proposes to define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defines the term "CAT Fee" to mean the Consolidated Audit Trail Funding Fee(s) to be paid by Industry Members as set forth in paragraph (b)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the CAT Fees applicable to its Industry Members through paragraph (b) of the proposed rule change. Paragraph (b)(1) of the proposed rule change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w:t>
      </w:r>
      <w:r>
        <w:rPr>
          <w:rFonts w:ascii="arial" w:eastAsia="arial" w:hAnsi="arial" w:cs="arial"/>
          <w:b/>
          <w:i w:val="0"/>
          <w:strike w:val="0"/>
          <w:noProof w:val="0"/>
          <w:color w:val="000000"/>
          <w:position w:val="0"/>
          <w:sz w:val="20"/>
          <w:u w:val="none"/>
          <w:vertAlign w:val="baseline"/>
        </w:rPr>
        <w:t> [*59139] </w:t>
      </w:r>
      <w:r>
        <w:rPr>
          <w:rFonts w:ascii="arial" w:eastAsia="arial" w:hAnsi="arial" w:cs="arial"/>
          <w:b w:val="0"/>
          <w:i w:val="0"/>
          <w:strike w:val="0"/>
          <w:noProof w:val="0"/>
          <w:color w:val="000000"/>
          <w:position w:val="0"/>
          <w:sz w:val="20"/>
          <w:u w:val="none"/>
          <w:vertAlign w:val="baseline"/>
        </w:rPr>
        <w:t xml:space="preserve">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rule change sets forth the CAT Fees applicable to Equity ATSs. n62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highest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rule change states that the Company will provide each Industry Member with one invoice each quarter for its CAT Fees as determined pursuant to paragraph (b) of the proposed rule change,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Trader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proposes to adopt paragraph (c)(2), which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the Exchange proposes to adopt paragraph (d) of the proposed rule change,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n64 The SEC suspended the Original Proposal and instituted proceedings to determine whether to approve or disapprove it. n65 Pursuant to those proceedings, additional comment letters were submitted regarding the proposed funding model. n66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For a description of the comments submitted in response to those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June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w:t>
      </w:r>
      <w:r>
        <w:rPr>
          <w:rFonts w:ascii="arial" w:eastAsia="arial" w:hAnsi="arial" w:cs="arial"/>
          <w:b/>
          <w:i w:val="0"/>
          <w:strike w:val="0"/>
          <w:noProof w:val="0"/>
          <w:color w:val="000000"/>
          <w:position w:val="0"/>
          <w:sz w:val="20"/>
          <w:u w:val="none"/>
          <w:vertAlign w:val="baseline"/>
        </w:rPr>
        <w:t> [*59140] </w:t>
      </w:r>
      <w:r>
        <w:rPr>
          <w:rFonts w:ascii="arial" w:eastAsia="arial" w:hAnsi="arial" w:cs="arial"/>
          <w:b w:val="0"/>
          <w:i w:val="0"/>
          <w:strike w:val="0"/>
          <w:noProof w:val="0"/>
          <w:color w:val="000000"/>
          <w:position w:val="0"/>
          <w:sz w:val="20"/>
          <w:u w:val="none"/>
          <w:vertAlign w:val="baseline"/>
        </w:rPr>
        <w:t xml:space="preserve">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n67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n68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1%),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Exchange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of the Exchange Act. Moreover, the Exchange believes that the proposed fees appropriately take into account the distinctions in the securities trading operations of different Equity Execution Venues, as required under the funding principles of the CAT NMS Plan. n69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rule change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Execution Venues for OTC Equity Securities and Execution Venues for NMS Stocks were grouped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recognizing that the application of share volume may lead to different outcomes as applied to OTC Equity Securities and NMS Stocks. n70 To address this concern, the Operating Committee proposes to discount the market share of Execution </w:t>
      </w:r>
      <w:r>
        <w:rPr>
          <w:rFonts w:ascii="arial" w:eastAsia="arial" w:hAnsi="arial" w:cs="arial"/>
          <w:b/>
          <w:i w:val="0"/>
          <w:strike w:val="0"/>
          <w:noProof w:val="0"/>
          <w:color w:val="000000"/>
          <w:position w:val="0"/>
          <w:sz w:val="20"/>
          <w:u w:val="none"/>
          <w:vertAlign w:val="baseline"/>
        </w:rPr>
        <w:t> [*59141] </w:t>
      </w:r>
      <w:r>
        <w:rPr>
          <w:rFonts w:ascii="arial" w:eastAsia="arial" w:hAnsi="arial" w:cs="arial"/>
          <w:b w:val="0"/>
          <w:i w:val="0"/>
          <w:strike w:val="0"/>
          <w:noProof w:val="0"/>
          <w:color w:val="000000"/>
          <w:position w:val="0"/>
          <w:sz w:val="20"/>
          <w:u w:val="none"/>
          <w:vertAlign w:val="baseline"/>
        </w:rPr>
        <w:t xml:space="preserve">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n71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be subject to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Exchange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of the Exchange Act. Moreover, the Exchange believes that the proposed fees appropriately take into account the distinctions in the securities trading operations of different Equity Execution Venues, as required under the funding principles of the CAT NMS Plan. n72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rule change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the Exchange proposes to amend paragraph (b)(2) of the proposed rule change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proposed funding model included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n73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4-5; FIA Principal Traders Group Letter at 3; Sidley Letter at 2-6; Group One Letter at 2-5;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market maker quotes were treated the same as other message traffic for purposes of tiering for Industry Members (other than Execution Venue ATSs). Commenters noted, however, that charging Industry Members on the basis of message traffic </w:t>
      </w:r>
      <w:r>
        <w:rPr>
          <w:rFonts w:ascii="arial" w:eastAsia="arial" w:hAnsi="arial" w:cs="arial"/>
          <w:b/>
          <w:i w:val="0"/>
          <w:strike w:val="0"/>
          <w:noProof w:val="0"/>
          <w:color w:val="000000"/>
          <w:position w:val="0"/>
          <w:sz w:val="20"/>
          <w:u w:val="none"/>
          <w:vertAlign w:val="baseline"/>
        </w:rPr>
        <w:t> [*59142] </w:t>
      </w:r>
      <w:r>
        <w:rPr>
          <w:rFonts w:ascii="arial" w:eastAsia="arial" w:hAnsi="arial" w:cs="arial"/>
          <w:b w:val="0"/>
          <w:i w:val="0"/>
          <w:strike w:val="0"/>
          <w:noProof w:val="0"/>
          <w:color w:val="000000"/>
          <w:position w:val="0"/>
          <w:sz w:val="20"/>
          <w:u w:val="none"/>
          <w:vertAlign w:val="baseline"/>
        </w:rPr>
        <w:t xml:space="preserve"> will impact market makers disproportionately because of their continuous quoting obligations. Moreover, in the context of options market makers, message traffic would include bids and offers for every listed options strikes and series, which are not an issue for equities. n74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be subject to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Exchange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of the Exchange Act. Moreover, the Exchange believes that the proposed fees appropriately take into account the distinctions in the securities trading operations of different Industry Members, and avoid disincentives, such as a reduction in market quality, as required under the funding principles of the CAT NMS Plan. n75 The proposed discounts recognize the different types of trading operations presented by Options Market Makers and equities market makers, as well as the value of the market makers' quoting activity to the market as a whole. Accordingly, the Exchange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rule change to indicate that the message traffic related to equity market maker quotes and Options Market Maker quotes would be discounted. In addition, the Exchange proposes to define the term "Options Market Maker" in paragraph (a)(1)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at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w:t>
      </w:r>
      <w:r>
        <w:rPr>
          <w:rFonts w:ascii="arial" w:eastAsia="arial" w:hAnsi="arial" w:cs="arial"/>
          <w:b/>
          <w:i w:val="0"/>
          <w:strike w:val="0"/>
          <w:noProof w:val="0"/>
          <w:color w:val="000000"/>
          <w:position w:val="0"/>
          <w:sz w:val="20"/>
          <w:u w:val="none"/>
          <w:vertAlign w:val="baseline"/>
        </w:rPr>
        <w:t> [*59143] </w:t>
      </w:r>
      <w:r>
        <w:rPr>
          <w:rFonts w:ascii="arial" w:eastAsia="arial" w:hAnsi="arial" w:cs="arial"/>
          <w:b w:val="0"/>
          <w:i w:val="0"/>
          <w:strike w:val="0"/>
          <w:noProof w:val="0"/>
          <w:color w:val="000000"/>
          <w:position w:val="0"/>
          <w:sz w:val="20"/>
          <w:u w:val="none"/>
          <w:vertAlign w:val="baseline"/>
        </w:rPr>
        <w:t xml:space="preserve">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Execution Venues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Execution Venues and Options Execution Venues enhances the level of fee comparability for the largest CAT Reporters. Specifically, the largest Equity Execution Venues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Execution Venues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Execution Venues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Industry Members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n77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Securities Exchange Act Rel. No. 67457 (Jul 18, 2012), </w:t>
      </w:r>
      <w:hyperlink r:id="rId43"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w:t>
      </w:r>
      <w:r>
        <w:rPr>
          <w:rFonts w:ascii="arial" w:eastAsia="arial" w:hAnsi="arial" w:cs="arial"/>
          <w:b/>
          <w:i w:val="0"/>
          <w:strike w:val="0"/>
          <w:noProof w:val="0"/>
          <w:color w:val="000000"/>
          <w:position w:val="0"/>
          <w:sz w:val="20"/>
          <w:u w:val="none"/>
          <w:vertAlign w:val="baseline"/>
        </w:rPr>
        <w:t> [*59144] </w:t>
      </w:r>
      <w:r>
        <w:rPr>
          <w:rFonts w:ascii="arial" w:eastAsia="arial" w:hAnsi="arial" w:cs="arial"/>
          <w:b w:val="0"/>
          <w:i w:val="0"/>
          <w:strike w:val="0"/>
          <w:noProof w:val="0"/>
          <w:color w:val="000000"/>
          <w:position w:val="0"/>
          <w:sz w:val="20"/>
          <w:u w:val="none"/>
          <w:vertAlign w:val="baseline"/>
        </w:rPr>
        <w:t xml:space="preserve">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rule change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rule change to reflect the changes discussed in this section. Specifically, the Exchange proposes to amend paragraph (b)(1) and (2)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n78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on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n79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to the proposed rule change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w:t>
      </w:r>
      <w:r>
        <w:rPr>
          <w:rFonts w:ascii="arial" w:eastAsia="arial" w:hAnsi="arial" w:cs="arial"/>
          <w:b/>
          <w:i w:val="0"/>
          <w:strike w:val="0"/>
          <w:noProof w:val="0"/>
          <w:color w:val="000000"/>
          <w:position w:val="0"/>
          <w:sz w:val="20"/>
          <w:u w:val="none"/>
          <w:vertAlign w:val="baseline"/>
        </w:rPr>
        <w:t> [*59145] </w:t>
      </w:r>
      <w:r>
        <w:rPr>
          <w:rFonts w:ascii="arial" w:eastAsia="arial" w:hAnsi="arial" w:cs="arial"/>
          <w:b w:val="0"/>
          <w:i w:val="0"/>
          <w:strike w:val="0"/>
          <w:noProof w:val="0"/>
          <w:color w:val="000000"/>
          <w:position w:val="0"/>
          <w:sz w:val="20"/>
          <w:u w:val="none"/>
          <w:vertAlign w:val="baseline"/>
        </w:rPr>
        <w:t xml:space="preserve"> and commenters questioned whether the decreasing cost per additional unit (of message traffic in the case of Industry Members, or of share volume in the case of Execution Venues)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revised funding model,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n81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n82 The Participants previously addressed this concern in its letters responding to comments on the Plan and the CAT Fees. n83 As discussed in those letters, the Participants discussed the funding model with the Development Advisory Group ("DAG"), the advisory group formed to assist in the development of the Plan, during its original development. n84 Moreover, Industry Members currently have representation on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n85 The Participants previously responded to this concern in both the Plan Response Letter and the Fee Rule Response Letter. n86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18; Fee Rule Response Letter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n87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questioned the authority of the Operating Committee to impose CAT Fees on Industry Members. n88 The Participants previously responded to this same comment in the Plan Response Letter and the Fee Rule Response Letter. n89 As the Participants previously noted, SEC Rule 613 specifically contemplates broker-dealers </w:t>
      </w:r>
      <w:r>
        <w:rPr>
          <w:rFonts w:ascii="arial" w:eastAsia="arial" w:hAnsi="arial" w:cs="arial"/>
          <w:b/>
          <w:i w:val="0"/>
          <w:strike w:val="0"/>
          <w:noProof w:val="0"/>
          <w:color w:val="000000"/>
          <w:position w:val="0"/>
          <w:sz w:val="20"/>
          <w:u w:val="none"/>
          <w:vertAlign w:val="baseline"/>
        </w:rPr>
        <w:t> [*59146] </w:t>
      </w:r>
      <w:r>
        <w:rPr>
          <w:rFonts w:ascii="arial" w:eastAsia="arial" w:hAnsi="arial" w:cs="arial"/>
          <w:b w:val="0"/>
          <w:i w:val="0"/>
          <w:strike w:val="0"/>
          <w:noProof w:val="0"/>
          <w:color w:val="000000"/>
          <w:position w:val="0"/>
          <w:sz w:val="20"/>
          <w:u w:val="none"/>
          <w:vertAlign w:val="baseline"/>
        </w:rPr>
        <w:t xml:space="preserve"> contributing to the funding of the CAT. In addition, as noted by the SEC, the CAT "substantially enhance[s] the ability of the SROs and the Commission to oversee today's securities markets," n90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Rule 613 Adopting Release at 45726.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6(b)(4) of the Act, n91 because it provides for the equitable allocation of reasonable dues, fees, and other charges among members and issuers and other persons using its facilities. The Exchange believes the proposed rule change is also consistent with Section 6(b)(5) of the Act, n92 which requires, among other things, that the Exchange's rules be designed to prevent fraudulent and manipulative acts and practices, to promote just and equitable principles of trade, and, in general, to protect investors and the public interest, and not designed to permit unfair discrimination between customers, issuers, brokers and dealers.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4" w:history="1">
        <w:r>
          <w:rPr>
            <w:rFonts w:ascii="arial" w:eastAsia="arial" w:hAnsi="arial" w:cs="arial"/>
            <w:b w:val="0"/>
            <w:i/>
            <w:strike w:val="0"/>
            <w:noProof w:val="0"/>
            <w:color w:val="0077CC"/>
            <w:position w:val="0"/>
            <w:sz w:val="20"/>
            <w:u w:val="single"/>
            <w:vertAlign w:val="baseline"/>
          </w:rPr>
          <w:t>15 U.S.C. 78f(b)(6)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n93 To the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division between Equity Execution Venues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the Exchange believes that the proposal is consistent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n94 require that the Exchange's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a similar proposed fee change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44"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t>
      </w:r>
      <w:r>
        <w:rPr>
          <w:rFonts w:ascii="arial" w:eastAsia="arial" w:hAnsi="arial" w:cs="arial"/>
          <w:b/>
          <w:i w:val="0"/>
          <w:strike w:val="0"/>
          <w:noProof w:val="0"/>
          <w:color w:val="000000"/>
          <w:position w:val="0"/>
          <w:sz w:val="20"/>
          <w:u w:val="none"/>
          <w:vertAlign w:val="baseline"/>
        </w:rPr>
        <w:t> [*59147] </w:t>
      </w:r>
      <w:r>
        <w:rPr>
          <w:rFonts w:ascii="arial" w:eastAsia="arial" w:hAnsi="arial" w:cs="arial"/>
          <w:b w:val="0"/>
          <w:i w:val="0"/>
          <w:strike w:val="0"/>
          <w:noProof w:val="0"/>
          <w:color w:val="000000"/>
          <w:position w:val="0"/>
          <w:sz w:val="20"/>
          <w:u w:val="none"/>
          <w:vertAlign w:val="baseline"/>
        </w:rPr>
        <w:t xml:space="preserve"> will pay lower fees. Therefore, given that there is generally a relationship between message traffic and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Exchange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Exchange believes that this Amendment addresses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n99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Section 11.2(e) of the CAT NMS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 </w:t>
      </w:r>
      <w:r>
        <w:rPr>
          <w:rFonts w:ascii="arial" w:eastAsia="arial" w:hAnsi="arial" w:cs="arial"/>
          <w:b/>
          <w:i w:val="0"/>
          <w:strike w:val="0"/>
          <w:noProof w:val="0"/>
          <w:color w:val="000000"/>
          <w:position w:val="0"/>
          <w:sz w:val="20"/>
          <w:u w:val="none"/>
          <w:vertAlign w:val="baseline"/>
        </w:rPr>
        <w:t> [*59148]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SR-NYSEMKT-2017-26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SR-NYSEMKT-2017-26. This file number should be included on the subject line if email is used. To help the Commission process and review your comments more efficiently, please use only one method. The Commission will post all comments on the Commission's internet website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SR-NYSEMKT-2017-26 and should be submitted on or before January 4,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4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authority.&lt;101&gt;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2017-27022 Filed 12-13-17;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59122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KT-KJG0-006W-84NF-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nyse.co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N4M-G290-006W-83WB-00000-00&amp;context=" TargetMode="External" /><Relationship Id="rId43" Type="http://schemas.openxmlformats.org/officeDocument/2006/relationships/hyperlink" Target="https://advance.lexis.com/api/document?collection=administrative-codes&amp;id=urn:contentItem:567K-XK60-006W-83N3-00000-00&amp;context=" TargetMode="External" /><Relationship Id="rId44" Type="http://schemas.openxmlformats.org/officeDocument/2006/relationships/hyperlink" Target="https://advance.lexis.com/api/document?collection=statutes-legislation&amp;id=urn:contentItem:4YF7-GPC1-NRF4-4309-00000-00&amp;context=" TargetMode="External" /><Relationship Id="rId45" Type="http://schemas.openxmlformats.org/officeDocument/2006/relationships/hyperlink" Target="http://www.sec.gov/rules/sro.shtml" TargetMode="External" /><Relationship Id="rId46" Type="http://schemas.openxmlformats.org/officeDocument/2006/relationships/hyperlink" Target="mailto:rule-comments@sec.gov" TargetMode="External" /><Relationship Id="rId47" Type="http://schemas.openxmlformats.org/officeDocument/2006/relationships/hyperlink" Target="https://advance.lexis.com/api/document?collection=administrative-codes&amp;id=urn:contentItem:5SPP-2120-008G-Y2ND-00000-00&amp;context="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5T-78B0-006W-8487-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59122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71568479</vt:lpwstr>
  </property>
  <property fmtid="{D5CDD505-2E9C-101B-9397-08002B2CF9AE}" pid="3" name="LADocCount">
    <vt:lpwstr>1</vt:lpwstr>
  </property>
  <property fmtid="{D5CDD505-2E9C-101B-9397-08002B2CF9AE}" pid="4" name="UserPermID">
    <vt:lpwstr>urn:user:PA185916758</vt:lpwstr>
  </property>
</Properties>
</file>