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59177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59177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Cboe BYX Exchange, Inc.; Notice of Filing of Amendment No. 1 to a Proposed Rule Change To Establish the Fees for Industry Members Related to the National Market System Plan Governing the Consolidated Audit Trail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34-82274; File No. SR-BatsBYX-2017-11]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16, 2017, Bats BYX Exchange Inc., n/k/a Cboe BYX Exchange, Inc., ("Exchange" or "SRO")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June 5,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w:t>
      </w:r>
      <w:r>
        <w:rPr>
          <w:rFonts w:ascii="arial" w:eastAsia="arial" w:hAnsi="arial" w:cs="arial"/>
          <w:b/>
          <w:i w:val="0"/>
          <w:strike w:val="0"/>
          <w:noProof w:val="0"/>
          <w:color w:val="000000"/>
          <w:position w:val="0"/>
          <w:sz w:val="20"/>
          <w:u w:val="none"/>
          <w:vertAlign w:val="baseline"/>
        </w:rPr>
        <w:t> [*59178] </w:t>
      </w:r>
      <w:r>
        <w:rPr>
          <w:rFonts w:ascii="arial" w:eastAsia="arial" w:hAnsi="arial" w:cs="arial"/>
          <w:b w:val="0"/>
          <w:i w:val="0"/>
          <w:strike w:val="0"/>
          <w:noProof w:val="0"/>
          <w:color w:val="000000"/>
          <w:position w:val="0"/>
          <w:sz w:val="20"/>
          <w:u w:val="none"/>
          <w:vertAlign w:val="baseline"/>
        </w:rPr>
        <w:t xml:space="preserve"> from the Participants. n8 On November 3,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80809 (May 30, 2017), </w:t>
      </w:r>
      <w:hyperlink r:id="rId10" w:history="1">
        <w:r>
          <w:rPr>
            <w:rFonts w:ascii="arial" w:eastAsia="arial" w:hAnsi="arial" w:cs="arial"/>
            <w:b w:val="0"/>
            <w:i/>
            <w:strike w:val="0"/>
            <w:noProof w:val="0"/>
            <w:color w:val="0077CC"/>
            <w:position w:val="0"/>
            <w:sz w:val="20"/>
            <w:u w:val="single"/>
            <w:vertAlign w:val="baseline"/>
          </w:rPr>
          <w:t>82 FR 25837</w:t>
        </w:r>
      </w:hyperlink>
      <w:r>
        <w:rPr>
          <w:rFonts w:ascii="arial" w:eastAsia="arial" w:hAnsi="arial" w:cs="arial"/>
          <w:b w:val="0"/>
          <w:i w:val="0"/>
          <w:strike w:val="0"/>
          <w:noProof w:val="0"/>
          <w:color w:val="000000"/>
          <w:position w:val="0"/>
          <w:sz w:val="20"/>
          <w:u w:val="none"/>
          <w:vertAlign w:val="baseline"/>
        </w:rPr>
        <w:t xml:space="preserve"> (June 5,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December 7,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34-82275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proposed rule change SR-BatsBYX-2017-11 (the "Original Proposal"), pursuant to which SRO proposed to amend its Fee Schedule to establish the fees for Industry Members related to the National Market System Plan Governing the Consolidated Audit Trail (the "CAT NMS Plan" or "Plan"). n12 SRO files this proposed rule change (the "Amendment") to amend the Original Proposal. This Amendment replaces the Original Proposal in its entirety, and also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website at </w:t>
      </w:r>
      <w:hyperlink r:id="rId29" w:history="1">
        <w:r>
          <w:rPr>
            <w:rFonts w:ascii="arial" w:eastAsia="arial" w:hAnsi="arial" w:cs="arial"/>
            <w:b w:val="0"/>
            <w:i/>
            <w:strike w:val="0"/>
            <w:noProof w:val="0"/>
            <w:color w:val="0077CC"/>
            <w:position w:val="0"/>
            <w:sz w:val="20"/>
            <w:u w:val="single"/>
            <w:vertAlign w:val="baseline"/>
          </w:rPr>
          <w:t>www.markets.cboe.com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SRO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5, 2017, n25 </w:t>
      </w:r>
      <w:r>
        <w:rPr>
          <w:rFonts w:ascii="arial" w:eastAsia="arial" w:hAnsi="arial" w:cs="arial"/>
          <w:b/>
          <w:i w:val="0"/>
          <w:strike w:val="0"/>
          <w:noProof w:val="0"/>
          <w:color w:val="000000"/>
          <w:position w:val="0"/>
          <w:sz w:val="20"/>
          <w:u w:val="none"/>
          <w:vertAlign w:val="baseline"/>
        </w:rPr>
        <w:t> [*59179] </w:t>
      </w:r>
      <w:r>
        <w:rPr>
          <w:rFonts w:ascii="arial" w:eastAsia="arial" w:hAnsi="arial" w:cs="arial"/>
          <w:b w:val="0"/>
          <w:i w:val="0"/>
          <w:strike w:val="0"/>
          <w:noProof w:val="0"/>
          <w:color w:val="000000"/>
          <w:position w:val="0"/>
          <w:sz w:val="20"/>
          <w:u w:val="none"/>
          <w:vertAlign w:val="baseline"/>
        </w:rPr>
        <w:t xml:space="preserve">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Securities Exchange Act Rel. No. 80809 (May 30, 2017), </w:t>
      </w:r>
      <w:hyperlink r:id="rId10" w:history="1">
        <w:r>
          <w:rPr>
            <w:rFonts w:ascii="arial" w:eastAsia="arial" w:hAnsi="arial" w:cs="arial"/>
            <w:b w:val="0"/>
            <w:i/>
            <w:strike w:val="0"/>
            <w:noProof w:val="0"/>
            <w:color w:val="0077CC"/>
            <w:position w:val="0"/>
            <w:sz w:val="20"/>
            <w:u w:val="single"/>
            <w:vertAlign w:val="baseline"/>
          </w:rPr>
          <w:t>82 FR 25837</w:t>
        </w:r>
      </w:hyperlink>
      <w:r>
        <w:rPr>
          <w:rFonts w:ascii="arial" w:eastAsia="arial" w:hAnsi="arial" w:cs="arial"/>
          <w:b w:val="0"/>
          <w:i w:val="0"/>
          <w:strike w:val="0"/>
          <w:noProof w:val="0"/>
          <w:color w:val="000000"/>
          <w:position w:val="0"/>
          <w:sz w:val="20"/>
          <w:u w:val="none"/>
          <w:vertAlign w:val="baseline"/>
        </w:rPr>
        <w:t xml:space="preserve"> (June 5, 2017) (SR-BatsBYX-2017-11).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SRO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w:t>
      </w:r>
      <w:r>
        <w:rPr>
          <w:rFonts w:ascii="arial" w:eastAsia="arial" w:hAnsi="arial" w:cs="arial"/>
          <w:b/>
          <w:i w:val="0"/>
          <w:strike w:val="0"/>
          <w:noProof w:val="0"/>
          <w:color w:val="000000"/>
          <w:position w:val="0"/>
          <w:sz w:val="20"/>
          <w:u w:val="none"/>
          <w:vertAlign w:val="baseline"/>
        </w:rPr>
        <w:t> [*59180] </w:t>
      </w:r>
      <w:r>
        <w:rPr>
          <w:rFonts w:ascii="arial" w:eastAsia="arial" w:hAnsi="arial" w:cs="arial"/>
          <w:b w:val="0"/>
          <w:i w:val="0"/>
          <w:strike w:val="0"/>
          <w:noProof w:val="0"/>
          <w:color w:val="000000"/>
          <w:position w:val="0"/>
          <w:sz w:val="20"/>
          <w:u w:val="none"/>
          <w:vertAlign w:val="baseline"/>
        </w:rPr>
        <w:t xml:space="preserv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CAT NMS Plan contemplates that costs will be allocated across the CAT Reporters on a tiered </w:t>
      </w:r>
      <w:r>
        <w:rPr>
          <w:rFonts w:ascii="arial" w:eastAsia="arial" w:hAnsi="arial" w:cs="arial"/>
          <w:b/>
          <w:i w:val="0"/>
          <w:strike w:val="0"/>
          <w:noProof w:val="0"/>
          <w:color w:val="000000"/>
          <w:position w:val="0"/>
          <w:sz w:val="20"/>
          <w:u w:val="none"/>
          <w:vertAlign w:val="baseline"/>
        </w:rPr>
        <w:t> [*59181] </w:t>
      </w:r>
      <w:r>
        <w:rPr>
          <w:rFonts w:ascii="arial" w:eastAsia="arial" w:hAnsi="arial" w:cs="arial"/>
          <w:b w:val="0"/>
          <w:i w:val="0"/>
          <w:strike w:val="0"/>
          <w:noProof w:val="0"/>
          <w:color w:val="000000"/>
          <w:position w:val="0"/>
          <w:sz w:val="20"/>
          <w:u w:val="none"/>
          <w:vertAlign w:val="baseline"/>
        </w:rPr>
        <w:t xml:space="preserve">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w:t>
      </w:r>
      <w:r>
        <w:rPr>
          <w:rFonts w:ascii="arial" w:eastAsia="arial" w:hAnsi="arial" w:cs="arial"/>
          <w:b/>
          <w:i w:val="0"/>
          <w:strike w:val="0"/>
          <w:noProof w:val="0"/>
          <w:color w:val="000000"/>
          <w:position w:val="0"/>
          <w:sz w:val="20"/>
          <w:u w:val="none"/>
          <w:vertAlign w:val="baseline"/>
        </w:rPr>
        <w:t> [*59182] </w:t>
      </w:r>
      <w:r>
        <w:rPr>
          <w:rFonts w:ascii="arial" w:eastAsia="arial" w:hAnsi="arial" w:cs="arial"/>
          <w:b w:val="0"/>
          <w:i w:val="0"/>
          <w:strike w:val="0"/>
          <w:noProof w:val="0"/>
          <w:color w:val="000000"/>
          <w:position w:val="0"/>
          <w:sz w:val="20"/>
          <w:u w:val="none"/>
          <w:vertAlign w:val="baseline"/>
        </w:rPr>
        <w:t xml:space="preserve">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w:t>
      </w:r>
      <w:r>
        <w:rPr>
          <w:rFonts w:ascii="arial" w:eastAsia="arial" w:hAnsi="arial" w:cs="arial"/>
          <w:b/>
          <w:i w:val="0"/>
          <w:strike w:val="0"/>
          <w:noProof w:val="0"/>
          <w:color w:val="000000"/>
          <w:position w:val="0"/>
          <w:sz w:val="20"/>
          <w:u w:val="none"/>
          <w:vertAlign w:val="baseline"/>
        </w:rPr>
        <w:t> [*59183] </w:t>
      </w:r>
      <w:r>
        <w:rPr>
          <w:rFonts w:ascii="arial" w:eastAsia="arial" w:hAnsi="arial" w:cs="arial"/>
          <w:b w:val="0"/>
          <w:i w:val="0"/>
          <w:strike w:val="0"/>
          <w:noProof w:val="0"/>
          <w:color w:val="000000"/>
          <w:position w:val="0"/>
          <w:sz w:val="20"/>
          <w:u w:val="none"/>
          <w:vertAlign w:val="baseline"/>
        </w:rPr>
        <w:t xml:space="preserv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 and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w:t>
      </w:r>
      <w:r>
        <w:rPr>
          <w:rFonts w:ascii="arial" w:eastAsia="arial" w:hAnsi="arial" w:cs="arial"/>
          <w:b/>
          <w:i w:val="0"/>
          <w:strike w:val="0"/>
          <w:noProof w:val="0"/>
          <w:color w:val="000000"/>
          <w:position w:val="0"/>
          <w:sz w:val="20"/>
          <w:u w:val="none"/>
          <w:vertAlign w:val="baseline"/>
        </w:rPr>
        <w:t> [*59185] </w:t>
      </w:r>
      <w:r>
        <w:rPr>
          <w:rFonts w:ascii="arial" w:eastAsia="arial" w:hAnsi="arial" w:cs="arial"/>
          <w:b w:val="0"/>
          <w:i w:val="0"/>
          <w:strike w:val="0"/>
          <w:noProof w:val="0"/>
          <w:color w:val="000000"/>
          <w:position w:val="0"/>
          <w:sz w:val="20"/>
          <w:u w:val="none"/>
          <w:vertAlign w:val="baseline"/>
        </w:rPr>
        <w:t xml:space="preserve">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w:t>
      </w:r>
      <w:r>
        <w:rPr>
          <w:rFonts w:ascii="arial" w:eastAsia="arial" w:hAnsi="arial" w:cs="arial"/>
          <w:b/>
          <w:i w:val="0"/>
          <w:strike w:val="0"/>
          <w:noProof w:val="0"/>
          <w:color w:val="000000"/>
          <w:position w:val="0"/>
          <w:sz w:val="20"/>
          <w:u w:val="none"/>
          <w:vertAlign w:val="baseline"/>
        </w:rPr>
        <w:t> [*59186] </w:t>
      </w:r>
      <w:r>
        <w:rPr>
          <w:rFonts w:ascii="arial" w:eastAsia="arial" w:hAnsi="arial" w:cs="arial"/>
          <w:b w:val="0"/>
          <w:i w:val="0"/>
          <w:strike w:val="0"/>
          <w:noProof w:val="0"/>
          <w:color w:val="000000"/>
          <w:position w:val="0"/>
          <w:sz w:val="20"/>
          <w:u w:val="none"/>
          <w:vertAlign w:val="baseline"/>
        </w:rPr>
        <w:t xml:space="preserve">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w:t>
      </w:r>
      <w:r>
        <w:rPr>
          <w:rFonts w:ascii="arial" w:eastAsia="arial" w:hAnsi="arial" w:cs="arial"/>
          <w:b/>
          <w:i w:val="0"/>
          <w:strike w:val="0"/>
          <w:noProof w:val="0"/>
          <w:color w:val="000000"/>
          <w:position w:val="0"/>
          <w:sz w:val="20"/>
          <w:u w:val="none"/>
          <w:vertAlign w:val="baseline"/>
        </w:rPr>
        <w:t> [*59188] </w:t>
      </w:r>
      <w:r>
        <w:rPr>
          <w:rFonts w:ascii="arial" w:eastAsia="arial" w:hAnsi="arial" w:cs="arial"/>
          <w:b w:val="0"/>
          <w:i w:val="0"/>
          <w:strike w:val="0"/>
          <w:noProof w:val="0"/>
          <w:color w:val="000000"/>
          <w:position w:val="0"/>
          <w:sz w:val="20"/>
          <w:u w:val="none"/>
          <w:vertAlign w:val="baseline"/>
        </w:rPr>
        <w:t xml:space="preserve">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[*59189]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[*59190] </w:t>
      </w:r>
    </w:p>
    <w:p>
      <w:pPr>
        <w:keepNext w:val="0"/>
        <w:spacing w:before="200" w:after="0" w:line="260" w:lineRule="atLeast"/>
        <w:ind w:left="0" w:right="0" w:firstLine="0"/>
        <w:jc w:val="both"/>
      </w:pPr>
      <w:r>
        <w:pict>
          <v:shape id="_x0000_i1028" type="#_x0000_t75" style="width:402.06pt;height:586.58pt">
            <v:imagedata r:id="rId3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[*59191] </w:t>
      </w:r>
    </w:p>
    <w:p>
      <w:pPr>
        <w:keepNext w:val="0"/>
        <w:spacing w:before="200" w:after="0" w:line="260" w:lineRule="atLeast"/>
        <w:ind w:left="0" w:right="0" w:firstLine="0"/>
        <w:jc w:val="both"/>
      </w:pPr>
      <w:r>
        <w:pict>
          <v:shape id="_x0000_i1029" type="#_x0000_t75" style="width:402.06pt;height:586.58pt">
            <v:imagedata r:id="rId3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30" type="#_x0000_t75" style="width:432.06pt;height:297.04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[*59192]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1" type="#_x0000_t75" style="width:432.06pt;height:157.52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Excess(57M)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11.1(c) of the CAT NMS Plan, to fund the development and </w:t>
      </w:r>
      <w:r>
        <w:rPr>
          <w:rFonts w:ascii="arial" w:eastAsia="arial" w:hAnsi="arial" w:cs="arial"/>
          <w:b/>
          <w:i w:val="0"/>
          <w:strike w:val="0"/>
          <w:noProof w:val="0"/>
          <w:color w:val="000000"/>
          <w:position w:val="0"/>
          <w:sz w:val="20"/>
          <w:u w:val="none"/>
          <w:vertAlign w:val="baseline"/>
        </w:rPr>
        <w:t> [*59193] </w:t>
      </w:r>
      <w:r>
        <w:rPr>
          <w:rFonts w:ascii="arial" w:eastAsia="arial" w:hAnsi="arial" w:cs="arial"/>
          <w:b w:val="0"/>
          <w:i w:val="0"/>
          <w:strike w:val="0"/>
          <w:noProof w:val="0"/>
          <w:color w:val="000000"/>
          <w:position w:val="0"/>
          <w:sz w:val="20"/>
          <w:u w:val="none"/>
          <w:vertAlign w:val="baseline"/>
        </w:rPr>
        <w:t xml:space="preserve">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the Consolidated Audit Trail Funding Fees to impose the CAT Fees determined by the Operating Committee on SRO's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4.5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Note that no fee schedule is provided for Execution Venue ATSs that execute transactions in Listed Options, as no such Execution Venue ATSs currently exist due to trading restrictions related to Listed Options. </w:t>
      </w:r>
      <w:r>
        <w:rPr>
          <w:rFonts w:ascii="arial" w:eastAsia="arial" w:hAnsi="arial" w:cs="arial"/>
          <w:b/>
          <w:i w:val="0"/>
          <w:strike w:val="0"/>
          <w:noProof w:val="0"/>
          <w:color w:val="000000"/>
          <w:position w:val="0"/>
          <w:sz w:val="20"/>
          <w:u w:val="none"/>
          <w:vertAlign w:val="baseline"/>
        </w:rPr>
        <w:t> [*59195]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SRO will provide Industry Members with details regarding the manner of payment of CAT Fees by Regulatory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SRO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SRO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val="0"/>
          <w:strike w:val="0"/>
          <w:noProof w:val="0"/>
          <w:color w:val="000000"/>
          <w:position w:val="0"/>
          <w:sz w:val="20"/>
          <w:u w:val="none"/>
          <w:vertAlign w:val="baseline"/>
        </w:rPr>
        <w:t> [*59196]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w:t>
      </w:r>
      <w:r>
        <w:rPr>
          <w:rFonts w:ascii="arial" w:eastAsia="arial" w:hAnsi="arial" w:cs="arial"/>
          <w:b/>
          <w:i w:val="0"/>
          <w:strike w:val="0"/>
          <w:noProof w:val="0"/>
          <w:color w:val="000000"/>
          <w:position w:val="0"/>
          <w:sz w:val="20"/>
          <w:u w:val="none"/>
          <w:vertAlign w:val="baseline"/>
        </w:rPr>
        <w:t> [*59197] </w:t>
      </w:r>
      <w:r>
        <w:rPr>
          <w:rFonts w:ascii="arial" w:eastAsia="arial" w:hAnsi="arial" w:cs="arial"/>
          <w:b w:val="0"/>
          <w:i w:val="0"/>
          <w:strike w:val="0"/>
          <w:noProof w:val="0"/>
          <w:color w:val="000000"/>
          <w:position w:val="0"/>
          <w:sz w:val="20"/>
          <w:u w:val="none"/>
          <w:vertAlign w:val="baseline"/>
        </w:rPr>
        <w:t xml:space="preserve">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SRO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w:t>
      </w:r>
      <w:r>
        <w:rPr>
          <w:rFonts w:ascii="arial" w:eastAsia="arial" w:hAnsi="arial" w:cs="arial"/>
          <w:b/>
          <w:i w:val="0"/>
          <w:strike w:val="0"/>
          <w:noProof w:val="0"/>
          <w:color w:val="000000"/>
          <w:position w:val="0"/>
          <w:sz w:val="20"/>
          <w:u w:val="none"/>
          <w:vertAlign w:val="baseline"/>
        </w:rPr>
        <w:t> [*59198] </w:t>
      </w:r>
      <w:r>
        <w:rPr>
          <w:rFonts w:ascii="arial" w:eastAsia="arial" w:hAnsi="arial" w:cs="arial"/>
          <w:b w:val="0"/>
          <w:i w:val="0"/>
          <w:strike w:val="0"/>
          <w:noProof w:val="0"/>
          <w:color w:val="000000"/>
          <w:position w:val="0"/>
          <w:sz w:val="20"/>
          <w:u w:val="none"/>
          <w:vertAlign w:val="baseline"/>
        </w:rPr>
        <w:t xml:space="preserv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(b)(1) of the proposed fee schedule to indicate that the message traffic related to equity market maker quotes and Options Market Maker quotes would be discounted. In addition, SRO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determined to adjust the allocation of CAT costs between Equity Execution Venues and Options Execution Venues to enhance comparability at the individual entity level. In the Original </w:t>
      </w:r>
      <w:r>
        <w:rPr>
          <w:rFonts w:ascii="arial" w:eastAsia="arial" w:hAnsi="arial" w:cs="arial"/>
          <w:b/>
          <w:i w:val="0"/>
          <w:strike w:val="0"/>
          <w:noProof w:val="0"/>
          <w:color w:val="000000"/>
          <w:position w:val="0"/>
          <w:sz w:val="20"/>
          <w:u w:val="none"/>
          <w:vertAlign w:val="baseline"/>
        </w:rPr>
        <w:t> [*59199] </w:t>
      </w:r>
      <w:r>
        <w:rPr>
          <w:rFonts w:ascii="arial" w:eastAsia="arial" w:hAnsi="arial" w:cs="arial"/>
          <w:b w:val="0"/>
          <w:i w:val="0"/>
          <w:strike w:val="0"/>
          <w:noProof w:val="0"/>
          <w:color w:val="000000"/>
          <w:position w:val="0"/>
          <w:sz w:val="20"/>
          <w:u w:val="none"/>
          <w:vertAlign w:val="baseline"/>
        </w:rPr>
        <w:t xml:space="preserve">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 No. 67457 (Jul 18, 2012), </w:t>
      </w:r>
      <w:hyperlink r:id="rId42"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paragraphs (b)(1) and (2) of the proposed fee schedule to reflect the changes discussed in this section. Specifically, SRO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charge Execution Venues based on market share and Industry Members (other than Execution Venue ATSs) based on message traffic. Commenters questioned the use of the two different </w:t>
      </w:r>
      <w:r>
        <w:rPr>
          <w:rFonts w:ascii="arial" w:eastAsia="arial" w:hAnsi="arial" w:cs="arial"/>
          <w:b/>
          <w:i w:val="0"/>
          <w:strike w:val="0"/>
          <w:noProof w:val="0"/>
          <w:color w:val="000000"/>
          <w:position w:val="0"/>
          <w:sz w:val="20"/>
          <w:u w:val="none"/>
          <w:vertAlign w:val="baseline"/>
        </w:rPr>
        <w:t> [*59200] </w:t>
      </w:r>
      <w:r>
        <w:rPr>
          <w:rFonts w:ascii="arial" w:eastAsia="arial" w:hAnsi="arial" w:cs="arial"/>
          <w:b w:val="0"/>
          <w:i w:val="0"/>
          <w:strike w:val="0"/>
          <w:noProof w:val="0"/>
          <w:color w:val="000000"/>
          <w:position w:val="0"/>
          <w:sz w:val="20"/>
          <w:u w:val="none"/>
          <w:vertAlign w:val="baseline"/>
        </w:rPr>
        <w:t xml:space="preserve">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SRO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w:t>
      </w:r>
      <w:r>
        <w:rPr>
          <w:rFonts w:ascii="arial" w:eastAsia="arial" w:hAnsi="arial" w:cs="arial"/>
          <w:b/>
          <w:i w:val="0"/>
          <w:strike w:val="0"/>
          <w:noProof w:val="0"/>
          <w:color w:val="000000"/>
          <w:position w:val="0"/>
          <w:sz w:val="20"/>
          <w:u w:val="none"/>
          <w:vertAlign w:val="baseline"/>
        </w:rPr>
        <w:t> [*59201] </w:t>
      </w:r>
      <w:r>
        <w:rPr>
          <w:rFonts w:ascii="arial" w:eastAsia="arial" w:hAnsi="arial" w:cs="arial"/>
          <w:b w:val="0"/>
          <w:i w:val="0"/>
          <w:strike w:val="0"/>
          <w:noProof w:val="0"/>
          <w:color w:val="000000"/>
          <w:position w:val="0"/>
          <w:sz w:val="20"/>
          <w:u w:val="none"/>
          <w:vertAlign w:val="baseline"/>
        </w:rPr>
        <w:t xml:space="preserve">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SRO believes that the proposed rule change is consistent with the provisions of Section 6(b)(5) of the Act, n89 which require, among other things, that the SRO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 and Section 6(b)(4) of the Act, n90 which requires that SRO rules provide for the equitable allocation of reasonable dues, fees, and other charges among members and issuers and other persons using its facilities. As discussed above, the SEC approved the bifurcated, tiered, fixed fee funding model in the CAT NMS Plan, finding it was reasonable and that it equitably allocated fees among Participants and Industry Members. SRO believes that the proposed tiered fees adopted pursuant to the funding model approved by the SEC in the CAT </w:t>
      </w:r>
      <w:r>
        <w:rPr>
          <w:rFonts w:ascii="arial" w:eastAsia="arial" w:hAnsi="arial" w:cs="arial"/>
          <w:b/>
          <w:i w:val="0"/>
          <w:strike w:val="0"/>
          <w:noProof w:val="0"/>
          <w:color w:val="000000"/>
          <w:position w:val="0"/>
          <w:sz w:val="20"/>
          <w:u w:val="none"/>
          <w:vertAlign w:val="baseline"/>
        </w:rPr>
        <w:t> [*59202] </w:t>
      </w:r>
      <w:r>
        <w:rPr>
          <w:rFonts w:ascii="arial" w:eastAsia="arial" w:hAnsi="arial" w:cs="arial"/>
          <w:b w:val="0"/>
          <w:i w:val="0"/>
          <w:strike w:val="0"/>
          <w:noProof w:val="0"/>
          <w:color w:val="000000"/>
          <w:position w:val="0"/>
          <w:sz w:val="20"/>
          <w:u w:val="none"/>
          <w:vertAlign w:val="baseline"/>
        </w:rPr>
        <w:t xml:space="preserve">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this proposal is consistent with the Act because it implements, interprets or clarifies the provisions of the Plan, and is designed to assist SRO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extent that this proposal implements, interprets or clarifies the Plan and applies specific requirements to Industry Members, SRO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SRO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SRO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SRO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SRO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n92 require that SRO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SRO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SRO notes that the proposed rule change implements provisions of the CAT NMS Plan approved by the Commission, and is designed to assist SRO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3" w:history="1">
        <w:r>
          <w:rPr>
            <w:rFonts w:ascii="arial" w:eastAsia="arial" w:hAnsi="arial" w:cs="arial"/>
            <w:b w:val="0"/>
            <w:i/>
            <w:strike w:val="0"/>
            <w:noProof w:val="0"/>
            <w:color w:val="0077CC"/>
            <w:position w:val="0"/>
            <w:sz w:val="20"/>
            <w:u w:val="single"/>
            <w:vertAlign w:val="baseline"/>
          </w:rPr>
          <w:t>15 U.S.C. 78f(b)(8)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SRO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SRO does not believe that the CAT Fees would have a disproportionate effect on smaller or larger CAT Reporters. In addition, ATSs and exchanges will pay the same fees based on market share. Therefore, SRO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SRO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SRO has set forth responses to comments received regarding the Original Proposal in Section 3(a)(4) above. </w:t>
      </w:r>
      <w:r>
        <w:rPr>
          <w:rFonts w:ascii="arial" w:eastAsia="arial" w:hAnsi="arial" w:cs="arial"/>
          <w:b/>
          <w:i w:val="0"/>
          <w:strike w:val="0"/>
          <w:noProof w:val="0"/>
          <w:color w:val="000000"/>
          <w:position w:val="0"/>
          <w:sz w:val="20"/>
          <w:u w:val="none"/>
          <w:vertAlign w:val="baseline"/>
        </w:rPr>
        <w:t> [*59203]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n97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w:t>
      </w:r>
      <w:r>
        <w:rPr>
          <w:rFonts w:ascii="arial" w:eastAsia="arial" w:hAnsi="arial" w:cs="arial"/>
          <w:b/>
          <w:i w:val="0"/>
          <w:strike w:val="0"/>
          <w:noProof w:val="0"/>
          <w:color w:val="000000"/>
          <w:position w:val="0"/>
          <w:sz w:val="20"/>
          <w:u w:val="none"/>
          <w:vertAlign w:val="baseline"/>
        </w:rPr>
        <w:t> [*59204] </w:t>
      </w:r>
      <w:r>
        <w:rPr>
          <w:rFonts w:ascii="arial" w:eastAsia="arial" w:hAnsi="arial" w:cs="arial"/>
          <w:b w:val="0"/>
          <w:i w:val="0"/>
          <w:strike w:val="0"/>
          <w:noProof w:val="0"/>
          <w:color w:val="000000"/>
          <w:position w:val="0"/>
          <w:sz w:val="20"/>
          <w:u w:val="none"/>
          <w:vertAlign w:val="baseline"/>
        </w:rPr>
        <w:t xml:space="preser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SR-BatsBYX-2017-11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SR-BatsBYX-2017-11. This file number should be included on the subject line if email is used. To help the Commission process and review your comments more efficiently, please use only one method. The Commission will post all comments on the Commission's internet website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SR-BatsBYX-2017-11, and should be submitted on or before January 4,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4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2017-26996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59177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PT-54F0-006W-80TT-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markets.cboe.co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67K-XK60-006W-83N3-00000-00&amp;context=" TargetMode="External" /><Relationship Id="rId43" Type="http://schemas.openxmlformats.org/officeDocument/2006/relationships/hyperlink" Target="https://advance.lexis.com/api/document?collection=statutes-legislation&amp;id=urn:contentItem:4YF7-GPC1-NRF4-4309-00000-00&amp;context=" TargetMode="External" /><Relationship Id="rId44" Type="http://schemas.openxmlformats.org/officeDocument/2006/relationships/hyperlink" Target="http://www.sec.gov/rules/sro.shtml" TargetMode="External" /><Relationship Id="rId45" Type="http://schemas.openxmlformats.org/officeDocument/2006/relationships/hyperlink" Target="mailto:rule-comments@sec.gov" TargetMode="External" /><Relationship Id="rId46" Type="http://schemas.openxmlformats.org/officeDocument/2006/relationships/hyperlink" Target="https://advance.lexis.com/api/document?collection=administrative-codes&amp;id=urn:contentItem:5SPP-2120-008G-Y2ND-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8B-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59094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71568479</vt:lpwstr>
  </property>
  <property fmtid="{D5CDD505-2E9C-101B-9397-08002B2CF9AE}" pid="3" name="LADocCount">
    <vt:lpwstr>1</vt:lpwstr>
  </property>
  <property fmtid="{D5CDD505-2E9C-101B-9397-08002B2CF9AE}" pid="4" name="UserPermID">
    <vt:lpwstr>urn:user:PA185916758</vt:lpwstr>
  </property>
</Properties>
</file>