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59694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240, Friday, December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59694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ISE, LLC Notice of Filing of Amendment No. 2 to a Proposed Rule Change To Adopt Rule 7004 and Chapter XV, Section 11</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34-82283; File No. SR-ISE-2017-045]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12, 2017, Nasdaq ISE, LLC ("ISE" or "Exchange")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24,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w:t>
      </w:r>
      <w:r>
        <w:rPr>
          <w:rFonts w:ascii="arial" w:eastAsia="arial" w:hAnsi="arial" w:cs="arial"/>
          <w:b/>
          <w:i w:val="0"/>
          <w:strike w:val="0"/>
          <w:noProof w:val="0"/>
          <w:color w:val="000000"/>
          <w:position w:val="0"/>
          <w:sz w:val="20"/>
          <w:u w:val="none"/>
          <w:vertAlign w:val="baseline"/>
        </w:rPr>
        <w:t> [*59695] </w:t>
      </w:r>
      <w:r>
        <w:rPr>
          <w:rFonts w:ascii="arial" w:eastAsia="arial" w:hAnsi="arial" w:cs="arial"/>
          <w:b w:val="0"/>
          <w:i w:val="0"/>
          <w:strike w:val="0"/>
          <w:noProof w:val="0"/>
          <w:color w:val="000000"/>
          <w:position w:val="0"/>
          <w:sz w:val="20"/>
          <w:u w:val="none"/>
          <w:vertAlign w:val="baseline"/>
        </w:rPr>
        <w:t xml:space="preserve"> from the Participants. n8 On November 6, 2017, the Exchange filed Amendment No. 1 to the proposed rule change. n9 On November 9, 2017, the Commission extended the time period within which to approve the proposed rule change or disapprove the proposed rule change to January 14, 2018. n10 On December 5, 2017, the Exchange filed Amendment No. 2 to the proposed rule change, as described in Items I and II below, which Items have been prepared by the Exchange. n11 The Commission is publishing this notice to solicit comments from interested persons on Amendment No.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80715 (May 18, 2017), </w:t>
      </w:r>
      <w:hyperlink r:id="rId10" w:history="1">
        <w:r>
          <w:rPr>
            <w:rFonts w:ascii="arial" w:eastAsia="arial" w:hAnsi="arial" w:cs="arial"/>
            <w:b w:val="0"/>
            <w:i/>
            <w:strike w:val="0"/>
            <w:noProof w:val="0"/>
            <w:color w:val="0077CC"/>
            <w:position w:val="0"/>
            <w:sz w:val="20"/>
            <w:u w:val="single"/>
            <w:vertAlign w:val="baseline"/>
          </w:rPr>
          <w:t>82 FR 23895</w:t>
        </w:r>
      </w:hyperlink>
      <w:r>
        <w:rPr>
          <w:rFonts w:ascii="arial" w:eastAsia="arial" w:hAnsi="arial" w:cs="arial"/>
          <w:b w:val="0"/>
          <w:i w:val="0"/>
          <w:strike w:val="0"/>
          <w:noProof w:val="0"/>
          <w:color w:val="000000"/>
          <w:position w:val="0"/>
          <w:sz w:val="20"/>
          <w:u w:val="none"/>
          <w:vertAlign w:val="baseline"/>
        </w:rPr>
        <w:t xml:space="preserve"> (May 24,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Amendment No. 1 to the proposed rule change replaced and superseded the Original Proposal in its entirety. Amendment No. 1 is available on the Commission's website for ISE at: </w:t>
      </w:r>
      <w:hyperlink r:id="rId28" w:history="1">
        <w:r>
          <w:rPr>
            <w:rFonts w:ascii="arial" w:eastAsia="arial" w:hAnsi="arial" w:cs="arial"/>
            <w:b w:val="0"/>
            <w:i/>
            <w:strike w:val="0"/>
            <w:noProof w:val="0"/>
            <w:color w:val="0077CC"/>
            <w:position w:val="0"/>
            <w:sz w:val="20"/>
            <w:u w:val="single"/>
            <w:vertAlign w:val="baseline"/>
          </w:rPr>
          <w:t>https://www.sec.gov/comments/sr-ise-2017-45/ise201745-2669797-161444.pdf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9"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Amendment No. 2 replaces and supersedes Amendment No. 1 in its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12, 2017, Nasdaq ISE, LLC ("ISE" or "Exchange"), filed with the Securities and Exchange Commission ("Commission" or "SEC") proposed rule change SR-ISE-2017-45 (the "Original Proposal"), pursuant to which the Exchange proposed to adopt a fee schedule to establish the fees for Industry Members related to the National Market System Plan Governing the Consolidated Audit Trail (the "CAT NMS Plan" or "Plan"). n12 On November 6, 2017, the Exchange filed an amendment to the Original Proposal ("Amendment No. 1"), which replaced the Original Proposal in its entirety. The Exchange is now filing this Amendment No. 2 to replace Amendment No. 1 in its entirety. This Amendment No. 2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Amendment, the Exchange is including </w:t>
      </w:r>
      <w:r>
        <w:rPr>
          <w:rFonts w:ascii="arial" w:eastAsia="arial" w:hAnsi="arial" w:cs="arial"/>
          <w:b w:val="0"/>
          <w:i/>
          <w:strike w:val="0"/>
          <w:noProof w:val="0"/>
          <w:color w:val="000000"/>
          <w:position w:val="0"/>
          <w:sz w:val="20"/>
          <w:u w:val="none"/>
          <w:vertAlign w:val="baseline"/>
        </w:rPr>
        <w:t>Exhibit 4,</w:t>
      </w:r>
      <w:r>
        <w:rPr>
          <w:rFonts w:ascii="arial" w:eastAsia="arial" w:hAnsi="arial" w:cs="arial"/>
          <w:b w:val="0"/>
          <w:i w:val="0"/>
          <w:strike w:val="0"/>
          <w:noProof w:val="0"/>
          <w:color w:val="000000"/>
          <w:position w:val="0"/>
          <w:sz w:val="20"/>
          <w:u w:val="none"/>
          <w:vertAlign w:val="baseline"/>
        </w:rPr>
        <w:t xml:space="preserve"> which reflects the changes to the text of the proposed rule change as set forth in the Original Proposal, and </w:t>
      </w:r>
      <w:r>
        <w:rPr>
          <w:rFonts w:ascii="arial" w:eastAsia="arial" w:hAnsi="arial" w:cs="arial"/>
          <w:b w:val="0"/>
          <w:i/>
          <w:strike w:val="0"/>
          <w:noProof w:val="0"/>
          <w:color w:val="000000"/>
          <w:position w:val="0"/>
          <w:sz w:val="20"/>
          <w:u w:val="none"/>
          <w:vertAlign w:val="baseline"/>
        </w:rPr>
        <w:t>Exhibit 5,</w:t>
      </w:r>
      <w:r>
        <w:rPr>
          <w:rFonts w:ascii="arial" w:eastAsia="arial" w:hAnsi="arial" w:cs="arial"/>
          <w:b w:val="0"/>
          <w:i w:val="0"/>
          <w:strike w:val="0"/>
          <w:noProof w:val="0"/>
          <w:color w:val="000000"/>
          <w:position w:val="0"/>
          <w:sz w:val="20"/>
          <w:u w:val="none"/>
          <w:vertAlign w:val="baseline"/>
        </w:rPr>
        <w:t xml:space="preserve"> which reflects all proposed changes to the Exchange's current rule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30" w:history="1">
        <w:r>
          <w:rPr>
            <w:rFonts w:ascii="arial" w:eastAsia="arial" w:hAnsi="arial" w:cs="arial"/>
            <w:b w:val="0"/>
            <w:i/>
            <w:strike w:val="0"/>
            <w:noProof w:val="0"/>
            <w:color w:val="0077CC"/>
            <w:position w:val="0"/>
            <w:sz w:val="20"/>
            <w:u w:val="single"/>
            <w:vertAlign w:val="baseline"/>
          </w:rPr>
          <w:t>http://ise.cchwallstreet.com/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w:t>
      </w:r>
      <w:r>
        <w:rPr>
          <w:rFonts w:ascii="arial" w:eastAsia="arial" w:hAnsi="arial" w:cs="arial"/>
          <w:b/>
          <w:i w:val="0"/>
          <w:strike w:val="0"/>
          <w:noProof w:val="0"/>
          <w:color w:val="000000"/>
          <w:position w:val="0"/>
          <w:sz w:val="20"/>
          <w:u w:val="none"/>
          <w:vertAlign w:val="baseline"/>
        </w:rPr>
        <w:t> [*59696] </w:t>
      </w:r>
      <w:r>
        <w:rPr>
          <w:rFonts w:ascii="arial" w:eastAsia="arial" w:hAnsi="arial" w:cs="arial"/>
          <w:b w:val="0"/>
          <w:i w:val="0"/>
          <w:strike w:val="0"/>
          <w:noProof w:val="0"/>
          <w:color w:val="000000"/>
          <w:position w:val="0"/>
          <w:sz w:val="20"/>
          <w:u w:val="none"/>
          <w:vertAlign w:val="baseline"/>
        </w:rPr>
        <w:t xml:space="preserve"> implemented by the Participants ("CAT Fees"). n23 The Participants are required to file with the SEC under Section 19(b) of the Exchange Act any such CAT Fees applicable to Industry Members that the Operating Committee approves. n24 Accordingly, the Exchange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80248 (March 15, 2017), </w:t>
      </w:r>
      <w:hyperlink r:id="rId31"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(March 21, 2017); Securities Exchange Act Release No. 80326 (March 29, 2017), </w:t>
      </w:r>
      <w:hyperlink r:id="rId32"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(April 4, 2017); and Securities Exchange Act Release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79902 (January 30, 2017), </w:t>
      </w:r>
      <w:hyperlink r:id="rId33"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(February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5"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Release No. 77724 (April 27, 2016), </w:t>
      </w:r>
      <w:hyperlink r:id="rId36"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Release No. 79318 (November 15, 2016), </w:t>
      </w:r>
      <w:hyperlink r:id="rId37"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24,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80715 (May 18, 2017), </w:t>
      </w:r>
      <w:hyperlink r:id="rId10" w:history="1">
        <w:r>
          <w:rPr>
            <w:rFonts w:ascii="arial" w:eastAsia="arial" w:hAnsi="arial" w:cs="arial"/>
            <w:b w:val="0"/>
            <w:i/>
            <w:strike w:val="0"/>
            <w:noProof w:val="0"/>
            <w:color w:val="0077CC"/>
            <w:position w:val="0"/>
            <w:sz w:val="20"/>
            <w:u w:val="single"/>
            <w:vertAlign w:val="baseline"/>
          </w:rPr>
          <w:t>82 FR 23895</w:t>
        </w:r>
      </w:hyperlink>
      <w:r>
        <w:rPr>
          <w:rFonts w:ascii="arial" w:eastAsia="arial" w:hAnsi="arial" w:cs="arial"/>
          <w:b w:val="0"/>
          <w:i w:val="0"/>
          <w:strike w:val="0"/>
          <w:noProof w:val="0"/>
          <w:color w:val="000000"/>
          <w:position w:val="0"/>
          <w:sz w:val="20"/>
          <w:u w:val="none"/>
          <w:vertAlign w:val="baseline"/>
        </w:rPr>
        <w:t xml:space="preserve"> (May 24, 2017) (SR-ISE-2017-45).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OTC Equity Securities market share of Execution Venue ATSs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OTC Equity Securities market share of Execution Venue ATSs trading OTC Equity Securities as well as the market </w:t>
      </w:r>
      <w:r>
        <w:rPr>
          <w:rFonts w:ascii="arial" w:eastAsia="arial" w:hAnsi="arial" w:cs="arial"/>
          <w:b/>
          <w:i w:val="0"/>
          <w:strike w:val="0"/>
          <w:noProof w:val="0"/>
          <w:color w:val="000000"/>
          <w:position w:val="0"/>
          <w:sz w:val="20"/>
          <w:u w:val="none"/>
          <w:vertAlign w:val="baseline"/>
        </w:rPr>
        <w:t> [*59697] </w:t>
      </w:r>
      <w:r>
        <w:rPr>
          <w:rFonts w:ascii="arial" w:eastAsia="arial" w:hAnsi="arial" w:cs="arial"/>
          <w:b w:val="0"/>
          <w:i w:val="0"/>
          <w:strike w:val="0"/>
          <w:noProof w:val="0"/>
          <w:color w:val="000000"/>
          <w:position w:val="0"/>
          <w:sz w:val="20"/>
          <w:u w:val="none"/>
          <w:vertAlign w:val="baseline"/>
        </w:rPr>
        <w:t xml:space="preserve">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w:t>
      </w:r>
      <w:r>
        <w:rPr>
          <w:rFonts w:ascii="arial" w:eastAsia="arial" w:hAnsi="arial" w:cs="arial"/>
          <w:b/>
          <w:i w:val="0"/>
          <w:strike w:val="0"/>
          <w:noProof w:val="0"/>
          <w:color w:val="000000"/>
          <w:position w:val="0"/>
          <w:sz w:val="20"/>
          <w:u w:val="none"/>
          <w:vertAlign w:val="baseline"/>
        </w:rPr>
        <w:t> [*59698] </w:t>
      </w:r>
      <w:r>
        <w:rPr>
          <w:rFonts w:ascii="arial" w:eastAsia="arial" w:hAnsi="arial" w:cs="arial"/>
          <w:b w:val="0"/>
          <w:i w:val="0"/>
          <w:strike w:val="0"/>
          <w:noProof w:val="0"/>
          <w:color w:val="000000"/>
          <w:position w:val="0"/>
          <w:sz w:val="20"/>
          <w:u w:val="none"/>
          <w:vertAlign w:val="baseline"/>
        </w:rPr>
        <w:t xml:space="preserv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w:t>
      </w:r>
      <w:r>
        <w:rPr>
          <w:rFonts w:ascii="arial" w:eastAsia="arial" w:hAnsi="arial" w:cs="arial"/>
          <w:b/>
          <w:i w:val="0"/>
          <w:strike w:val="0"/>
          <w:noProof w:val="0"/>
          <w:color w:val="000000"/>
          <w:position w:val="0"/>
          <w:sz w:val="20"/>
          <w:u w:val="none"/>
          <w:vertAlign w:val="baseline"/>
        </w:rPr>
        <w:t> [*59699] </w:t>
      </w:r>
      <w:r>
        <w:rPr>
          <w:rFonts w:ascii="arial" w:eastAsia="arial" w:hAnsi="arial" w:cs="arial"/>
          <w:b w:val="0"/>
          <w:i w:val="0"/>
          <w:strike w:val="0"/>
          <w:noProof w:val="0"/>
          <w:color w:val="000000"/>
          <w:position w:val="0"/>
          <w:sz w:val="20"/>
          <w:u w:val="none"/>
          <w:vertAlign w:val="baseline"/>
        </w:rPr>
        <w:t xml:space="preserv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OTC Equity Securities market share of Execution Venue ATSs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Industry Member (other than Execution Venue ATSs) will be ranked by message traffic and tiered by predefined Industry Member </w:t>
      </w:r>
      <w:r>
        <w:rPr>
          <w:rFonts w:ascii="arial" w:eastAsia="arial" w:hAnsi="arial" w:cs="arial"/>
          <w:b/>
          <w:i w:val="0"/>
          <w:strike w:val="0"/>
          <w:noProof w:val="0"/>
          <w:color w:val="000000"/>
          <w:position w:val="0"/>
          <w:sz w:val="20"/>
          <w:u w:val="none"/>
          <w:vertAlign w:val="baseline"/>
        </w:rPr>
        <w:t> [*59700] </w:t>
      </w:r>
      <w:r>
        <w:rPr>
          <w:rFonts w:ascii="arial" w:eastAsia="arial" w:hAnsi="arial" w:cs="arial"/>
          <w:b w:val="0"/>
          <w:i w:val="0"/>
          <w:strike w:val="0"/>
          <w:noProof w:val="0"/>
          <w:color w:val="000000"/>
          <w:position w:val="0"/>
          <w:sz w:val="20"/>
          <w:u w:val="none"/>
          <w:vertAlign w:val="baseline"/>
        </w:rPr>
        <w:t xml:space="preserve">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8"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w:t>
      </w:r>
      <w:r>
        <w:rPr>
          <w:rFonts w:ascii="arial" w:eastAsia="arial" w:hAnsi="arial" w:cs="arial"/>
          <w:b/>
          <w:i w:val="0"/>
          <w:strike w:val="0"/>
          <w:noProof w:val="0"/>
          <w:color w:val="000000"/>
          <w:position w:val="0"/>
          <w:sz w:val="20"/>
          <w:u w:val="none"/>
          <w:vertAlign w:val="baseline"/>
        </w:rPr>
        <w:t> [*59702] </w:t>
      </w:r>
      <w:r>
        <w:rPr>
          <w:rFonts w:ascii="arial" w:eastAsia="arial" w:hAnsi="arial" w:cs="arial"/>
          <w:b w:val="0"/>
          <w:i w:val="0"/>
          <w:strike w:val="0"/>
          <w:noProof w:val="0"/>
          <w:color w:val="000000"/>
          <w:position w:val="0"/>
          <w:sz w:val="20"/>
          <w:u w:val="none"/>
          <w:vertAlign w:val="baseline"/>
        </w:rPr>
        <w:t xml:space="preserve">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77265 (March 1, 2017), </w:t>
      </w:r>
      <w:hyperlink r:id="rId39"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(March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to discount the OTC Equity Securities market share of Execution Venue ATSs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trading OTC Equity Securities and FINRA would likely be </w:t>
      </w:r>
      <w:r>
        <w:rPr>
          <w:rFonts w:ascii="arial" w:eastAsia="arial" w:hAnsi="arial" w:cs="arial"/>
          <w:b/>
          <w:i w:val="0"/>
          <w:strike w:val="0"/>
          <w:noProof w:val="0"/>
          <w:color w:val="000000"/>
          <w:position w:val="0"/>
          <w:sz w:val="20"/>
          <w:u w:val="none"/>
          <w:vertAlign w:val="baseline"/>
        </w:rPr>
        <w:t> [*59703] </w:t>
      </w:r>
      <w:r>
        <w:rPr>
          <w:rFonts w:ascii="arial" w:eastAsia="arial" w:hAnsi="arial" w:cs="arial"/>
          <w:b w:val="0"/>
          <w:i w:val="0"/>
          <w:strike w:val="0"/>
          <w:noProof w:val="0"/>
          <w:color w:val="000000"/>
          <w:position w:val="0"/>
          <w:sz w:val="20"/>
          <w:u w:val="none"/>
          <w:vertAlign w:val="baseline"/>
        </w:rPr>
        <w:t xml:space="preserve"> subject to higher tiers than their operations may warrant. To address this potential concern, the Operating Committee determined to discount the OTC Equity Securities market share of Execution Venue ATSs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w:t>
      </w:r>
      <w:r>
        <w:rPr>
          <w:rFonts w:ascii="arial" w:eastAsia="arial" w:hAnsi="arial" w:cs="arial"/>
          <w:b/>
          <w:i w:val="0"/>
          <w:strike w:val="0"/>
          <w:noProof w:val="0"/>
          <w:color w:val="000000"/>
          <w:position w:val="0"/>
          <w:sz w:val="20"/>
          <w:u w:val="none"/>
          <w:vertAlign w:val="baseline"/>
        </w:rPr>
        <w:t> [*59704] </w:t>
      </w:r>
      <w:r>
        <w:rPr>
          <w:rFonts w:ascii="arial" w:eastAsia="arial" w:hAnsi="arial" w:cs="arial"/>
          <w:b w:val="0"/>
          <w:i w:val="0"/>
          <w:strike w:val="0"/>
          <w:noProof w:val="0"/>
          <w:color w:val="000000"/>
          <w:position w:val="0"/>
          <w:sz w:val="20"/>
          <w:u w:val="none"/>
          <w:vertAlign w:val="baseline"/>
        </w:rPr>
        <w:t xml:space="preserve">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OTC Equity Securities market share of Execution Venue ATSs trading OTC Equity Securities as well as the market share of the FINRA ORF,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w:t>
      </w:r>
      <w:r>
        <w:rPr>
          <w:rFonts w:ascii="arial" w:eastAsia="arial" w:hAnsi="arial" w:cs="arial"/>
          <w:b/>
          <w:i w:val="0"/>
          <w:strike w:val="0"/>
          <w:noProof w:val="0"/>
          <w:color w:val="000000"/>
          <w:position w:val="0"/>
          <w:sz w:val="20"/>
          <w:u w:val="none"/>
          <w:vertAlign w:val="baseline"/>
        </w:rPr>
        <w:t> [*59705] </w:t>
      </w:r>
      <w:r>
        <w:rPr>
          <w:rFonts w:ascii="arial" w:eastAsia="arial" w:hAnsi="arial" w:cs="arial"/>
          <w:b w:val="0"/>
          <w:i w:val="0"/>
          <w:strike w:val="0"/>
          <w:noProof w:val="0"/>
          <w:color w:val="000000"/>
          <w:position w:val="0"/>
          <w:sz w:val="20"/>
          <w:u w:val="none"/>
          <w:vertAlign w:val="baseline"/>
        </w:rPr>
        <w:t xml:space="preserve">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 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[*59707] </w:t>
      </w:r>
    </w:p>
    <w:p>
      <w:pPr>
        <w:keepNext w:val="0"/>
        <w:spacing w:before="200" w:after="0" w:line="260" w:lineRule="atLeast"/>
        <w:ind w:left="0" w:right="0" w:firstLine="0"/>
        <w:jc w:val="both"/>
      </w:pPr>
      <w:r>
        <w:pict>
          <v:shape id="_x0000_i1028" type="#_x0000_t75" style="width:432.06pt;height:442.56pt">
            <v:imagedata r:id="rId4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261.04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[*59709] </w:t>
      </w:r>
    </w:p>
    <w:p>
      <w:pPr>
        <w:keepNext w:val="0"/>
        <w:spacing w:before="200" w:after="0" w:line="260" w:lineRule="atLeast"/>
        <w:ind w:left="0" w:right="0" w:firstLine="0"/>
        <w:jc w:val="both"/>
      </w:pPr>
      <w:r>
        <w:pict>
          <v:shape id="_x0000_i1030" type="#_x0000_t75" style="width:432.06pt;height:123.77pt">
            <v:imagedata r:id="rId42"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w:t>
      </w:r>
      <w:r>
        <w:rPr>
          <w:rFonts w:ascii="arial" w:eastAsia="arial" w:hAnsi="arial" w:cs="arial"/>
          <w:b/>
          <w:i w:val="0"/>
          <w:strike w:val="0"/>
          <w:noProof w:val="0"/>
          <w:color w:val="000000"/>
          <w:position w:val="0"/>
          <w:sz w:val="20"/>
          <w:u w:val="none"/>
          <w:vertAlign w:val="baseline"/>
        </w:rPr>
        <w:t> [*59710] </w:t>
      </w:r>
      <w:r>
        <w:rPr>
          <w:rFonts w:ascii="arial" w:eastAsia="arial" w:hAnsi="arial" w:cs="arial"/>
          <w:b w:val="0"/>
          <w:i w:val="0"/>
          <w:strike w:val="0"/>
          <w:noProof w:val="0"/>
          <w:color w:val="000000"/>
          <w:position w:val="0"/>
          <w:sz w:val="20"/>
          <w:u w:val="none"/>
          <w:vertAlign w:val="baseline"/>
        </w:rPr>
        <w:t xml:space="preserve">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w:t>
      </w:r>
      <w:r>
        <w:rPr>
          <w:rFonts w:ascii="arial" w:eastAsia="arial" w:hAnsi="arial" w:cs="arial"/>
          <w:b/>
          <w:i w:val="0"/>
          <w:strike w:val="0"/>
          <w:noProof w:val="0"/>
          <w:color w:val="000000"/>
          <w:position w:val="0"/>
          <w:sz w:val="20"/>
          <w:u w:val="none"/>
          <w:vertAlign w:val="baseline"/>
        </w:rPr>
        <w:t> [*59711] </w:t>
      </w:r>
      <w:r>
        <w:rPr>
          <w:rFonts w:ascii="arial" w:eastAsia="arial" w:hAnsi="arial" w:cs="arial"/>
          <w:b w:val="0"/>
          <w:i w:val="0"/>
          <w:strike w:val="0"/>
          <w:noProof w:val="0"/>
          <w:color w:val="000000"/>
          <w:position w:val="0"/>
          <w:sz w:val="20"/>
          <w:u w:val="none"/>
          <w:vertAlign w:val="baseline"/>
        </w:rPr>
        <w:t xml:space="preserve">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900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the OTC Equity Securities market share of Equity ATSs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w:t>
      </w:r>
      <w:r>
        <w:rPr>
          <w:rFonts w:ascii="arial" w:eastAsia="arial" w:hAnsi="arial" w:cs="arial"/>
          <w:b/>
          <w:i w:val="0"/>
          <w:strike w:val="0"/>
          <w:noProof w:val="0"/>
          <w:color w:val="000000"/>
          <w:position w:val="0"/>
          <w:sz w:val="20"/>
          <w:u w:val="none"/>
          <w:vertAlign w:val="baseline"/>
        </w:rPr>
        <w:t> [*59712] </w:t>
      </w:r>
      <w:r>
        <w:rPr>
          <w:rFonts w:ascii="arial" w:eastAsia="arial" w:hAnsi="arial" w:cs="arial"/>
          <w:b w:val="0"/>
          <w:i w:val="0"/>
          <w:strike w:val="0"/>
          <w:noProof w:val="0"/>
          <w:color w:val="000000"/>
          <w:position w:val="0"/>
          <w:sz w:val="20"/>
          <w:u w:val="none"/>
          <w:vertAlign w:val="baseline"/>
        </w:rPr>
        <w:t xml:space="preserv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OTC Equity Securities market share of Execution Venue ATSs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w:t>
      </w:r>
      <w:r>
        <w:rPr>
          <w:rFonts w:ascii="arial" w:eastAsia="arial" w:hAnsi="arial" w:cs="arial"/>
          <w:b/>
          <w:i w:val="0"/>
          <w:strike w:val="0"/>
          <w:noProof w:val="0"/>
          <w:color w:val="000000"/>
          <w:position w:val="0"/>
          <w:sz w:val="20"/>
          <w:u w:val="none"/>
          <w:vertAlign w:val="baseline"/>
        </w:rPr>
        <w:t> [*59713] </w:t>
      </w:r>
      <w:r>
        <w:rPr>
          <w:rFonts w:ascii="arial" w:eastAsia="arial" w:hAnsi="arial" w:cs="arial"/>
          <w:b w:val="0"/>
          <w:i w:val="0"/>
          <w:strike w:val="0"/>
          <w:noProof w:val="0"/>
          <w:color w:val="000000"/>
          <w:position w:val="0"/>
          <w:sz w:val="20"/>
          <w:u w:val="none"/>
          <w:vertAlign w:val="baseline"/>
        </w:rPr>
        <w:t xml:space="preserve">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OTC Equity Securities market share of Execution Venue ATSs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OTC Equity Securities market share of Execution Venue ATSs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OTC Equity Securities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trading OTC Equity Securities to tiers for smaller Execution Venues and with lower fees. For example, under the Original Proposal, one Execution Venue ATS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discount for Equity Execution Venue ATSs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trading OTC Equity Securities and FINRA. For these alternatives, the Operating Committee considered how each alternative would affect the recovery allocations. In addition, each of these options was considered in the context of the full </w:t>
      </w:r>
      <w:r>
        <w:rPr>
          <w:rFonts w:ascii="arial" w:eastAsia="arial" w:hAnsi="arial" w:cs="arial"/>
          <w:b/>
          <w:i w:val="0"/>
          <w:strike w:val="0"/>
          <w:noProof w:val="0"/>
          <w:color w:val="000000"/>
          <w:position w:val="0"/>
          <w:sz w:val="20"/>
          <w:u w:val="none"/>
          <w:vertAlign w:val="baseline"/>
        </w:rPr>
        <w:t> [*59714] </w:t>
      </w:r>
      <w:r>
        <w:rPr>
          <w:rFonts w:ascii="arial" w:eastAsia="arial" w:hAnsi="arial" w:cs="arial"/>
          <w:b w:val="0"/>
          <w:i w:val="0"/>
          <w:strike w:val="0"/>
          <w:noProof w:val="0"/>
          <w:color w:val="000000"/>
          <w:position w:val="0"/>
          <w:sz w:val="20"/>
          <w:u w:val="none"/>
          <w:vertAlign w:val="baseline"/>
        </w:rPr>
        <w:t xml:space="preserve">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OTC Equity Securities market share for Equity ATSs trading OTC Equity Securities as well as the market share of the FINRA ORF would be discounted. In addition, as discussed above, to address concerns related to smaller ATSs, including those that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w:t>
      </w:r>
      <w:r>
        <w:rPr>
          <w:rFonts w:ascii="arial" w:eastAsia="arial" w:hAnsi="arial" w:cs="arial"/>
          <w:b/>
          <w:i w:val="0"/>
          <w:strike w:val="0"/>
          <w:noProof w:val="0"/>
          <w:color w:val="000000"/>
          <w:position w:val="0"/>
          <w:sz w:val="20"/>
          <w:u w:val="none"/>
          <w:vertAlign w:val="baseline"/>
        </w:rPr>
        <w:t> [*59715] </w:t>
      </w:r>
      <w:r>
        <w:rPr>
          <w:rFonts w:ascii="arial" w:eastAsia="arial" w:hAnsi="arial" w:cs="arial"/>
          <w:b w:val="0"/>
          <w:i w:val="0"/>
          <w:strike w:val="0"/>
          <w:noProof w:val="0"/>
          <w:color w:val="000000"/>
          <w:position w:val="0"/>
          <w:sz w:val="20"/>
          <w:u w:val="none"/>
          <w:vertAlign w:val="baseline"/>
        </w:rPr>
        <w:t xml:space="preserve">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w:t>
      </w:r>
      <w:r>
        <w:rPr>
          <w:rFonts w:ascii="arial" w:eastAsia="arial" w:hAnsi="arial" w:cs="arial"/>
          <w:b/>
          <w:i w:val="0"/>
          <w:strike w:val="0"/>
          <w:noProof w:val="0"/>
          <w:color w:val="000000"/>
          <w:position w:val="0"/>
          <w:sz w:val="20"/>
          <w:u w:val="none"/>
          <w:vertAlign w:val="baseline"/>
        </w:rPr>
        <w:t> [*59716] </w:t>
      </w:r>
      <w:r>
        <w:rPr>
          <w:rFonts w:ascii="arial" w:eastAsia="arial" w:hAnsi="arial" w:cs="arial"/>
          <w:b w:val="0"/>
          <w:i w:val="0"/>
          <w:strike w:val="0"/>
          <w:noProof w:val="0"/>
          <w:color w:val="000000"/>
          <w:position w:val="0"/>
          <w:sz w:val="20"/>
          <w:u w:val="none"/>
          <w:vertAlign w:val="baseline"/>
        </w:rPr>
        <w:t xml:space="preserve">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Release No. 67457 (July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(August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w:t>
      </w:r>
      <w:r>
        <w:rPr>
          <w:rFonts w:ascii="arial" w:eastAsia="arial" w:hAnsi="arial" w:cs="arial"/>
          <w:b/>
          <w:i w:val="0"/>
          <w:strike w:val="0"/>
          <w:noProof w:val="0"/>
          <w:color w:val="000000"/>
          <w:position w:val="0"/>
          <w:sz w:val="20"/>
          <w:u w:val="none"/>
          <w:vertAlign w:val="baseline"/>
        </w:rPr>
        <w:t> [*59717] </w:t>
      </w:r>
      <w:r>
        <w:rPr>
          <w:rFonts w:ascii="arial" w:eastAsia="arial" w:hAnsi="arial" w:cs="arial"/>
          <w:b w:val="0"/>
          <w:i w:val="0"/>
          <w:strike w:val="0"/>
          <w:noProof w:val="0"/>
          <w:color w:val="000000"/>
          <w:position w:val="0"/>
          <w:sz w:val="20"/>
          <w:u w:val="none"/>
          <w:vertAlign w:val="baseline"/>
        </w:rPr>
        <w:t xml:space="preserv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w:t>
      </w:r>
      <w:r>
        <w:rPr>
          <w:rFonts w:ascii="arial" w:eastAsia="arial" w:hAnsi="arial" w:cs="arial"/>
          <w:b/>
          <w:i w:val="0"/>
          <w:strike w:val="0"/>
          <w:noProof w:val="0"/>
          <w:color w:val="000000"/>
          <w:position w:val="0"/>
          <w:sz w:val="20"/>
          <w:u w:val="none"/>
          <w:vertAlign w:val="baseline"/>
        </w:rPr>
        <w:t> [*59718] </w:t>
      </w:r>
      <w:r>
        <w:rPr>
          <w:rFonts w:ascii="arial" w:eastAsia="arial" w:hAnsi="arial" w:cs="arial"/>
          <w:b w:val="0"/>
          <w:i w:val="0"/>
          <w:strike w:val="0"/>
          <w:noProof w:val="0"/>
          <w:color w:val="000000"/>
          <w:position w:val="0"/>
          <w:sz w:val="20"/>
          <w:u w:val="none"/>
          <w:vertAlign w:val="baseline"/>
        </w:rPr>
        <w:t xml:space="preserve">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n89 in general, and furthers the objectives of Sections 6(b)(4) and 6(b)(5) of the Act, n90 in particular, in that it provides for the equitable allocation of reasonable dues, fees, and other charges among members and issuers and other persons using any facility, is not designed to permit unfair discrimination between customers, issuers, brokers, or dealers, and is designed to prevent fraudulent and manipulative acts and practices, to promote just and equitable principles of trade, and, in general, to protect investors and the public interest.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Exchange believes that the proposed CAT Fees are reasonably designed to allocate the total costs of the CAT equitably between and among the Participants and Industry Members, and are therefore not unfairly </w:t>
      </w:r>
      <w:r>
        <w:rPr>
          <w:rFonts w:ascii="arial" w:eastAsia="arial" w:hAnsi="arial" w:cs="arial"/>
          <w:b/>
          <w:i w:val="0"/>
          <w:strike w:val="0"/>
          <w:noProof w:val="0"/>
          <w:color w:val="000000"/>
          <w:position w:val="0"/>
          <w:sz w:val="20"/>
          <w:u w:val="none"/>
          <w:vertAlign w:val="baseline"/>
        </w:rPr>
        <w:t> [*59719] </w:t>
      </w:r>
      <w:r>
        <w:rPr>
          <w:rFonts w:ascii="arial" w:eastAsia="arial" w:hAnsi="arial" w:cs="arial"/>
          <w:b w:val="0"/>
          <w:i w:val="0"/>
          <w:strike w:val="0"/>
          <w:noProof w:val="0"/>
          <w:color w:val="000000"/>
          <w:position w:val="0"/>
          <w:sz w:val="20"/>
          <w:u w:val="none"/>
          <w:vertAlign w:val="baseline"/>
        </w:rPr>
        <w:t xml:space="preserve">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2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 </w:t>
      </w:r>
      <w:r>
        <w:rPr>
          <w:rFonts w:ascii="arial" w:eastAsia="arial" w:hAnsi="arial" w:cs="arial"/>
          <w:b/>
          <w:i w:val="0"/>
          <w:strike w:val="0"/>
          <w:noProof w:val="0"/>
          <w:color w:val="000000"/>
          <w:position w:val="0"/>
          <w:sz w:val="20"/>
          <w:u w:val="none"/>
          <w:vertAlign w:val="baseline"/>
        </w:rPr>
        <w:t> [*59720]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n96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SR-ISE-2017-45 on the subject line. </w:t>
      </w:r>
      <w:r>
        <w:rPr>
          <w:rFonts w:ascii="arial" w:eastAsia="arial" w:hAnsi="arial" w:cs="arial"/>
          <w:b/>
          <w:i w:val="0"/>
          <w:strike w:val="0"/>
          <w:noProof w:val="0"/>
          <w:color w:val="000000"/>
          <w:position w:val="0"/>
          <w:sz w:val="20"/>
          <w:u w:val="none"/>
          <w:vertAlign w:val="baseline"/>
        </w:rPr>
        <w:t> [*59721]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SR-ISE-2017-45. This file number should be included on the subject line if email is used. To help the Commission process and review your comments more efficiently, please use only one method. The Commission will post all comments on the Commission's internet website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SR-ISE-2017-45, and should be submitted on or before January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4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2017-27005 Filed 12-14-17;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59694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M8-KJ30-006W-84XR-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www.sec.gov/comments/sr-ise-2017-45/ise201745-2669797-161444.pdf" TargetMode="External" /><Relationship Id="rId29" Type="http://schemas.openxmlformats.org/officeDocument/2006/relationships/hyperlink" Target="https://advance.lexis.com/api/document?collection=administrative-codes&amp;id=urn:contentItem:5PYV-R2X0-006W-81MM-00000-00&amp;context=" TargetMode="External" /><Relationship Id="rId3" Type="http://schemas.openxmlformats.org/officeDocument/2006/relationships/fontTable" Target="fontTable.xml" /><Relationship Id="rId30" Type="http://schemas.openxmlformats.org/officeDocument/2006/relationships/hyperlink" Target="http://ise.cchwallstreet.com/" TargetMode="External" /><Relationship Id="rId31" Type="http://schemas.openxmlformats.org/officeDocument/2006/relationships/hyperlink" Target="https://advance.lexis.com/api/document?collection=administrative-codes&amp;id=urn:contentItem:5N4M-G290-006W-83WC-00000-00&amp;context=" TargetMode="External" /><Relationship Id="rId32" Type="http://schemas.openxmlformats.org/officeDocument/2006/relationships/hyperlink" Target="https://advance.lexis.com/api/document?collection=administrative-codes&amp;id=urn:contentItem:5N7M-0R40-006W-8021-00000-00&amp;context=" TargetMode="External" /><Relationship Id="rId33" Type="http://schemas.openxmlformats.org/officeDocument/2006/relationships/hyperlink" Target="https://advance.lexis.com/api/document?collection=administrative-codes&amp;id=urn:contentItem:5MST-XP80-006W-850P-00000-00&amp;context=" TargetMode="External" /><Relationship Id="rId34" Type="http://schemas.openxmlformats.org/officeDocument/2006/relationships/hyperlink" Target="https://advance.lexis.com/api/document?collection=statutes-legislation&amp;id=urn:contentItem:4YF7-GK71-NRF4-4360-00000-00&amp;context=" TargetMode="External" /><Relationship Id="rId35" Type="http://schemas.openxmlformats.org/officeDocument/2006/relationships/hyperlink" Target="https://advance.lexis.com/api/document?collection=administrative-codes&amp;id=urn:contentItem:5MJ8-4SN0-008G-Y37V-00000-00&amp;context=" TargetMode="External" /><Relationship Id="rId36" Type="http://schemas.openxmlformats.org/officeDocument/2006/relationships/hyperlink" Target="https://advance.lexis.com/api/document?collection=administrative-codes&amp;id=urn:contentItem:5JSY-P7D0-006W-8255-00000-00&amp;context=" TargetMode="External" /><Relationship Id="rId37" Type="http://schemas.openxmlformats.org/officeDocument/2006/relationships/hyperlink" Target="https://advance.lexis.com/api/document?collection=administrative-codes&amp;id=urn:contentItem:5M7G-5J10-006W-82HT-00000-00&amp;context=" TargetMode="External" /><Relationship Id="rId38" Type="http://schemas.openxmlformats.org/officeDocument/2006/relationships/image" Target="media/image1.png" /><Relationship Id="rId39" Type="http://schemas.openxmlformats.org/officeDocument/2006/relationships/hyperlink" Target="https://advance.lexis.com/api/document?collection=administrative-codes&amp;id=urn:contentItem:5J7T-V0M0-006W-8422-00000-00&amp;context=" TargetMode="External" /><Relationship Id="rId4" Type="http://schemas.openxmlformats.org/officeDocument/2006/relationships/header" Target="header1.xml" /><Relationship Id="rId40" Type="http://schemas.openxmlformats.org/officeDocument/2006/relationships/image" Target="media/image2.png" /><Relationship Id="rId41" Type="http://schemas.openxmlformats.org/officeDocument/2006/relationships/image" Target="media/image3.png" /><Relationship Id="rId42" Type="http://schemas.openxmlformats.org/officeDocument/2006/relationships/image" Target="media/image4.png"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www.sec.gov/rules/sro.shtml" TargetMode="External" /><Relationship Id="rId46" Type="http://schemas.openxmlformats.org/officeDocument/2006/relationships/hyperlink" Target="mailto:rule-comments@sec.gov" TargetMode="External" /><Relationship Id="rId47" Type="http://schemas.openxmlformats.org/officeDocument/2006/relationships/hyperlink" Target="https://advance.lexis.com/api/document?collection=administrative-codes&amp;id=urn:contentItem:5SPP-2120-008G-Y2ND-00000-00&amp;context="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61-D7T0-006W-84D6-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59805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