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59805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240, Friday, December 15,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59805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Cboe C2 Exchange, Inc.; Notice of Filing of Amendment No. 1 to a Proposed Rule Change To Establish the Fees for Industry Members Related to the National Market System Plan Governing the Consolidated Audit Trail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34-82270; File No. SR-C2-2017-017]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16, 2017, C2 Options Exchange, Incorporated, n/k/a Cboe C2 Exchange, Inc., ("Exchange" or "SRO")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June 1, 2017. n3 The Commission received seven comment letters on the proposed rule change, n4 and a response to comments </w:t>
      </w:r>
      <w:r>
        <w:rPr>
          <w:rFonts w:ascii="arial" w:eastAsia="arial" w:hAnsi="arial" w:cs="arial"/>
          <w:b/>
          <w:i w:val="0"/>
          <w:strike w:val="0"/>
          <w:noProof w:val="0"/>
          <w:color w:val="000000"/>
          <w:position w:val="0"/>
          <w:sz w:val="20"/>
          <w:u w:val="none"/>
          <w:vertAlign w:val="baseline"/>
        </w:rPr>
        <w:t> [*59806] </w:t>
      </w:r>
      <w:r>
        <w:rPr>
          <w:rFonts w:ascii="arial" w:eastAsia="arial" w:hAnsi="arial" w:cs="arial"/>
          <w:b w:val="0"/>
          <w:i w:val="0"/>
          <w:strike w:val="0"/>
          <w:noProof w:val="0"/>
          <w:color w:val="000000"/>
          <w:position w:val="0"/>
          <w:sz w:val="20"/>
          <w:u w:val="none"/>
          <w:vertAlign w:val="baseline"/>
        </w:rPr>
        <w:t xml:space="preserve">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November 3,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80786 (May 26, 2017), </w:t>
      </w:r>
      <w:hyperlink r:id="rId10" w:history="1">
        <w:r>
          <w:rPr>
            <w:rFonts w:ascii="arial" w:eastAsia="arial" w:hAnsi="arial" w:cs="arial"/>
            <w:b w:val="0"/>
            <w:i/>
            <w:strike w:val="0"/>
            <w:noProof w:val="0"/>
            <w:color w:val="0077CC"/>
            <w:position w:val="0"/>
            <w:sz w:val="20"/>
            <w:u w:val="single"/>
            <w:vertAlign w:val="baseline"/>
          </w:rPr>
          <w:t>82 FR 25474</w:t>
        </w:r>
      </w:hyperlink>
      <w:r>
        <w:rPr>
          <w:rFonts w:ascii="arial" w:eastAsia="arial" w:hAnsi="arial" w:cs="arial"/>
          <w:b w:val="0"/>
          <w:i w:val="0"/>
          <w:strike w:val="0"/>
          <w:noProof w:val="0"/>
          <w:color w:val="000000"/>
          <w:position w:val="0"/>
          <w:sz w:val="20"/>
          <w:u w:val="none"/>
          <w:vertAlign w:val="baseline"/>
        </w:rPr>
        <w:t xml:space="preserve"> (June 1,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December 7,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34-82271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proposed rule change SR-C2-2017-017 (the "Original Proposal"), pursuant to which SRO proposed to amend its Fees Schedule to establish the fees for Industry Members related to the National Market System Plan Governing the Consolidated Audit Trail (the "CAT NMS Plan" or "Plan"). n12 SRO files this proposed rule change (the "Amendment") to amend the Original Proposal. This Amendment replaces the Original Proposal in its entirety, and also describes the changes from the Original Proposal. The text of the proposed rule change is also available on the Exchange's website (</w:t>
      </w:r>
      <w:hyperlink r:id="rId29" w:history="1">
        <w:r>
          <w:rPr>
            <w:rFonts w:ascii="arial" w:eastAsia="arial" w:hAnsi="arial" w:cs="arial"/>
            <w:b w:val="0"/>
            <w:i/>
            <w:strike w:val="0"/>
            <w:noProof w:val="0"/>
            <w:color w:val="0077CC"/>
            <w:position w:val="0"/>
            <w:sz w:val="20"/>
            <w:u w:val="single"/>
            <w:vertAlign w:val="baseline"/>
          </w:rPr>
          <w:t>http://www.c2exchange.com/Legal/</w:t>
        </w:r>
      </w:hyperlink>
      <w:r>
        <w:rPr>
          <w:rFonts w:ascii="arial" w:eastAsia="arial" w:hAnsi="arial" w:cs="arial"/>
          <w:b w:val="0"/>
          <w:i w:val="0"/>
          <w:strike w:val="0"/>
          <w:noProof w:val="0"/>
          <w:color w:val="000000"/>
          <w:position w:val="0"/>
          <w:sz w:val="20"/>
          <w:u w:val="none"/>
          <w:vertAlign w:val="baseline"/>
        </w:rPr>
        <w:t>), at the Exchange's Office of the Secretary, and at the Commission's Public Reference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w:t>
      </w:r>
      <w:r>
        <w:rPr>
          <w:rFonts w:ascii="arial" w:eastAsia="arial" w:hAnsi="arial" w:cs="arial"/>
          <w:b/>
          <w:i w:val="0"/>
          <w:strike w:val="0"/>
          <w:noProof w:val="0"/>
          <w:color w:val="000000"/>
          <w:position w:val="0"/>
          <w:sz w:val="20"/>
          <w:u w:val="none"/>
          <w:vertAlign w:val="baseline"/>
        </w:rPr>
        <w:t> [*59807] </w:t>
      </w:r>
      <w:r>
        <w:rPr>
          <w:rFonts w:ascii="arial" w:eastAsia="arial" w:hAnsi="arial" w:cs="arial"/>
          <w:b w:val="0"/>
          <w:i w:val="0"/>
          <w:strike w:val="0"/>
          <w:noProof w:val="0"/>
          <w:color w:val="000000"/>
          <w:position w:val="0"/>
          <w:sz w:val="20"/>
          <w:u w:val="none"/>
          <w:vertAlign w:val="baseline"/>
        </w:rPr>
        <w:t xml:space="preserv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SRO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Securities Exchange Act Rel. No. 80786 (May 26, 2017), </w:t>
      </w:r>
      <w:hyperlink r:id="rId10" w:history="1">
        <w:r>
          <w:rPr>
            <w:rFonts w:ascii="arial" w:eastAsia="arial" w:hAnsi="arial" w:cs="arial"/>
            <w:b w:val="0"/>
            <w:i/>
            <w:strike w:val="0"/>
            <w:noProof w:val="0"/>
            <w:color w:val="0077CC"/>
            <w:position w:val="0"/>
            <w:sz w:val="20"/>
            <w:u w:val="single"/>
            <w:vertAlign w:val="baseline"/>
          </w:rPr>
          <w:t>82 FR 25474</w:t>
        </w:r>
      </w:hyperlink>
      <w:r>
        <w:rPr>
          <w:rFonts w:ascii="arial" w:eastAsia="arial" w:hAnsi="arial" w:cs="arial"/>
          <w:b w:val="0"/>
          <w:i w:val="0"/>
          <w:strike w:val="0"/>
          <w:noProof w:val="0"/>
          <w:color w:val="000000"/>
          <w:position w:val="0"/>
          <w:sz w:val="20"/>
          <w:u w:val="none"/>
          <w:vertAlign w:val="baseline"/>
        </w:rPr>
        <w:t xml:space="preserve"> (June 1, 2017) (SR-C2-2017-017).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SRO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w:t>
      </w:r>
      <w:r>
        <w:rPr>
          <w:rFonts w:ascii="arial" w:eastAsia="arial" w:hAnsi="arial" w:cs="arial"/>
          <w:b/>
          <w:i w:val="0"/>
          <w:strike w:val="0"/>
          <w:noProof w:val="0"/>
          <w:color w:val="000000"/>
          <w:position w:val="0"/>
          <w:sz w:val="20"/>
          <w:u w:val="none"/>
          <w:vertAlign w:val="baseline"/>
        </w:rPr>
        <w:t> [*59808] </w:t>
      </w:r>
      <w:r>
        <w:rPr>
          <w:rFonts w:ascii="arial" w:eastAsia="arial" w:hAnsi="arial" w:cs="arial"/>
          <w:b w:val="0"/>
          <w:i w:val="0"/>
          <w:strike w:val="0"/>
          <w:noProof w:val="0"/>
          <w:color w:val="000000"/>
          <w:position w:val="0"/>
          <w:sz w:val="20"/>
          <w:u w:val="none"/>
          <w:vertAlign w:val="baseline"/>
        </w:rPr>
        <w:t xml:space="preserve">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w:t>
      </w:r>
      <w:r>
        <w:rPr>
          <w:rFonts w:ascii="arial" w:eastAsia="arial" w:hAnsi="arial" w:cs="arial"/>
          <w:b/>
          <w:i w:val="0"/>
          <w:strike w:val="0"/>
          <w:noProof w:val="0"/>
          <w:color w:val="000000"/>
          <w:position w:val="0"/>
          <w:sz w:val="20"/>
          <w:u w:val="none"/>
          <w:vertAlign w:val="baseline"/>
        </w:rPr>
        <w:t> [*59810] </w:t>
      </w:r>
      <w:r>
        <w:rPr>
          <w:rFonts w:ascii="arial" w:eastAsia="arial" w:hAnsi="arial" w:cs="arial"/>
          <w:b w:val="0"/>
          <w:i w:val="0"/>
          <w:strike w:val="0"/>
          <w:noProof w:val="0"/>
          <w:color w:val="000000"/>
          <w:position w:val="0"/>
          <w:sz w:val="20"/>
          <w:u w:val="none"/>
          <w:vertAlign w:val="baseline"/>
        </w:rPr>
        <w:t xml:space="preserv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seven tier structure was selected to provide a wide range of levels for tiering </w:t>
      </w:r>
      <w:r>
        <w:rPr>
          <w:rFonts w:ascii="arial" w:eastAsia="arial" w:hAnsi="arial" w:cs="arial"/>
          <w:b/>
          <w:i w:val="0"/>
          <w:strike w:val="0"/>
          <w:noProof w:val="0"/>
          <w:color w:val="000000"/>
          <w:position w:val="0"/>
          <w:sz w:val="20"/>
          <w:u w:val="none"/>
          <w:vertAlign w:val="baseline"/>
        </w:rPr>
        <w:t> [*59811] </w:t>
      </w:r>
      <w:r>
        <w:rPr>
          <w:rFonts w:ascii="arial" w:eastAsia="arial" w:hAnsi="arial" w:cs="arial"/>
          <w:b w:val="0"/>
          <w:i w:val="0"/>
          <w:strike w:val="0"/>
          <w:noProof w:val="0"/>
          <w:color w:val="000000"/>
          <w:position w:val="0"/>
          <w:sz w:val="20"/>
          <w:u w:val="none"/>
          <w:vertAlign w:val="baseline"/>
        </w:rPr>
        <w:t xml:space="preserve">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 </w:t>
      </w:r>
      <w:r>
        <w:rPr>
          <w:rFonts w:ascii="arial" w:eastAsia="arial" w:hAnsi="arial" w:cs="arial"/>
          <w:b/>
          <w:i w:val="0"/>
          <w:strike w:val="0"/>
          <w:noProof w:val="0"/>
          <w:color w:val="000000"/>
          <w:position w:val="0"/>
          <w:sz w:val="20"/>
          <w:u w:val="none"/>
          <w:vertAlign w:val="baseline"/>
        </w:rPr>
        <w:t> [*59812]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w:t>
      </w:r>
      <w:r>
        <w:rPr>
          <w:rFonts w:ascii="arial" w:eastAsia="arial" w:hAnsi="arial" w:cs="arial"/>
          <w:b/>
          <w:i w:val="0"/>
          <w:strike w:val="0"/>
          <w:noProof w:val="0"/>
          <w:color w:val="000000"/>
          <w:position w:val="0"/>
          <w:sz w:val="20"/>
          <w:u w:val="none"/>
          <w:vertAlign w:val="baseline"/>
        </w:rPr>
        <w:t> [*59813] </w:t>
      </w:r>
      <w:r>
        <w:rPr>
          <w:rFonts w:ascii="arial" w:eastAsia="arial" w:hAnsi="arial" w:cs="arial"/>
          <w:b w:val="0"/>
          <w:i w:val="0"/>
          <w:strike w:val="0"/>
          <w:noProof w:val="0"/>
          <w:color w:val="000000"/>
          <w:position w:val="0"/>
          <w:sz w:val="20"/>
          <w:u w:val="none"/>
          <w:vertAlign w:val="baseline"/>
        </w:rPr>
        <w:t xml:space="preserve">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11.3(a)(i) of the CAT NMS Plan, the Operating Committee approved a tiered fee structure for Equity Execution Venues and Option Execution Venues. In determining the Equity Execution </w:t>
      </w:r>
      <w:r>
        <w:rPr>
          <w:rFonts w:ascii="arial" w:eastAsia="arial" w:hAnsi="arial" w:cs="arial"/>
          <w:b/>
          <w:i w:val="0"/>
          <w:strike w:val="0"/>
          <w:noProof w:val="0"/>
          <w:color w:val="000000"/>
          <w:position w:val="0"/>
          <w:sz w:val="20"/>
          <w:u w:val="none"/>
          <w:vertAlign w:val="baseline"/>
        </w:rPr>
        <w:t> [*59814] </w:t>
      </w:r>
      <w:r>
        <w:rPr>
          <w:rFonts w:ascii="arial" w:eastAsia="arial" w:hAnsi="arial" w:cs="arial"/>
          <w:b w:val="0"/>
          <w:i w:val="0"/>
          <w:strike w:val="0"/>
          <w:noProof w:val="0"/>
          <w:color w:val="000000"/>
          <w:position w:val="0"/>
          <w:sz w:val="20"/>
          <w:u w:val="none"/>
          <w:vertAlign w:val="baseline"/>
        </w:rPr>
        <w:t xml:space="preserve">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w:t>
      </w:r>
      <w:r>
        <w:rPr>
          <w:rFonts w:ascii="arial" w:eastAsia="arial" w:hAnsi="arial" w:cs="arial"/>
          <w:b w:val="0"/>
          <w:i/>
          <w:strike w:val="0"/>
          <w:noProof w:val="0"/>
          <w:color w:val="000000"/>
          <w:position w:val="0"/>
          <w:sz w:val="20"/>
          <w:u w:val="none"/>
          <w:vertAlign w:val="baseline"/>
        </w:rPr>
        <w:t>otcmarkets.com,</w:t>
      </w:r>
      <w:r>
        <w:rPr>
          <w:rFonts w:ascii="arial" w:eastAsia="arial" w:hAnsi="arial" w:cs="arial"/>
          <w:b w:val="0"/>
          <w:i w:val="0"/>
          <w:strike w:val="0"/>
          <w:noProof w:val="0"/>
          <w:color w:val="000000"/>
          <w:position w:val="0"/>
          <w:sz w:val="20"/>
          <w:u w:val="none"/>
          <w:vertAlign w:val="baseline"/>
        </w:rPr>
        <w:t xml:space="preserve">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w:t>
      </w:r>
      <w:r>
        <w:rPr>
          <w:rFonts w:ascii="arial" w:eastAsia="arial" w:hAnsi="arial" w:cs="arial"/>
          <w:b/>
          <w:i w:val="0"/>
          <w:strike w:val="0"/>
          <w:noProof w:val="0"/>
          <w:color w:val="000000"/>
          <w:position w:val="0"/>
          <w:sz w:val="20"/>
          <w:u w:val="none"/>
          <w:vertAlign w:val="baseline"/>
        </w:rPr>
        <w:t> [*59816] </w:t>
      </w:r>
      <w:r>
        <w:rPr>
          <w:rFonts w:ascii="arial" w:eastAsia="arial" w:hAnsi="arial" w:cs="arial"/>
          <w:b w:val="0"/>
          <w:i w:val="0"/>
          <w:strike w:val="0"/>
          <w:noProof w:val="0"/>
          <w:color w:val="000000"/>
          <w:position w:val="0"/>
          <w:sz w:val="20"/>
          <w:u w:val="none"/>
          <w:vertAlign w:val="baseline"/>
        </w:rPr>
        <w:t xml:space="preserve">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8011-01-P </w:t>
      </w:r>
      <w:r>
        <w:rPr>
          <w:rFonts w:ascii="arial" w:eastAsia="arial" w:hAnsi="arial" w:cs="arial"/>
          <w:b/>
          <w:i w:val="0"/>
          <w:strike w:val="0"/>
          <w:noProof w:val="0"/>
          <w:color w:val="000000"/>
          <w:position w:val="0"/>
          <w:sz w:val="20"/>
          <w:u w:val="none"/>
          <w:vertAlign w:val="baseline"/>
        </w:rPr>
        <w:t> [*59819] </w:t>
      </w:r>
    </w:p>
    <w:p>
      <w:pPr>
        <w:keepNext w:val="0"/>
        <w:spacing w:before="200" w:after="0" w:line="260" w:lineRule="atLeast"/>
        <w:ind w:left="0" w:right="0" w:firstLine="0"/>
        <w:jc w:val="both"/>
      </w:pPr>
      <w:r>
        <w:pict>
          <v:shape id="_x0000_i1028" type="#_x0000_t75" style="width:432.06pt;height:486.07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29" type="#_x0000_t75" style="width:432.06pt;height:280.54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[*59821]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Excess(57M)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Section B.7, Appendix C of the CAT NMS Plan, Approval Order at 85006. </w:t>
      </w:r>
      <w:r>
        <w:rPr>
          <w:rFonts w:ascii="arial" w:eastAsia="arial" w:hAnsi="arial" w:cs="arial"/>
          <w:b/>
          <w:i w:val="0"/>
          <w:strike w:val="0"/>
          <w:noProof w:val="0"/>
          <w:color w:val="000000"/>
          <w:position w:val="0"/>
          <w:sz w:val="20"/>
          <w:u w:val="none"/>
          <w:vertAlign w:val="baseline"/>
        </w:rPr>
        <w:t> [*59822]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the Consolidated Audit Trail Funding Fees to impose the CAT Fees determined by the Operating Committee on SRO's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Cboe Options Rule 6.85 (Consolidated Audit Trail (CAT)--Definitions).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w:t>
      </w:r>
      <w:r>
        <w:rPr>
          <w:rFonts w:ascii="arial" w:eastAsia="arial" w:hAnsi="arial" w:cs="arial"/>
          <w:b/>
          <w:i w:val="0"/>
          <w:strike w:val="0"/>
          <w:noProof w:val="0"/>
          <w:color w:val="000000"/>
          <w:position w:val="0"/>
          <w:sz w:val="20"/>
          <w:u w:val="none"/>
          <w:vertAlign w:val="baseline"/>
        </w:rPr>
        <w:t> [*59823] </w:t>
      </w:r>
      <w:r>
        <w:rPr>
          <w:rFonts w:ascii="arial" w:eastAsia="arial" w:hAnsi="arial" w:cs="arial"/>
          <w:b w:val="0"/>
          <w:i w:val="0"/>
          <w:strike w:val="0"/>
          <w:noProof w:val="0"/>
          <w:color w:val="000000"/>
          <w:position w:val="0"/>
          <w:sz w:val="20"/>
          <w:u w:val="none"/>
          <w:vertAlign w:val="baseline"/>
        </w:rPr>
        <w:t xml:space="preserve">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SRO will provide Industry Members with details regarding the manner of payment of CAT Fees by Regulatory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SRO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w:t>
      </w:r>
      <w:r>
        <w:rPr>
          <w:rFonts w:ascii="arial" w:eastAsia="arial" w:hAnsi="arial" w:cs="arial"/>
          <w:b/>
          <w:i w:val="0"/>
          <w:strike w:val="0"/>
          <w:noProof w:val="0"/>
          <w:color w:val="000000"/>
          <w:position w:val="0"/>
          <w:sz w:val="20"/>
          <w:u w:val="none"/>
          <w:vertAlign w:val="baseline"/>
        </w:rPr>
        <w:t> [*59824]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SRO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w:t>
      </w:r>
      <w:r>
        <w:rPr>
          <w:rFonts w:ascii="arial" w:eastAsia="arial" w:hAnsi="arial" w:cs="arial"/>
          <w:b/>
          <w:i w:val="0"/>
          <w:strike w:val="0"/>
          <w:noProof w:val="0"/>
          <w:color w:val="000000"/>
          <w:position w:val="0"/>
          <w:sz w:val="20"/>
          <w:u w:val="none"/>
          <w:vertAlign w:val="baseline"/>
        </w:rPr>
        <w:t> [*59825] </w:t>
      </w:r>
      <w:r>
        <w:rPr>
          <w:rFonts w:ascii="arial" w:eastAsia="arial" w:hAnsi="arial" w:cs="arial"/>
          <w:b w:val="0"/>
          <w:i w:val="0"/>
          <w:strike w:val="0"/>
          <w:noProof w:val="0"/>
          <w:color w:val="000000"/>
          <w:position w:val="0"/>
          <w:sz w:val="20"/>
          <w:u w:val="none"/>
          <w:vertAlign w:val="baseline"/>
        </w:rPr>
        <w:t xml:space="preserve">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w:t>
      </w:r>
      <w:r>
        <w:rPr>
          <w:rFonts w:ascii="arial" w:eastAsia="arial" w:hAnsi="arial" w:cs="arial"/>
          <w:b/>
          <w:i w:val="0"/>
          <w:strike w:val="0"/>
          <w:noProof w:val="0"/>
          <w:color w:val="000000"/>
          <w:position w:val="0"/>
          <w:sz w:val="20"/>
          <w:u w:val="none"/>
          <w:vertAlign w:val="baseline"/>
        </w:rPr>
        <w:t> [*59826] </w:t>
      </w:r>
      <w:r>
        <w:rPr>
          <w:rFonts w:ascii="arial" w:eastAsia="arial" w:hAnsi="arial" w:cs="arial"/>
          <w:b w:val="0"/>
          <w:i w:val="0"/>
          <w:strike w:val="0"/>
          <w:noProof w:val="0"/>
          <w:color w:val="000000"/>
          <w:position w:val="0"/>
          <w:sz w:val="20"/>
          <w:u w:val="none"/>
          <w:vertAlign w:val="baseline"/>
        </w:rPr>
        <w:t xml:space="preserv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SRO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(b)(1) of the proposed fee schedule to indicate that the message traffic related to equity market maker quotes and Options Market Maker quotes would be discounted. In addition, SRO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w:t>
      </w:r>
      <w:r>
        <w:rPr>
          <w:rFonts w:ascii="arial" w:eastAsia="arial" w:hAnsi="arial" w:cs="arial"/>
          <w:b/>
          <w:i w:val="0"/>
          <w:strike w:val="0"/>
          <w:noProof w:val="0"/>
          <w:color w:val="000000"/>
          <w:position w:val="0"/>
          <w:sz w:val="20"/>
          <w:u w:val="none"/>
          <w:vertAlign w:val="baseline"/>
        </w:rPr>
        <w:t> [*59827] </w:t>
      </w:r>
      <w:r>
        <w:rPr>
          <w:rFonts w:ascii="arial" w:eastAsia="arial" w:hAnsi="arial" w:cs="arial"/>
          <w:b w:val="0"/>
          <w:i w:val="0"/>
          <w:strike w:val="0"/>
          <w:noProof w:val="0"/>
          <w:color w:val="000000"/>
          <w:position w:val="0"/>
          <w:sz w:val="20"/>
          <w:u w:val="none"/>
          <w:vertAlign w:val="baseline"/>
        </w:rPr>
        <w:t xml:space="preserve">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w:t>
      </w:r>
      <w:r>
        <w:rPr>
          <w:rFonts w:ascii="arial" w:eastAsia="arial" w:hAnsi="arial" w:cs="arial"/>
          <w:b/>
          <w:i w:val="0"/>
          <w:strike w:val="0"/>
          <w:noProof w:val="0"/>
          <w:color w:val="000000"/>
          <w:position w:val="0"/>
          <w:sz w:val="20"/>
          <w:u w:val="none"/>
          <w:vertAlign w:val="baseline"/>
        </w:rPr>
        <w:t> [*59828] </w:t>
      </w:r>
      <w:r>
        <w:rPr>
          <w:rFonts w:ascii="arial" w:eastAsia="arial" w:hAnsi="arial" w:cs="arial"/>
          <w:b w:val="0"/>
          <w:i w:val="0"/>
          <w:strike w:val="0"/>
          <w:noProof w:val="0"/>
          <w:color w:val="000000"/>
          <w:position w:val="0"/>
          <w:sz w:val="20"/>
          <w:u w:val="none"/>
          <w:vertAlign w:val="baseline"/>
        </w:rPr>
        <w:t xml:space="preserve">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 No. 67457 (Jul 18, 2012), </w:t>
      </w:r>
      <w:hyperlink r:id="rId41"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paragraphs (b)(1) and (2) of the proposed fee schedule to reflect the changes discussed in this section. Specifically, SRO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w:t>
      </w:r>
      <w:r>
        <w:rPr>
          <w:rFonts w:ascii="arial" w:eastAsia="arial" w:hAnsi="arial" w:cs="arial"/>
          <w:b/>
          <w:i w:val="0"/>
          <w:strike w:val="0"/>
          <w:noProof w:val="0"/>
          <w:color w:val="000000"/>
          <w:position w:val="0"/>
          <w:sz w:val="20"/>
          <w:u w:val="none"/>
          <w:vertAlign w:val="baseline"/>
        </w:rPr>
        <w:t> [*59829] </w:t>
      </w:r>
      <w:r>
        <w:rPr>
          <w:rFonts w:ascii="arial" w:eastAsia="arial" w:hAnsi="arial" w:cs="arial"/>
          <w:b w:val="0"/>
          <w:i w:val="0"/>
          <w:strike w:val="0"/>
          <w:noProof w:val="0"/>
          <w:color w:val="000000"/>
          <w:position w:val="0"/>
          <w:sz w:val="20"/>
          <w:u w:val="none"/>
          <w:vertAlign w:val="baseline"/>
        </w:rPr>
        <w:t xml:space="preserv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SRO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w:t>
      </w:r>
      <w:r>
        <w:rPr>
          <w:rFonts w:ascii="arial" w:eastAsia="arial" w:hAnsi="arial" w:cs="arial"/>
          <w:b/>
          <w:i w:val="0"/>
          <w:strike w:val="0"/>
          <w:noProof w:val="0"/>
          <w:color w:val="000000"/>
          <w:position w:val="0"/>
          <w:sz w:val="20"/>
          <w:u w:val="none"/>
          <w:vertAlign w:val="baseline"/>
        </w:rPr>
        <w:t> [*59830] </w:t>
      </w:r>
      <w:r>
        <w:rPr>
          <w:rFonts w:ascii="arial" w:eastAsia="arial" w:hAnsi="arial" w:cs="arial"/>
          <w:b w:val="0"/>
          <w:i w:val="0"/>
          <w:strike w:val="0"/>
          <w:noProof w:val="0"/>
          <w:color w:val="000000"/>
          <w:position w:val="0"/>
          <w:sz w:val="20"/>
          <w:u w:val="none"/>
          <w:vertAlign w:val="baseline"/>
        </w:rPr>
        <w:t xml:space="preserv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rule change is consistent with the provisions of Section 6(b)(5) of the Act, n89 which require, among other things, that the SRO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 and Section 6(b)(4) of the Act, n90 which requires that SRO rules provide for the equitable allocation of reasonable dues, fees, and other charges among members and issuers and other persons using its facilities. As discussed above, the SEC approved the bifurcated, tiered, fixed fee funding model in the CAT NMS Plan, finding it was reasonable and that it equitably allocated fees among Participants and Industry Members. SRO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2"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2"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this proposal is consistent with the Act because it implements, interprets or clarifies the provisions of the Plan, and is designed to assist SRO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extent that this proposal implements, interprets or clarifies the Plan and applies specific requirements to Industry Members, SRO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SRO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SRO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SRO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w:t>
      </w:r>
      <w:r>
        <w:rPr>
          <w:rFonts w:ascii="arial" w:eastAsia="arial" w:hAnsi="arial" w:cs="arial"/>
          <w:b/>
          <w:i w:val="0"/>
          <w:strike w:val="0"/>
          <w:noProof w:val="0"/>
          <w:color w:val="000000"/>
          <w:position w:val="0"/>
          <w:sz w:val="20"/>
          <w:u w:val="none"/>
          <w:vertAlign w:val="baseline"/>
        </w:rPr>
        <w:t> [*59831] </w:t>
      </w:r>
      <w:r>
        <w:rPr>
          <w:rFonts w:ascii="arial" w:eastAsia="arial" w:hAnsi="arial" w:cs="arial"/>
          <w:b w:val="0"/>
          <w:i w:val="0"/>
          <w:strike w:val="0"/>
          <w:noProof w:val="0"/>
          <w:color w:val="000000"/>
          <w:position w:val="0"/>
          <w:sz w:val="20"/>
          <w:u w:val="none"/>
          <w:vertAlign w:val="baseline"/>
        </w:rPr>
        <w:t xml:space="preserve">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SRO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n92 require that SRO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SRO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SRO notes that the proposed rule change implements provisions of the CAT NMS Plan approved by the Commission, and is designed to assist SRO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2"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SRO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SRO does not believe that the CAT Fees would have a disproportionate effect on smaller or larger CAT Reporters. In addition, ATSs and exchanges will pay the same fees based on market share. Therefore, SRO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SRO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w:t>
      </w:r>
      <w:r>
        <w:rPr>
          <w:rFonts w:ascii="arial" w:eastAsia="arial" w:hAnsi="arial" w:cs="arial"/>
          <w:b/>
          <w:i w:val="0"/>
          <w:strike w:val="0"/>
          <w:noProof w:val="0"/>
          <w:color w:val="000000"/>
          <w:position w:val="0"/>
          <w:sz w:val="20"/>
          <w:u w:val="none"/>
          <w:vertAlign w:val="baseline"/>
        </w:rPr>
        <w:t> [*59832] </w:t>
      </w:r>
      <w:r>
        <w:rPr>
          <w:rFonts w:ascii="arial" w:eastAsia="arial" w:hAnsi="arial" w:cs="arial"/>
          <w:b w:val="0"/>
          <w:i w:val="0"/>
          <w:strike w:val="0"/>
          <w:noProof w:val="0"/>
          <w:color w:val="000000"/>
          <w:position w:val="0"/>
          <w:sz w:val="20"/>
          <w:u w:val="none"/>
          <w:vertAlign w:val="baseline"/>
        </w:rPr>
        <w:t xml:space="preserve">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n97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SR-C2-2017-017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SR-C2-2017-017. This file number should be included on the subject line if email is used. To help the Commission process and review your comments more efficiently, please use only one method. The Commission will post all comments on the Commission's internet website (</w:t>
      </w:r>
      <w:hyperlink r:id="rId4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w:t>
      </w:r>
      <w:r>
        <w:rPr>
          <w:rFonts w:ascii="arial" w:eastAsia="arial" w:hAnsi="arial" w:cs="arial"/>
          <w:b/>
          <w:i w:val="0"/>
          <w:strike w:val="0"/>
          <w:noProof w:val="0"/>
          <w:color w:val="000000"/>
          <w:position w:val="0"/>
          <w:sz w:val="20"/>
          <w:u w:val="none"/>
          <w:vertAlign w:val="baseline"/>
        </w:rPr>
        <w:t> [*59833] </w:t>
      </w:r>
      <w:r>
        <w:rPr>
          <w:rFonts w:ascii="arial" w:eastAsia="arial" w:hAnsi="arial" w:cs="arial"/>
          <w:b w:val="0"/>
          <w:i w:val="0"/>
          <w:strike w:val="0"/>
          <w:noProof w:val="0"/>
          <w:color w:val="000000"/>
          <w:position w:val="0"/>
          <w:sz w:val="20"/>
          <w:u w:val="none"/>
          <w:vertAlign w:val="baseline"/>
        </w:rPr>
        <w:t xml:space="preserve"> Number SR-C2-2017-017, and should be submitted on or before January 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4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2017-26992 Filed 12-14-17;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59805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P0-7X10-006W-80K9-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c2exchange.com/Legal/"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hyperlink" Target="https://advance.lexis.com/api/document?collection=administrative-codes&amp;id=urn:contentItem:567K-XK60-006W-83N3-00000-00&amp;context=" TargetMode="External" /><Relationship Id="rId42" Type="http://schemas.openxmlformats.org/officeDocument/2006/relationships/hyperlink" Target="https://advance.lexis.com/api/document?collection=statutes-legislation&amp;id=urn:contentItem:4YF7-GPC1-NRF4-4309-00000-00&amp;context=" TargetMode="External" /><Relationship Id="rId43" Type="http://schemas.openxmlformats.org/officeDocument/2006/relationships/hyperlink" Target="http://www.sec.gov/rules/sro.shtml" TargetMode="External" /><Relationship Id="rId44" Type="http://schemas.openxmlformats.org/officeDocument/2006/relationships/hyperlink" Target="mailto:rule-comments@sec.gov" TargetMode="External" /><Relationship Id="rId45" Type="http://schemas.openxmlformats.org/officeDocument/2006/relationships/hyperlink" Target="https://advance.lexis.com/api/document?collection=administrative-codes&amp;id=urn:contentItem:5SPP-2120-008G-Y2ND-00000-00&amp;context=" TargetMode="Externa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61-D7T0-006W-84DD-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59094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71568479</vt:lpwstr>
  </property>
  <property fmtid="{D5CDD505-2E9C-101B-9397-08002B2CF9AE}" pid="3" name="LADocCount">
    <vt:lpwstr>1</vt:lpwstr>
  </property>
  <property fmtid="{D5CDD505-2E9C-101B-9397-08002B2CF9AE}" pid="4" name="UserPermID">
    <vt:lpwstr>urn:user:PA185916758</vt:lpwstr>
  </property>
</Properties>
</file>