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59871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240, Friday, December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59871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Cboe Exchange Inc.; Notice of Filing of Amendment No. 1 to a Proposed Rule Change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34-82272; File No. SR-CBOE-2017-040]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16, 2017, Chicago Board Options Exchange, Incorporated, n/k/a Cboe Exchange Inc. ("Exchange"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June 1,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3,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w:t>
      </w:r>
      <w:r>
        <w:rPr>
          <w:rFonts w:ascii="arial" w:eastAsia="arial" w:hAnsi="arial" w:cs="arial"/>
          <w:b/>
          <w:i w:val="0"/>
          <w:strike w:val="0"/>
          <w:noProof w:val="0"/>
          <w:color w:val="000000"/>
          <w:position w:val="0"/>
          <w:sz w:val="20"/>
          <w:u w:val="none"/>
          <w:vertAlign w:val="baseline"/>
        </w:rPr>
        <w:t> [*59872] </w:t>
      </w:r>
      <w:r>
        <w:rPr>
          <w:rFonts w:ascii="arial" w:eastAsia="arial" w:hAnsi="arial" w:cs="arial"/>
          <w:b w:val="0"/>
          <w:i w:val="0"/>
          <w:strike w:val="0"/>
          <w:noProof w:val="0"/>
          <w:color w:val="000000"/>
          <w:position w:val="0"/>
          <w:sz w:val="20"/>
          <w:u w:val="none"/>
          <w:vertAlign w:val="baseline"/>
        </w:rPr>
        <w:t xml:space="preserve">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80785 (May 26, 2017), </w:t>
      </w:r>
      <w:hyperlink r:id="rId10" w:history="1">
        <w:r>
          <w:rPr>
            <w:rFonts w:ascii="arial" w:eastAsia="arial" w:hAnsi="arial" w:cs="arial"/>
            <w:b w:val="0"/>
            <w:i/>
            <w:strike w:val="0"/>
            <w:noProof w:val="0"/>
            <w:color w:val="0077CC"/>
            <w:position w:val="0"/>
            <w:sz w:val="20"/>
            <w:u w:val="single"/>
            <w:vertAlign w:val="baseline"/>
          </w:rPr>
          <w:t>82 FR 25404</w:t>
        </w:r>
      </w:hyperlink>
      <w:r>
        <w:rPr>
          <w:rFonts w:ascii="arial" w:eastAsia="arial" w:hAnsi="arial" w:cs="arial"/>
          <w:b w:val="0"/>
          <w:i w:val="0"/>
          <w:strike w:val="0"/>
          <w:noProof w:val="0"/>
          <w:color w:val="000000"/>
          <w:position w:val="0"/>
          <w:sz w:val="20"/>
          <w:u w:val="none"/>
          <w:vertAlign w:val="baseline"/>
        </w:rPr>
        <w:t xml:space="preserve"> (June 1,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12-15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7,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34-82273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Fees Schedule to establish the fees for Industry Members related to the CAT NMS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proposed rule change is also available on the Exchange's website (</w:t>
      </w:r>
      <w:hyperlink r:id="rId29" w:history="1">
        <w:r>
          <w:rPr>
            <w:rFonts w:ascii="arial" w:eastAsia="arial" w:hAnsi="arial" w:cs="arial"/>
            <w:b w:val="0"/>
            <w:i/>
            <w:strike w:val="0"/>
            <w:noProof w:val="0"/>
            <w:color w:val="0077CC"/>
            <w:position w:val="0"/>
            <w:sz w:val="20"/>
            <w:u w:val="single"/>
            <w:vertAlign w:val="baseline"/>
          </w:rPr>
          <w:t>http://www.cboe.com/AboutCBOE/CBOELegalRegulatoryHome.aspx</w:t>
        </w:r>
      </w:hyperlink>
      <w:r>
        <w:rPr>
          <w:rFonts w:ascii="arial" w:eastAsia="arial" w:hAnsi="arial" w:cs="arial"/>
          <w:b w:val="0"/>
          <w:i w:val="0"/>
          <w:strike w:val="0"/>
          <w:noProof w:val="0"/>
          <w:color w:val="000000"/>
          <w:position w:val="0"/>
          <w:sz w:val="20"/>
          <w:u w:val="none"/>
          <w:vertAlign w:val="baseline"/>
        </w:rPr>
        <w:t>), at the Exchange's Office of the Secretary,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n12 Chicago Stock Exchange, Inc., Financial Industry Regulatory Authority, Inc. ("FINRA"), Investors' Exchange LLC, Miami International Securities Exchange, LLC, MIAX PEARL, LLC, NASDAQ BX, Inc., Nasdaq GEMX, LLC, Nasdaq ISE, LLC, Nasdaq MRX, LLC, n13 NASDAQ PHLX LLC, The NASDAQ Stock Market LLC, New York Stock Exchange LLC, NYSE American LLC, n14 NYSE Arca, Inc. and NYSE National, Inc. n15 (collectively, the "Participants") filed with the Commission, pursuant to Section 11A of the Exchange Act n16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n17 the CAT NMS Plan. n18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n19 and approved by the Commission, as modified, on November 15, 2016. n20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n21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n22 The Participants are required to file with the SEC under Section 19(b) of the Exchange Act any such CAT Fees applicable to Industry Members that the Operating Committee approves. n23 Accordingly, SRO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 2017, n24 and received comments in response to the Original Proposal or similar fee filings by other Participants. n25 On June 30, 2017, the Commission suspended, and instituted proceedings to determine whether to approve or disapprove, the Original Proposal. n26 The Commission received seven comment letters in response to those proceedings.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Securities Exchange Act Rel. No. 80785 (May 26, 2017), </w:t>
      </w:r>
      <w:hyperlink r:id="rId10" w:history="1">
        <w:r>
          <w:rPr>
            <w:rFonts w:ascii="arial" w:eastAsia="arial" w:hAnsi="arial" w:cs="arial"/>
            <w:b w:val="0"/>
            <w:i/>
            <w:strike w:val="0"/>
            <w:noProof w:val="0"/>
            <w:color w:val="0077CC"/>
            <w:position w:val="0"/>
            <w:sz w:val="20"/>
            <w:u w:val="single"/>
            <w:vertAlign w:val="baseline"/>
          </w:rPr>
          <w:t>82 FR 25404</w:t>
        </w:r>
      </w:hyperlink>
      <w:r>
        <w:rPr>
          <w:rFonts w:ascii="arial" w:eastAsia="arial" w:hAnsi="arial" w:cs="arial"/>
          <w:b w:val="0"/>
          <w:i w:val="0"/>
          <w:strike w:val="0"/>
          <w:noProof w:val="0"/>
          <w:color w:val="000000"/>
          <w:position w:val="0"/>
          <w:sz w:val="20"/>
          <w:u w:val="none"/>
          <w:vertAlign w:val="baseline"/>
        </w:rPr>
        <w:t xml:space="preserve"> (June 1, 2017) (SR-CBOE-2017-040).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on the Original Proposal, the Operating Committee determined to make the following changes to the funding model: (1) Adds two additional CAT Fee tiers for Equity Execution Venues; (2) </w:t>
      </w:r>
      <w:r>
        <w:rPr>
          <w:rFonts w:ascii="arial" w:eastAsia="arial" w:hAnsi="arial" w:cs="arial"/>
          <w:b/>
          <w:i w:val="0"/>
          <w:strike w:val="0"/>
          <w:noProof w:val="0"/>
          <w:color w:val="000000"/>
          <w:position w:val="0"/>
          <w:sz w:val="20"/>
          <w:u w:val="none"/>
          <w:vertAlign w:val="baseline"/>
        </w:rPr>
        <w:t> [*59873] </w:t>
      </w:r>
      <w:r>
        <w:rPr>
          <w:rFonts w:ascii="arial" w:eastAsia="arial" w:hAnsi="arial" w:cs="arial"/>
          <w:b w:val="0"/>
          <w:i w:val="0"/>
          <w:strike w:val="0"/>
          <w:noProof w:val="0"/>
          <w:color w:val="000000"/>
          <w:position w:val="0"/>
          <w:sz w:val="20"/>
          <w:u w:val="none"/>
          <w:vertAlign w:val="baseline"/>
        </w:rPr>
        <w:t xml:space="preserve">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SRO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w:t>
      </w:r>
      <w:r>
        <w:rPr>
          <w:rFonts w:ascii="arial" w:eastAsia="arial" w:hAnsi="arial" w:cs="arial"/>
          <w:b/>
          <w:i w:val="0"/>
          <w:strike w:val="0"/>
          <w:noProof w:val="0"/>
          <w:color w:val="000000"/>
          <w:position w:val="0"/>
          <w:sz w:val="20"/>
          <w:u w:val="none"/>
          <w:vertAlign w:val="baseline"/>
        </w:rPr>
        <w:t> [*59874] </w:t>
      </w:r>
      <w:r>
        <w:rPr>
          <w:rFonts w:ascii="arial" w:eastAsia="arial" w:hAnsi="arial" w:cs="arial"/>
          <w:b w:val="0"/>
          <w:i w:val="0"/>
          <w:strike w:val="0"/>
          <w:noProof w:val="0"/>
          <w:color w:val="000000"/>
          <w:position w:val="0"/>
          <w:sz w:val="20"/>
          <w:u w:val="none"/>
          <w:vertAlign w:val="baseline"/>
        </w:rPr>
        <w:t xml:space="preserve">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n28 and "reflects a reasonable exercise of the Participants' funding authority to recover the Participants' costs related to the CAT."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n30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n32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n33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n34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n35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n36 Correspondingly, Execution Venues with the highest market shares will be in the top tier, and will be charged higher fees. Execution Venues with the lowest market shares will be in the lowest tier and will be assessed smaller fees for the CAT.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states that Industry Members (other than Execution Venue ATSs) will be charged based on message traffic, and that Execution Venues will be charged based on market share. n38 While there are multiple factors that contribute to the cost of building, maintaining and using the CAT, processing and storage of incoming message traffic is one of the most </w:t>
      </w:r>
      <w:r>
        <w:rPr>
          <w:rFonts w:ascii="arial" w:eastAsia="arial" w:hAnsi="arial" w:cs="arial"/>
          <w:b/>
          <w:i w:val="0"/>
          <w:strike w:val="0"/>
          <w:noProof w:val="0"/>
          <w:color w:val="000000"/>
          <w:position w:val="0"/>
          <w:sz w:val="20"/>
          <w:u w:val="none"/>
          <w:vertAlign w:val="baseline"/>
        </w:rPr>
        <w:t> [*59875] </w:t>
      </w:r>
      <w:r>
        <w:rPr>
          <w:rFonts w:ascii="arial" w:eastAsia="arial" w:hAnsi="arial" w:cs="arial"/>
          <w:b w:val="0"/>
          <w:i w:val="0"/>
          <w:strike w:val="0"/>
          <w:noProof w:val="0"/>
          <w:color w:val="000000"/>
          <w:position w:val="0"/>
          <w:sz w:val="20"/>
          <w:u w:val="none"/>
          <w:vertAlign w:val="baseline"/>
        </w:rPr>
        <w:t xml:space="preserve"> significant cost drivers for the CAT. n39 Thus, the CAT NMS Plan provides that the fees payable by Industry Members (other than Execution Venue ATSs) will be based on the message traffic generated by such Industry Member.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n41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n42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n44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n45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n46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w:t>
      </w:r>
      <w:r>
        <w:rPr>
          <w:rFonts w:ascii="arial" w:eastAsia="arial" w:hAnsi="arial" w:cs="arial"/>
          <w:b/>
          <w:i w:val="0"/>
          <w:strike w:val="0"/>
          <w:noProof w:val="0"/>
          <w:color w:val="000000"/>
          <w:position w:val="0"/>
          <w:sz w:val="20"/>
          <w:u w:val="none"/>
          <w:vertAlign w:val="baseline"/>
        </w:rPr>
        <w:t> [*59876] </w:t>
      </w:r>
      <w:r>
        <w:rPr>
          <w:rFonts w:ascii="arial" w:eastAsia="arial" w:hAnsi="arial" w:cs="arial"/>
          <w:b w:val="0"/>
          <w:i w:val="0"/>
          <w:strike w:val="0"/>
          <w:noProof w:val="0"/>
          <w:color w:val="000000"/>
          <w:position w:val="0"/>
          <w:sz w:val="20"/>
          <w:u w:val="none"/>
          <w:vertAlign w:val="baseline"/>
        </w:rPr>
        <w:t xml:space="preserve">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w:t>
      </w:r>
      <w:r>
        <w:rPr>
          <w:rFonts w:ascii="arial" w:eastAsia="arial" w:hAnsi="arial" w:cs="arial"/>
          <w:b/>
          <w:i w:val="0"/>
          <w:strike w:val="0"/>
          <w:noProof w:val="0"/>
          <w:color w:val="000000"/>
          <w:position w:val="0"/>
          <w:sz w:val="20"/>
          <w:u w:val="none"/>
          <w:vertAlign w:val="baseline"/>
        </w:rPr>
        <w:t> [*59877] </w:t>
      </w:r>
      <w:r>
        <w:rPr>
          <w:rFonts w:ascii="arial" w:eastAsia="arial" w:hAnsi="arial" w:cs="arial"/>
          <w:b w:val="0"/>
          <w:i w:val="0"/>
          <w:strike w:val="0"/>
          <w:noProof w:val="0"/>
          <w:color w:val="000000"/>
          <w:position w:val="0"/>
          <w:sz w:val="20"/>
          <w:u w:val="none"/>
          <w:vertAlign w:val="baseline"/>
        </w:rPr>
        <w:t xml:space="preserve">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n47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n49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n50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differences between Execution Venues that trade NMS Stocks and/or OTC Equity Securities </w:t>
      </w:r>
      <w:r>
        <w:rPr>
          <w:rFonts w:ascii="arial" w:eastAsia="arial" w:hAnsi="arial" w:cs="arial"/>
          <w:b/>
          <w:i w:val="0"/>
          <w:strike w:val="0"/>
          <w:noProof w:val="0"/>
          <w:color w:val="000000"/>
          <w:position w:val="0"/>
          <w:sz w:val="20"/>
          <w:u w:val="none"/>
          <w:vertAlign w:val="baseline"/>
        </w:rPr>
        <w:t> [*59879] </w:t>
      </w:r>
      <w:r>
        <w:rPr>
          <w:rFonts w:ascii="arial" w:eastAsia="arial" w:hAnsi="arial" w:cs="arial"/>
          <w:b w:val="0"/>
          <w:i w:val="0"/>
          <w:strike w:val="0"/>
          <w:noProof w:val="0"/>
          <w:color w:val="000000"/>
          <w:position w:val="0"/>
          <w:sz w:val="20"/>
          <w:u w:val="none"/>
          <w:vertAlign w:val="baseline"/>
        </w:rPr>
        <w:t xml:space="preserve">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n52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w:t>
      </w:r>
      <w:r>
        <w:rPr>
          <w:rFonts w:ascii="arial" w:eastAsia="arial" w:hAnsi="arial" w:cs="arial"/>
          <w:b/>
          <w:i w:val="0"/>
          <w:strike w:val="0"/>
          <w:noProof w:val="0"/>
          <w:color w:val="000000"/>
          <w:position w:val="0"/>
          <w:sz w:val="20"/>
          <w:u w:val="none"/>
          <w:vertAlign w:val="baseline"/>
        </w:rPr>
        <w:t> [*59880] </w:t>
      </w:r>
      <w:r>
        <w:rPr>
          <w:rFonts w:ascii="arial" w:eastAsia="arial" w:hAnsi="arial" w:cs="arial"/>
          <w:b w:val="0"/>
          <w:i w:val="0"/>
          <w:strike w:val="0"/>
          <w:noProof w:val="0"/>
          <w:color w:val="000000"/>
          <w:position w:val="0"/>
          <w:sz w:val="20"/>
          <w:u w:val="none"/>
          <w:vertAlign w:val="baseline"/>
        </w:rPr>
        <w:t xml:space="preserv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w:t>
      </w:r>
      <w:r>
        <w:rPr>
          <w:rFonts w:ascii="arial" w:eastAsia="arial" w:hAnsi="arial" w:cs="arial"/>
          <w:b/>
          <w:i w:val="0"/>
          <w:strike w:val="0"/>
          <w:noProof w:val="0"/>
          <w:color w:val="000000"/>
          <w:position w:val="0"/>
          <w:sz w:val="20"/>
          <w:u w:val="none"/>
          <w:vertAlign w:val="baseline"/>
        </w:rPr>
        <w:t> [*59881] </w:t>
      </w:r>
      <w:r>
        <w:rPr>
          <w:rFonts w:ascii="arial" w:eastAsia="arial" w:hAnsi="arial" w:cs="arial"/>
          <w:b w:val="0"/>
          <w:i w:val="0"/>
          <w:strike w:val="0"/>
          <w:noProof w:val="0"/>
          <w:color w:val="000000"/>
          <w:position w:val="0"/>
          <w:sz w:val="20"/>
          <w:u w:val="none"/>
          <w:vertAlign w:val="baseline"/>
        </w:rPr>
        <w:t xml:space="preserve">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w:t>
      </w:r>
      <w:r>
        <w:rPr>
          <w:rFonts w:ascii="arial" w:eastAsia="arial" w:hAnsi="arial" w:cs="arial"/>
          <w:b/>
          <w:i w:val="0"/>
          <w:strike w:val="0"/>
          <w:noProof w:val="0"/>
          <w:color w:val="000000"/>
          <w:position w:val="0"/>
          <w:sz w:val="20"/>
          <w:u w:val="none"/>
          <w:vertAlign w:val="baseline"/>
        </w:rPr>
        <w:t> [*59882] </w:t>
      </w:r>
      <w:r>
        <w:rPr>
          <w:rFonts w:ascii="arial" w:eastAsia="arial" w:hAnsi="arial" w:cs="arial"/>
          <w:b w:val="0"/>
          <w:i w:val="0"/>
          <w:strike w:val="0"/>
          <w:noProof w:val="0"/>
          <w:color w:val="000000"/>
          <w:position w:val="0"/>
          <w:sz w:val="20"/>
          <w:u w:val="none"/>
          <w:vertAlign w:val="baseline"/>
        </w:rPr>
        <w:t xml:space="preserv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This $ 5,000,000 represents the gradual accumulation of the funds for a target operating reserve of $ 11,425,000.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[*59883] </w:t>
      </w:r>
    </w:p>
    <w:p>
      <w:pPr>
        <w:keepNext w:val="0"/>
        <w:spacing w:before="200" w:after="0" w:line="260" w:lineRule="atLeast"/>
        <w:ind w:left="0" w:right="0" w:firstLine="0"/>
        <w:jc w:val="both"/>
      </w:pPr>
      <w:r>
        <w:pict>
          <v:shape id="_x0000_i1028" type="#_x0000_t75" style="width:432.06pt;height:486.07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280.54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[*59885] </w:t>
      </w:r>
    </w:p>
    <w:p>
      <w:pPr>
        <w:keepNext w:val="0"/>
        <w:spacing w:before="200" w:after="0" w:line="260" w:lineRule="atLeast"/>
        <w:ind w:left="0" w:right="0" w:firstLine="0"/>
        <w:jc w:val="both"/>
      </w:pPr>
      <w:r>
        <w:pict>
          <v:shape id="_x0000_i1030" type="#_x0000_t75" style="width:432.06pt;height:130.52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 56</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w:t>
      </w:r>
      <w:r>
        <w:rPr>
          <w:rFonts w:ascii="arial" w:eastAsia="arial" w:hAnsi="arial" w:cs="arial"/>
          <w:b/>
          <w:i w:val="0"/>
          <w:strike w:val="0"/>
          <w:noProof w:val="0"/>
          <w:color w:val="000000"/>
          <w:position w:val="0"/>
          <w:sz w:val="20"/>
          <w:u w:val="none"/>
          <w:vertAlign w:val="baseline"/>
        </w:rPr>
        <w:t> [*59886] </w:t>
      </w:r>
      <w:r>
        <w:rPr>
          <w:rFonts w:ascii="arial" w:eastAsia="arial" w:hAnsi="arial" w:cs="arial"/>
          <w:b w:val="0"/>
          <w:i w:val="0"/>
          <w:strike w:val="0"/>
          <w:noProof w:val="0"/>
          <w:color w:val="000000"/>
          <w:position w:val="0"/>
          <w:sz w:val="20"/>
          <w:u w:val="none"/>
          <w:vertAlign w:val="baseline"/>
        </w:rPr>
        <w:t xml:space="preserve">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n57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n58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w:t>
      </w:r>
      <w:r>
        <w:rPr>
          <w:rFonts w:ascii="arial" w:eastAsia="arial" w:hAnsi="arial" w:cs="arial"/>
          <w:b/>
          <w:i w:val="0"/>
          <w:strike w:val="0"/>
          <w:noProof w:val="0"/>
          <w:color w:val="000000"/>
          <w:position w:val="0"/>
          <w:sz w:val="20"/>
          <w:u w:val="none"/>
          <w:vertAlign w:val="baseline"/>
        </w:rPr>
        <w:t> [*59887] </w:t>
      </w:r>
      <w:r>
        <w:rPr>
          <w:rFonts w:ascii="arial" w:eastAsia="arial" w:hAnsi="arial" w:cs="arial"/>
          <w:b w:val="0"/>
          <w:i w:val="0"/>
          <w:strike w:val="0"/>
          <w:noProof w:val="0"/>
          <w:color w:val="000000"/>
          <w:position w:val="0"/>
          <w:sz w:val="20"/>
          <w:u w:val="none"/>
          <w:vertAlign w:val="baseline"/>
        </w:rPr>
        <w:t xml:space="preserve">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the Consolidated Audit Trail Funding Fees to impose the CAT Fees determined by the Operating Committee on SRO's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6.85 (Consolidated Audit Trail (CAT)--Definitions).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n59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SRO will provide Industry Members with details regarding the manner of payment of CAT Fees by Regulatory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w:t>
      </w:r>
      <w:r>
        <w:rPr>
          <w:rFonts w:ascii="arial" w:eastAsia="arial" w:hAnsi="arial" w:cs="arial"/>
          <w:b/>
          <w:i w:val="0"/>
          <w:strike w:val="0"/>
          <w:noProof w:val="0"/>
          <w:color w:val="000000"/>
          <w:position w:val="0"/>
          <w:sz w:val="20"/>
          <w:u w:val="none"/>
          <w:vertAlign w:val="baseline"/>
        </w:rPr>
        <w:t> [*59888] </w:t>
      </w:r>
      <w:r>
        <w:rPr>
          <w:rFonts w:ascii="arial" w:eastAsia="arial" w:hAnsi="arial" w:cs="arial"/>
          <w:b w:val="0"/>
          <w:i w:val="0"/>
          <w:strike w:val="0"/>
          <w:noProof w:val="0"/>
          <w:color w:val="000000"/>
          <w:position w:val="0"/>
          <w:sz w:val="20"/>
          <w:u w:val="none"/>
          <w:vertAlign w:val="baseline"/>
        </w:rPr>
        <w:t xml:space="preserve"> collection of CAT fees established by the Company.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SRO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SRO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n61 The SEC suspended the Original Proposal and instituted proceedings to determine whether to approve or disapprove it. n62 Pursuant to those proceedings, additional comment letters were submitted regarding the proposed funding model. n63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n64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n65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w:t>
      </w:r>
      <w:r>
        <w:rPr>
          <w:rFonts w:ascii="arial" w:eastAsia="arial" w:hAnsi="arial" w:cs="arial"/>
          <w:b/>
          <w:i w:val="0"/>
          <w:strike w:val="0"/>
          <w:noProof w:val="0"/>
          <w:color w:val="000000"/>
          <w:position w:val="0"/>
          <w:sz w:val="20"/>
          <w:u w:val="none"/>
          <w:vertAlign w:val="baseline"/>
        </w:rPr>
        <w:t> [*59889] </w:t>
      </w:r>
      <w:r>
        <w:rPr>
          <w:rFonts w:ascii="arial" w:eastAsia="arial" w:hAnsi="arial" w:cs="arial"/>
          <w:b w:val="0"/>
          <w:i w:val="0"/>
          <w:strike w:val="0"/>
          <w:noProof w:val="0"/>
          <w:color w:val="000000"/>
          <w:position w:val="0"/>
          <w:sz w:val="20"/>
          <w:u w:val="none"/>
          <w:vertAlign w:val="baseline"/>
        </w:rPr>
        <w:t xml:space="preserve">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n66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n67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n68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w:t>
      </w:r>
      <w:r>
        <w:rPr>
          <w:rFonts w:ascii="arial" w:eastAsia="arial" w:hAnsi="arial" w:cs="arial"/>
          <w:b/>
          <w:i w:val="0"/>
          <w:strike w:val="0"/>
          <w:noProof w:val="0"/>
          <w:color w:val="000000"/>
          <w:position w:val="0"/>
          <w:sz w:val="20"/>
          <w:u w:val="none"/>
          <w:vertAlign w:val="baseline"/>
        </w:rPr>
        <w:t> [*59890] </w:t>
      </w:r>
      <w:r>
        <w:rPr>
          <w:rFonts w:ascii="arial" w:eastAsia="arial" w:hAnsi="arial" w:cs="arial"/>
          <w:b w:val="0"/>
          <w:i w:val="0"/>
          <w:strike w:val="0"/>
          <w:noProof w:val="0"/>
          <w:color w:val="000000"/>
          <w:position w:val="0"/>
          <w:sz w:val="20"/>
          <w:u w:val="none"/>
          <w:vertAlign w:val="baseline"/>
        </w:rPr>
        <w:t xml:space="preserve">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n69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SRO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n70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n71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n72 The proposed discounts recognize the different types of trading operations presented by Options Market Makers and equities market makers, as well as the value of </w:t>
      </w:r>
      <w:r>
        <w:rPr>
          <w:rFonts w:ascii="arial" w:eastAsia="arial" w:hAnsi="arial" w:cs="arial"/>
          <w:b/>
          <w:i w:val="0"/>
          <w:strike w:val="0"/>
          <w:noProof w:val="0"/>
          <w:color w:val="000000"/>
          <w:position w:val="0"/>
          <w:sz w:val="20"/>
          <w:u w:val="none"/>
          <w:vertAlign w:val="baseline"/>
        </w:rPr>
        <w:t> [*59891] </w:t>
      </w:r>
      <w:r>
        <w:rPr>
          <w:rFonts w:ascii="arial" w:eastAsia="arial" w:hAnsi="arial" w:cs="arial"/>
          <w:b w:val="0"/>
          <w:i w:val="0"/>
          <w:strike w:val="0"/>
          <w:noProof w:val="0"/>
          <w:color w:val="000000"/>
          <w:position w:val="0"/>
          <w:sz w:val="20"/>
          <w:u w:val="none"/>
          <w:vertAlign w:val="baseline"/>
        </w:rPr>
        <w:t xml:space="preserve">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(b)(1) of the proposed fee schedule to indicate that the message traffic related to equity market maker quotes and Options Market Maker quotes would be discounted. In addition, SRO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w:t>
      </w:r>
      <w:r>
        <w:rPr>
          <w:rFonts w:ascii="arial" w:eastAsia="arial" w:hAnsi="arial" w:cs="arial"/>
          <w:b/>
          <w:i w:val="0"/>
          <w:strike w:val="0"/>
          <w:noProof w:val="0"/>
          <w:color w:val="000000"/>
          <w:position w:val="0"/>
          <w:sz w:val="20"/>
          <w:u w:val="none"/>
          <w:vertAlign w:val="baseline"/>
        </w:rPr>
        <w:t> [*59892] </w:t>
      </w:r>
      <w:r>
        <w:rPr>
          <w:rFonts w:ascii="arial" w:eastAsia="arial" w:hAnsi="arial" w:cs="arial"/>
          <w:b w:val="0"/>
          <w:i w:val="0"/>
          <w:strike w:val="0"/>
          <w:noProof w:val="0"/>
          <w:color w:val="000000"/>
          <w:position w:val="0"/>
          <w:sz w:val="20"/>
          <w:u w:val="none"/>
          <w:vertAlign w:val="baseline"/>
        </w:rPr>
        <w:t xml:space="preserve">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n74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Securities Exchange Act Rel. No. 67457 (Jul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paragraphs (b)(1) and (2) of the proposed fee schedule to reflect the changes discussed in this section. Specifically, SRO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n75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w:t>
      </w:r>
      <w:r>
        <w:rPr>
          <w:rFonts w:ascii="arial" w:eastAsia="arial" w:hAnsi="arial" w:cs="arial"/>
          <w:b/>
          <w:i w:val="0"/>
          <w:strike w:val="0"/>
          <w:noProof w:val="0"/>
          <w:color w:val="000000"/>
          <w:position w:val="0"/>
          <w:sz w:val="20"/>
          <w:u w:val="none"/>
          <w:vertAlign w:val="baseline"/>
        </w:rPr>
        <w:t> [*59893] </w:t>
      </w:r>
      <w:r>
        <w:rPr>
          <w:rFonts w:ascii="arial" w:eastAsia="arial" w:hAnsi="arial" w:cs="arial"/>
          <w:b w:val="0"/>
          <w:i w:val="0"/>
          <w:strike w:val="0"/>
          <w:noProof w:val="0"/>
          <w:color w:val="000000"/>
          <w:position w:val="0"/>
          <w:sz w:val="20"/>
          <w:u w:val="none"/>
          <w:vertAlign w:val="baseline"/>
        </w:rPr>
        <w:t xml:space="preserve">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n76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SRO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n78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regarding the level of Industry Member input into the development of the proposed funding model, and certain commenters have recommended a greater role in the governance of the CAT. n79 The Participants previously addressed this concern in its letters responding to comments on the Plan and the CAT Fees. n80 As discussed in those letters, the Participants discussed </w:t>
      </w:r>
      <w:r>
        <w:rPr>
          <w:rFonts w:ascii="arial" w:eastAsia="arial" w:hAnsi="arial" w:cs="arial"/>
          <w:b/>
          <w:i w:val="0"/>
          <w:strike w:val="0"/>
          <w:noProof w:val="0"/>
          <w:color w:val="000000"/>
          <w:position w:val="0"/>
          <w:sz w:val="20"/>
          <w:u w:val="none"/>
          <w:vertAlign w:val="baseline"/>
        </w:rPr>
        <w:t> [*59894] </w:t>
      </w:r>
      <w:r>
        <w:rPr>
          <w:rFonts w:ascii="arial" w:eastAsia="arial" w:hAnsi="arial" w:cs="arial"/>
          <w:b w:val="0"/>
          <w:i w:val="0"/>
          <w:strike w:val="0"/>
          <w:noProof w:val="0"/>
          <w:color w:val="000000"/>
          <w:position w:val="0"/>
          <w:sz w:val="20"/>
          <w:u w:val="none"/>
          <w:vertAlign w:val="baseline"/>
        </w:rPr>
        <w:t xml:space="preserve"> the funding model with the Development Advisory Group ("DAG"), the advisory group formed to assist in the development of the Plan, during its original development. n81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n82 The Participants previously responded to this concern in both the Plan Response Letter and the Fee Rule Response Letter. n83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n84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n85 The Participants previously responded to this same comment in the Plan Response Letter and the Fee Rule Response Letter. n86 As the Participants previously noted, SEC Rule 613 specifically contemplates broker-dealers contributing to the funding of the CAT. In addition, as noted by the SEC, the CAT "substantially enhance[s] the ability of the SROs and the Commission to oversee today's securities markets," n87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rule change is consistent with the provisions of Section 6(b)(5) of the Act, n88 which require, among other things, that the SRO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n89 which requires that SRO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Participants and Industry Members. SRO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4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this proposal is consistent with the Act because it implements, interprets or clarifies the provisions of the Plan, and is designed to assist SRO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n90 To the extent that this proposal implements, interprets or clarifies the Plan and applies specific requirements to Industry Members, SRO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SRO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SRO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w:t>
      </w:r>
      <w:r>
        <w:rPr>
          <w:rFonts w:ascii="arial" w:eastAsia="arial" w:hAnsi="arial" w:cs="arial"/>
          <w:b/>
          <w:i w:val="0"/>
          <w:strike w:val="0"/>
          <w:noProof w:val="0"/>
          <w:color w:val="000000"/>
          <w:position w:val="0"/>
          <w:sz w:val="20"/>
          <w:u w:val="none"/>
          <w:vertAlign w:val="baseline"/>
        </w:rPr>
        <w:t> [*59895] </w:t>
      </w:r>
      <w:r>
        <w:rPr>
          <w:rFonts w:ascii="arial" w:eastAsia="arial" w:hAnsi="arial" w:cs="arial"/>
          <w:b w:val="0"/>
          <w:i w:val="0"/>
          <w:strike w:val="0"/>
          <w:noProof w:val="0"/>
          <w:color w:val="000000"/>
          <w:position w:val="0"/>
          <w:sz w:val="20"/>
          <w:u w:val="none"/>
          <w:vertAlign w:val="baseline"/>
        </w:rPr>
        <w:t xml:space="preserve">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SRO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SRO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n91 require that SRO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SRO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SRO notes that the proposed rule change implements provisions of the CAT NMS Plan approved by the Commission, and is designed to assist SRO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3" w:history="1">
        <w:r>
          <w:rPr>
            <w:rFonts w:ascii="arial" w:eastAsia="arial" w:hAnsi="arial" w:cs="arial"/>
            <w:b w:val="0"/>
            <w:i/>
            <w:strike w:val="0"/>
            <w:noProof w:val="0"/>
            <w:color w:val="0077CC"/>
            <w:position w:val="0"/>
            <w:sz w:val="20"/>
            <w:u w:val="single"/>
            <w:vertAlign w:val="baseline"/>
          </w:rPr>
          <w:t>15 U.S.C. 78f(b)(8)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SRO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SRO does not believe that the CAT Fees would have a disproportionate effect on smaller or larger CAT Reporters. In addition, ATSs and exchanges will pay the same fees based on market share. Therefore, SRO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SRO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 </w:t>
      </w:r>
      <w:r>
        <w:rPr>
          <w:rFonts w:ascii="arial" w:eastAsia="arial" w:hAnsi="arial" w:cs="arial"/>
          <w:b/>
          <w:i w:val="0"/>
          <w:strike w:val="0"/>
          <w:noProof w:val="0"/>
          <w:color w:val="000000"/>
          <w:position w:val="0"/>
          <w:sz w:val="20"/>
          <w:u w:val="none"/>
          <w:vertAlign w:val="baseline"/>
        </w:rPr>
        <w:t> [*59896]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n96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SR-CBOE-2017-040 on the subject line. </w:t>
      </w:r>
      <w:r>
        <w:rPr>
          <w:rFonts w:ascii="arial" w:eastAsia="arial" w:hAnsi="arial" w:cs="arial"/>
          <w:b/>
          <w:i w:val="0"/>
          <w:strike w:val="0"/>
          <w:noProof w:val="0"/>
          <w:color w:val="000000"/>
          <w:position w:val="0"/>
          <w:sz w:val="20"/>
          <w:u w:val="none"/>
          <w:vertAlign w:val="baseline"/>
        </w:rPr>
        <w:t> [*59897]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SR-CBOE-2017-040.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SR-CBOE-2017-040, and should be submitted on or before January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2017-26994 Filed 12-14-17;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59871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P0-7X10-006W-80JV-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cboe.com/AboutCBOE/CBOELegalRegulatoryHome.aspx"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61-D7T0-006W-84DM-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59871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