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8632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017, Friday, January 27,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8632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27,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Amend the Exchange's Data Fees at Rule 7023</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34-79863; File No. SR-NASDAQ-2017-004]</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23,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January 10, 2017, The NASDAQ Stock Market LLC ("Nasdaq"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Exchange's data fees at Rule 7023 to: (i) Increase the monthly Nasdaq Level 2 Non-Professional Subscriber fee ("Level 2 Non-Professional Fee") from $ 9 to $ 14; and (ii) increase the monthly Nasdaq Level 2 Professional Subscriber fee ("Level 2 Professional Fee") from </w:t>
      </w:r>
      <w:r>
        <w:rPr>
          <w:rFonts w:ascii="arial" w:eastAsia="arial" w:hAnsi="arial" w:cs="arial"/>
          <w:b/>
          <w:i w:val="0"/>
          <w:strike w:val="0"/>
          <w:noProof w:val="0"/>
          <w:color w:val="000000"/>
          <w:position w:val="0"/>
          <w:sz w:val="20"/>
          <w:u w:val="none"/>
          <w:vertAlign w:val="baseline"/>
        </w:rPr>
        <w:t> [*8633] </w:t>
      </w:r>
      <w:r>
        <w:rPr>
          <w:rFonts w:ascii="arial" w:eastAsia="arial" w:hAnsi="arial" w:cs="arial"/>
          <w:b w:val="0"/>
          <w:i w:val="0"/>
          <w:strike w:val="0"/>
          <w:noProof w:val="0"/>
          <w:color w:val="000000"/>
          <w:position w:val="0"/>
          <w:sz w:val="20"/>
          <w:u w:val="none"/>
          <w:vertAlign w:val="baseline"/>
        </w:rPr>
        <w:t xml:space="preserve"> $ 60 to $ 70, and to make conforming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(i) Increase the monthly Level 2 Non-Professional Fee from $ 9 to $ 14; and (ii) increase the monthly Level 2 Professional Fee from $ 60 to $ 70 for any Display Usage, or for Non-Display Usage based upon Indirect Access. The fee increases will set the Level 2 Non-Professional Fee equal to the TotalView fee for Non-Professional Subscribers under Rule 7023(b)(2)(A), and will set the Level 2 Professional Fee equal to the TotalView fee for Professional Subscribers set forth under Rule 7023(b)(2)(B).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 will equate the price of Level 2 with TotalView in anticipation of retiring Level 2 as a separate product, which will occur on a date to be determined by Nasdaq, based on an analysis of customer demand. Until Level 2 is retired, Nasdaq will continue to support this legacy product in tandem with its full-depth product, TotalView.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Level 2 and Depth-of-Book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Level 2 provides best-price orders and quotes from each market participant in the Nasdaq Market Center for Nasdaq-listed securities. It was introduced in 1983 as the Nasdaq Quotation Dissemination Service, and was the first product to provide best-price orders and quotes for Nasdaq market participants. Level 2, like all of Nasdaq's depth-of-book data products, is entirely optional.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Nasdaq's continuing efforts to augment its depth-of-book products, Nasdaq created TotalView, a premier product designed to substantially enhance the amount of data available to the investor. TotalView provides all orders and quotes from all Nasdaq members displayed in the Nasdaq Market Center for Nasdaq-listed securities. This allows the user to view approximately 20 times more information about market liquidity than Level 2, which provides only the best-price orders and quotes for each market participant. In addition to a deeper view of orders and quotes, TotalView also provides other information not available on Level 2, such as the Net Order Imbalance Indicator, which supplies data on the daily auctions that take place at the open and close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Level 2 and TotalView, Nasdaq also offers OpenView, which provides the depth-of-book information available in TotalView, except that OpenView provides information for securities not listed on Nasdaq. OpenView is typically purchased as an add-on to TotalView or Level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intends to offer TotalView as its main depth-of-book product. The purpose of the proposed change is to equate the prices of Level 2 and TotalView in anticipation of retiring Level 2. In response to feedback from Distributors, the Exchange will continue to offer Level 2 for those Distributors that require time to transition their systems from Level 2 to TotalView, rather than retire Level 2 abruptly. The price increase will compensate Nasdaq for offering both the Level 2 and TotalView data feeds during this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anticipates retiring Level 2 for three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demand for Level 2 has fallen over the last two years. Nasdaq incurs a cost to support multiple depth-of-book products, and maintaining such an expenditure is not viable in view of falling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Level 2 has become less viable as a stand-alone product as industry standards have changed. While there was a market for Level 2 when it was first introduced, the market has moved toward either high-level products such as Nasdaq Basic (which offers best bid and offer and last sale information), or full depth-of-book data similar to TotalView. The market niche for intermediate products such as Level 2 is disappearing.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usefulness of Level 2 will continue to decrease over time as full depth-of-book products continue to add more features, such as the Net Order Imbalance Indicator in TotalView. Nasdaq plans to continue enhancing TotalView with additional features, which will further widen the gap in functionality between TotalView and Level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Level 2 will not be retired immediately. There may be customers who, because of special circumstances, continue to use Level 2 for the time being. Nasdaq will monitor customer demand to identify an appropriate retirement date. Until Level 2 is retired, Nasdaq will continue to support this legacy product in tandem with its full-depth product, TotalView.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price increase for Level 2, the Exchange proposes three conforming changes to market data rules that reference Level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under Rule 7023(c)(1), a Distributor that is also a broker-dealer may pay a monthly fee of $ 25,000 for the right to provide Nasdaq TotalView and Nasdaq OpenView for Display Usage for Internal Distribution, or for External Distribution to Non-Professional Subscribers with whom the firm has a brokerage relationship. Payment of this optional enterprise license fee allows the purchaser to obtain TotalView and OpenView at the previous Level 2 rate because, under Rule 7023(c)(1), the Enterprise License shall not apply to relevant Level 1 and Nasdaq Level 2 fees. n3 In other words, because Distributors receiving TotalView also receive the information contained in Nasdaq Level 2, those Distributors must also pay per-subscriber fees at the same level as the Level 2 fees, in addition to the Enterprise License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language regarding Level 1 has no effect because Level 1 has never been a product owned by Nasdaq. Level 1 is distributed under the UTP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proposed language equates Level 2 fees with the price of TotalView, Distributors that purchase the $ 25,000 Enterprise License would be required to pay the monthly per-subscriber fees at the new, higher rate, unless the language is adjusted. To maintain the current price structure, the Exchange proposes to delete the reference to Level 1 and Level 2 fees, and replace it with a set fee that reflects the current fee for Level 2. The proposal would require Distributors to pay a monthly fee of $ 9 for each Non-Professional Subscriber and a monthly fee of $ 60 for each Professional Subscriber for Display Usage based upon Direct or Indirect Access, in addition to the $ 25,000 monthly </w:t>
      </w:r>
      <w:r>
        <w:rPr>
          <w:rFonts w:ascii="arial" w:eastAsia="arial" w:hAnsi="arial" w:cs="arial"/>
          <w:b/>
          <w:i w:val="0"/>
          <w:strike w:val="0"/>
          <w:noProof w:val="0"/>
          <w:color w:val="000000"/>
          <w:position w:val="0"/>
          <w:sz w:val="20"/>
          <w:u w:val="none"/>
          <w:vertAlign w:val="baseline"/>
        </w:rPr>
        <w:t> [*8634] </w:t>
      </w:r>
      <w:r>
        <w:rPr>
          <w:rFonts w:ascii="arial" w:eastAsia="arial" w:hAnsi="arial" w:cs="arial"/>
          <w:b w:val="0"/>
          <w:i w:val="0"/>
          <w:strike w:val="0"/>
          <w:noProof w:val="0"/>
          <w:color w:val="000000"/>
          <w:position w:val="0"/>
          <w:sz w:val="20"/>
          <w:u w:val="none"/>
          <w:vertAlign w:val="baseline"/>
        </w:rPr>
        <w:t xml:space="preserve"> enterprise license. This change preserves the current per-subscriber fees associated with the $ 25,000 enterprise license. Deleting the reference to Level 1 has no effect because Level 1 is not a Nasdaq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under Rule 7023(c)(2), a Distributor that is also a broker-dealer may pay a monthly fee of $ 100,000 for the right to provide Nasdaq TotalView and Nasdaq OpenView for Display Usage for Internal Distribution, or for External Distribution to both Professional and Non-Professional Subscribers with whom the firm has a brokerage relationship. Payment of this optional enterprise license fee allows the purchaser to obtain TotalView and OpenView at the previous Level 2 rate because, under Rule 7023(c)(2), the Enterprise License shall not apply to relevant Level 1 and Nasdaq Level 2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was the case for the $ 25,000 Enterprise License under Rule 7023(c)(1), the proposed increase in the price of Level 2 would require Distributors that purchase the $ 100,000 Enterprise License to pay the monthly per-subscriber fees at the new, higher rate, unless the language is adjusted. To maintain the prior price structure, the Exchange proposes to delete the reference to Level 1 and Level 2, and replace it with a set fee for Professional and Non-Professional Subscribers. The proposal would require Distributors to pay a monthly fee of $ 9 for each Non-Professional Subscriber and a monthly fee of $ 60 for each Professional Subscriber for Display Usage based upon Direct or Indirect Access, in addition to the $ 100,000 monthly enterprise license. This change preserves the current per-subscriber fees associated with the $ 100,000 enterprise license. As previously noted, deleting the reference to Level 1 has no effect because it is not a Nasdaq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Exchange proposes to remove a sentence from Rule 7023(e) that has been rendered meaningless. That rule currently provides a 30-day fee waiver for a trial offer of TotalView, provided that the waiver does not include incremental fees for the Nasdaq Level 2-only service. Because the proposal removes the price differential between Level 2 and TotalView, no incremental fees will exist, and the Exchange therefore proposes deleting that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Level 2 Professional and Non-Professional fees are entirely optional, in that they apply only to Subscribers that opt to purchase Level 2. They do not impact or raise the cost of any other Nasdaq product, except for those subscribers who opt to purchase OpenView together with Level 2, for whom the price of the combined product will rise by the same amount as Level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n4 in general, and furthers the objectives of Sections 6(b)(4) and 6(b)(5) of the Act, n5 in particular, in that it provides for the equitable allocation of reasonable dues, fees and other charges among members and issuers and other persons using any facility, and is not designed to permit unfair discrimination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1"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1"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and the courts have repeatedly expressed their preference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regulatory intervention in determining prices, products, and services in the securities markets.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while adopting a series of steps to improve the current market model, the Commission highlighted the importance of market forces in determining prices and SRO revenues and, also, recognized that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market system "has been remarkably successful in promoting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its broader forms that are most important to investors and listed companies."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Securities Exchange Act Release No. 51808 (June 9, 2005), </w:t>
      </w:r>
      <w:hyperlink r:id="rId12" w:history="1">
        <w:r>
          <w:rPr>
            <w:rFonts w:ascii="arial" w:eastAsia="arial" w:hAnsi="arial" w:cs="arial"/>
            <w:b w:val="0"/>
            <w:i/>
            <w:strike w:val="0"/>
            <w:noProof w:val="0"/>
            <w:color w:val="0077CC"/>
            <w:position w:val="0"/>
            <w:sz w:val="20"/>
            <w:u w:val="single"/>
            <w:vertAlign w:val="baseline"/>
          </w:rPr>
          <w:t>70 FR 37496, 37499</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Securities and Exchange Commission</w:t>
      </w:r>
      <w:r>
        <w:rPr>
          <w:rFonts w:ascii="arial" w:eastAsia="arial" w:hAnsi="arial" w:cs="arial"/>
          <w:b w:val="0"/>
          <w:i w:val="0"/>
          <w:strike w:val="0"/>
          <w:noProof w:val="0"/>
          <w:color w:val="000000"/>
          <w:position w:val="0"/>
          <w:sz w:val="20"/>
          <w:u w:val="none"/>
          <w:vertAlign w:val="baseline"/>
        </w:rPr>
        <w:t xml:space="preserve"> n7 ("NetCoalition") the D.C. Circuit upheld the Commission's use of a market-based approach in evaluating the fairness of market data fees against a challenge claiming that Congress mandated a cost-based approach. n8 As the court emphasized, the Commission "intended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market forces, rather than regulatory requirements' play a role in determining the market data . . . to be made available to investors and at what cost."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3" w:history="1">
        <w:r>
          <w:rPr>
            <w:rFonts w:ascii="arial" w:eastAsia="arial" w:hAnsi="arial" w:cs="arial"/>
            <w:b w:val="0"/>
            <w:i/>
            <w:strike w:val="0"/>
            <w:noProof w:val="0"/>
            <w:color w:val="0077CC"/>
            <w:position w:val="0"/>
            <w:sz w:val="20"/>
            <w:u w:val="single"/>
            <w:vertAlign w:val="baseline"/>
          </w:rPr>
          <w:t>NetCoalition v. SEC, 615 F.3d 525 (D.C. Cir.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NetCoalition,</w:t>
      </w:r>
      <w:r>
        <w:rPr>
          <w:rFonts w:ascii="arial" w:eastAsia="arial" w:hAnsi="arial" w:cs="arial"/>
          <w:b w:val="0"/>
          <w:i w:val="0"/>
          <w:strike w:val="0"/>
          <w:noProof w:val="0"/>
          <w:color w:val="000000"/>
          <w:position w:val="0"/>
          <w:sz w:val="20"/>
          <w:u w:val="none"/>
          <w:vertAlign w:val="baseline"/>
        </w:rPr>
        <w:t xml:space="preserve"> at 534-535.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3" w:history="1">
        <w:r>
          <w:rPr>
            <w:rFonts w:ascii="arial" w:eastAsia="arial" w:hAnsi="arial" w:cs="arial"/>
            <w:b w:val="0"/>
            <w:i/>
            <w:strike w:val="0"/>
            <w:noProof w:val="0"/>
            <w:color w:val="0077CC"/>
            <w:position w:val="0"/>
            <w:sz w:val="20"/>
            <w:u w:val="single"/>
            <w:vertAlign w:val="baseline"/>
          </w:rPr>
          <w:t>Id. at 537.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 . . As the SEC explained, [i]n the U.S. national market system, buyers and sellers of securities, and the broker-dealers that act as their order-routing agents, have a wide range of choices of where to route orders for execution'; [and] no exchange can afford to take its market share percentages for granted' because no exchange possesses a monopoly, regulatory or otherwise, in the execution of order flow from broker dealers'. . . ."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3" w:history="1">
        <w:r>
          <w:rPr>
            <w:rFonts w:ascii="arial" w:eastAsia="arial" w:hAnsi="arial" w:cs="arial"/>
            <w:b w:val="0"/>
            <w:i/>
            <w:strike w:val="0"/>
            <w:noProof w:val="0"/>
            <w:color w:val="0077CC"/>
            <w:position w:val="0"/>
            <w:sz w:val="20"/>
            <w:u w:val="single"/>
            <w:vertAlign w:val="baseline"/>
          </w:rPr>
          <w:t>Id. at 539</w:t>
        </w:r>
      </w:hyperlink>
      <w:r>
        <w:rPr>
          <w:rFonts w:ascii="arial" w:eastAsia="arial" w:hAnsi="arial" w:cs="arial"/>
          <w:b w:val="0"/>
          <w:i w:val="0"/>
          <w:strike w:val="0"/>
          <w:noProof w:val="0"/>
          <w:color w:val="000000"/>
          <w:position w:val="0"/>
          <w:sz w:val="20"/>
          <w:u w:val="none"/>
          <w:vertAlign w:val="baseline"/>
        </w:rPr>
        <w:t xml:space="preserve"> (quoting Securities Exchange Act Release No. 59039 (December 2, 2008), </w:t>
      </w:r>
      <w:hyperlink r:id="rId14" w:history="1">
        <w:r>
          <w:rPr>
            <w:rFonts w:ascii="arial" w:eastAsia="arial" w:hAnsi="arial" w:cs="arial"/>
            <w:b w:val="0"/>
            <w:i/>
            <w:strike w:val="0"/>
            <w:noProof w:val="0"/>
            <w:color w:val="0077CC"/>
            <w:position w:val="0"/>
            <w:sz w:val="20"/>
            <w:u w:val="single"/>
            <w:vertAlign w:val="baseline"/>
          </w:rPr>
          <w:t>73 FR 74770, 74782-83</w:t>
        </w:r>
      </w:hyperlink>
      <w:r>
        <w:rPr>
          <w:rFonts w:ascii="arial" w:eastAsia="arial" w:hAnsi="arial" w:cs="arial"/>
          <w:b w:val="0"/>
          <w:i w:val="0"/>
          <w:strike w:val="0"/>
          <w:noProof w:val="0"/>
          <w:color w:val="000000"/>
          <w:position w:val="0"/>
          <w:sz w:val="20"/>
          <w:u w:val="none"/>
          <w:vertAlign w:val="baseline"/>
        </w:rPr>
        <w:t xml:space="preserve"> (December 9, 2008) (SR-NYSEArca-2006-21)).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proposals to increase the monthly Level 2 Non-Professional Fee and the Level 2 Professional Fee--which will be implemented in anticipation of retiring Level 2 as a separate product--are reasonable. The Exchange is providing time for Distributors to transition from Level 2 to TotalView feeds, and the price increase compensates Nasdaq for providing both feeds during that transition period. The fees for Level 2, like all proprietary data fees, are constrained by the Exchange's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and are subject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products and among broker-dealers for customers. If Nasdaq is incorrect in its assessment of the Level 2 market, there are no barriers to entry for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with substantially similar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fee changes are an equitable allocation and not unfairly discriminatory because the Exchange will apply the same fee to all similarly-situated subscribers.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In terms of inter-market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notes that it operates in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which market participants can readily favor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if they deem fee levels at a particular venue to be excessive. In such an environment, the Exchange must continually adjust its fees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other exchanges and with alternative trading systems that have been exempted from compliance with the statutory standards applicable to exchanges. Because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free to modify their own fees in response, and because market participants may readily adjust their order routing practices, the Exchange believes that the degree to which fee changes in this market may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extremely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fees will: (i) Increase the monthly Level 2 Non-Professional Fee from $ 9 to $ 14; and (ii) increase the monthly Level 2 Professional Fee from $ 60 to $ 70. If the changes proposed herein are unattractive to market </w:t>
      </w:r>
      <w:r>
        <w:rPr>
          <w:rFonts w:ascii="arial" w:eastAsia="arial" w:hAnsi="arial" w:cs="arial"/>
          <w:b/>
          <w:i w:val="0"/>
          <w:strike w:val="0"/>
          <w:noProof w:val="0"/>
          <w:color w:val="000000"/>
          <w:position w:val="0"/>
          <w:sz w:val="20"/>
          <w:u w:val="none"/>
          <w:vertAlign w:val="baseline"/>
        </w:rPr>
        <w:t> [*8635] </w:t>
      </w:r>
      <w:r>
        <w:rPr>
          <w:rFonts w:ascii="arial" w:eastAsia="arial" w:hAnsi="arial" w:cs="arial"/>
          <w:b w:val="0"/>
          <w:i w:val="0"/>
          <w:strike w:val="0"/>
          <w:noProof w:val="0"/>
          <w:color w:val="000000"/>
          <w:position w:val="0"/>
          <w:sz w:val="20"/>
          <w:u w:val="none"/>
          <w:vertAlign w:val="baseline"/>
        </w:rPr>
        <w:t xml:space="preserve"> participants, it is likely that the Exchange will lose market share as a result. Accordingly, the Exchange does not believe that the proposed changes will impair the ability of members 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order execution venues to maintain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standing in the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market forces constrain fees for Level 2 in three respects. First, all fees related to Level 2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and other entities attracting order flow. Firms make decisions regarding Level 2 and other proprietary data based on the total cost of interacting with the Exchange, and order flow would be harmed by the supracompetitive pricing of any proprietary data product. Second, the price of Level 2 is constrained by the existence of substitutes that are offered, or may be offered, by entities that offer proprietary data. Third,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 for customers will further constrain the cost of Level 2. An example of the impact of market forces on the price of proprietary data is the decrease in the Nasdaq Basic enterprise license fee for broker-dealers distributing such information to subscribers in the context of a brokerage relationship, which was recently decreased from $ 350,000 to $ 100,000.</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Fees related to Level 2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and other entities seeking to attract order flow. Order flow is the "life blood" of the exchanges. Broker-dealers currently have numerous alternative venues for their order flow, including self-regulatory organization ("SRO") markets, as well as internalizing broker-dealers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Trade Reporting Facilities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which may readily reduce costs by directing orders toward the lowest-cost trading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for order flow is demonstrated by the numerous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 For a variety of reasons,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new entrants, especially for order execution, has increased dramatically over the last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SRO, TRF, ATS, and BD that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for order flow is permitted to produce proprietary data products. Many currently do or have announced plans to do so, including NYSE, NYSE Amex, NYSE Arca, BATS, and IEX. This is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deregulated the market for proprietary data. While BDs had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Order routers and market data vendors can facilitate production of proprietary data products for single or multiple BDs. The potential sources of proprietary products are virtually limitless.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markets for order flow and proprietary data are inextricably linked: A trading platform cannot generate market information unless it receives trade orders. As a result,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constrains the prices that platforms can charge for proprietary data products. Firms make decisions on how much and what types of data to consume based on the total cost of interacting with Nasdaq and other exchanges. Data fees are but one factor in a total platform analysis. If the cost of the product exceeds its expected value, the broker-dealer will choose not to buy it. A supracompetitive increase in the fees charged for either transactions or proprietary data has the potential to impair revenues from both products. In this manner,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will constrain prices for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Substitute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price of depth-of-book data is constrained by the existence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exchanges, such as NYSE and BATS, which sell proprietary depth-of-book data. While a small number of highly sophisticated traders purchase depth-of-book products from multiple exchanges, most customers do not. Because most customers would not pay an excessive price for Level 2 when substitute data is available from other proprietary sources, the Exchange is constrained in its pricing decisions.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 provides another form of price discipline for proprietary data products. If the price of Level 2 were set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Distributors purchasing Level 2 would be at a disadvantage relative to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and would therefore either purchase a substitute or forego the product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market forces constrain the price of depth-of-book data such as Level 2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substitute products, and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vendors for customers. For these reasons, the Exchange has provided a substantial basis demonstrating that the fee is equitable, fair, reasonable, and not unreasonably discriminatory, and therefore consistent with and in furtherance of the purposes of the Exchange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(i) Necessary or appropriate in the public interest; (ii) for the protection of investors; or (iii)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 [*8636]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6"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SR-NASDAQ-2017-004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SR-NASDAQ-2017-004. This file number should be included on the subject line if email is used. To help the Commission process and review your comments more efficiently, please use only one method. The Commission will post all comments on the Commission's Internet Web site (</w:t>
      </w:r>
      <w:hyperlink r:id="rId1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SR-NASDAQ-2017-004 and should be submitted on or before February 17,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7"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authority.&lt;12&gt;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2017-01833 Filed 1-26-17;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8632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cchwallstreet.com" TargetMode="External" /><Relationship Id="rId11" Type="http://schemas.openxmlformats.org/officeDocument/2006/relationships/hyperlink" Target="https://advance.lexis.com/api/document?collection=statutes-legislation&amp;id=urn:contentItem:4YF7-GPC1-NRF4-4309-00000-00&amp;context=" TargetMode="External" /><Relationship Id="rId12" Type="http://schemas.openxmlformats.org/officeDocument/2006/relationships/hyperlink" Target="https://advance.lexis.com/api/document?collection=administrative-codes&amp;id=urn:contentItem:4GH9-4PB0-014W-D1VJ-00000-00&amp;context=" TargetMode="External" /><Relationship Id="rId13" Type="http://schemas.openxmlformats.org/officeDocument/2006/relationships/hyperlink" Target="https://advance.lexis.com/api/document?collection=cases&amp;id=urn:contentItem:803V-DT30-YB0V-T01B-00000-00&amp;context=" TargetMode="External" /><Relationship Id="rId14" Type="http://schemas.openxmlformats.org/officeDocument/2006/relationships/hyperlink" Target="https://advance.lexis.com/api/document?collection=administrative-codes&amp;id=urn:contentItem:4V3T-8BP0-006W-834G-00000-00&amp;context=" TargetMode="External" /><Relationship Id="rId15" Type="http://schemas.openxmlformats.org/officeDocument/2006/relationships/hyperlink" Target="http://www.sec.gov/rules/sro.shtml" TargetMode="External" /><Relationship Id="rId16" Type="http://schemas.openxmlformats.org/officeDocument/2006/relationships/hyperlink" Target="mailto:rule-comments@sec.gov" TargetMode="External" /><Relationship Id="rId17" Type="http://schemas.openxmlformats.org/officeDocument/2006/relationships/hyperlink" Target="https://advance.lexis.com/api/document?collection=administrative-codes&amp;id=urn:contentItem:5SPP-2120-008G-Y2ND-00000-00&amp;context=" TargetMode="Externa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RB-6J40-006W-84F0-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4092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71569687</vt:lpwstr>
  </property>
  <property fmtid="{D5CDD505-2E9C-101B-9397-08002B2CF9AE}" pid="3" name="LADocCount">
    <vt:lpwstr>1</vt:lpwstr>
  </property>
  <property fmtid="{D5CDD505-2E9C-101B-9397-08002B2CF9AE}" pid="4" name="UserPermID">
    <vt:lpwstr>urn:user:PA185916758</vt:lpwstr>
  </property>
</Properties>
</file>