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8845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019, Tuesday, January 31,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8845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31,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of America v. Duke Energy Corporation;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Duke Energy Corporation,</w:t>
      </w:r>
      <w:r>
        <w:rPr>
          <w:rFonts w:ascii="arial" w:eastAsia="arial" w:hAnsi="arial" w:cs="arial"/>
          <w:b w:val="0"/>
          <w:i w:val="0"/>
          <w:strike w:val="0"/>
          <w:noProof w:val="0"/>
          <w:color w:val="000000"/>
          <w:position w:val="0"/>
          <w:sz w:val="20"/>
          <w:u w:val="none"/>
          <w:vertAlign w:val="baseline"/>
        </w:rPr>
        <w:t xml:space="preserve"> Civil Action No. 1:17-cv-00116. On January 18, 2017, the United States filed a Complaint alleging that Duke Energy Corporation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by acquiring the Osprey Energy Center from Calpine Corporation before filing the required notification form and observing the required waiting period. The proposed Final Judgment, filed at the same time as the Complaint, requires Duke Energy Corporation to pay a civil penalty of $ 600,000. </w:t>
      </w:r>
      <w:r>
        <w:rPr>
          <w:rFonts w:ascii="arial" w:eastAsia="arial" w:hAnsi="arial" w:cs="arial"/>
          <w:b/>
          <w:i w:val="0"/>
          <w:strike w:val="0"/>
          <w:noProof w:val="0"/>
          <w:color w:val="000000"/>
          <w:position w:val="0"/>
          <w:sz w:val="20"/>
          <w:u w:val="none"/>
          <w:vertAlign w:val="baseline"/>
        </w:rPr>
        <w:t> [*8846]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Caroline E. Laise, Assistant Chief, Transportation, Energy &amp; Agriculture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8000, Washington, DC 20530 (telephone: (202) 353-9797).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 NW., Suite 8000,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Duke Energy Corporation, 550 South Tryon Street, Charlotte, NC 28202,</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1:17-cv-00116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Beryl A. Howell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01/18/2017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acting under the direction of the Attorney General of the United States, brings this civil action to obtain monetary relief in the form of civil penalties against the Defendant, Duke Energy Corporation ("Duke"), for violating Section 7A of the Clayton Act, as amended,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also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("HSR Act"), and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HSR Act is an essential part of modern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The HSR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purchasers to notify the Department of Justice and the Federal Trade Commission and wait for agency review before acquiring assets valued in excess of certain thresholds. A purchaser can "acquire" assets without taking formal legal title, for instance by obtaining operational control over the assets or otherwise obtaining "beneficial ownership." The HSR Act's notice and waiting period requirements ensure that the parties to a proposed transaction continue to operate independently during review, preventing anticompetitive acquisitions from harming consumers before the government has had the opportunity to review them according to the procedures established by Congress in the Clayton Act. A purchaser that prematurely takes beneficial ownership of assets, sometimes referred to as "gun jumping," is subject to statutory penalties for each day it is in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August 2014, Duke agreed to terms to purchase the Osprey Energy Center ("Osprey") from its owner, Calpine Corporation ("Calpine"),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seller of wholesale electricity nationally and in Florida. Osprey is a combined-cycle natural gas-fired electrical generating plant located in Auburndale, Florida. Duke violated the HSR Act by obtaining beneficial ownership of Osprey before filing the required notification and observing the required waiting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Specifically, as part of the agreement to acquire the plant, Duke also entered into a "tolling agreement" whereby Duke immediately began exercising control over Osprey's output, and immediately began reaping the day-to-day profits and losses from the plant's business. Duke, for example, assumed control of purchasing all the fuel for the plant, arranging for delivery of that fuel, and arranging for transmission of all energy generated. Duke, not Calpine, retained the profit (or loss) from the difference between the price of the energy generated at Osprey and the cost to generate the energy, bearing all the risk of changes in the market price for fuel and the market price for energy. Based on these potential risks and rewards, Duke, and not Calpine, decided exactly how much energy would be generated by the plant on an hour-by-hour basis, and relayed those detailed instructions each day to plant personnel. Thus, from the moment the tolling agreement went into effect, Osprey ceased to be an independent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in the market for generating electricity for Florida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Duke was never interested in a tolling agreement alone--Duke was only interested in the tolling agreement as a step in the process of purchasing the plant. As a Duke executive explained in testimony to the Florida Public Service Commission, the tolling agreement reflected an effort to obtain expedited approval for the purchase of Osprey from the Federal Energy Regulatory Commission ("FERC"). When FERC reviews a proposed power plant acquisition, it typically employs a "screen" to assess how much the proposed acquisition would increase market concentration. While planning the acquisition of Osprey, Duke and Calpine anticipated the acquisition would fail the FERC screen. But with a tolling agreement in place, Duke hoped that FERC would treat Osprey as already effectively controlled by Duke, and would therefore conclude that an acquisition would lead to no change in Duke's market share and no increase in concentration under FERC's screen. Indeed, after entering into the tolling agreement, Duke argued to FERC that its acquisition of Osprey posed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threat and did not increase concentration because Duke "already controls [Osprey] pursuant to the Tolling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combination of Duke's agreement to purchase Osprey and the contemporaneously negotiated and interdependent tolling agreement transferred beneficial ownership of Osprey's business to Duke before Duke had fulfilled its obligations under the HSR Act. As a result, Duke and Calpine did not continue to act as independent entities during the required waiting period while the Department of Justice investigated the proposed acquisition and determined whether to challenge it. Therefore, the Court should assess a civil penalty against Duke for its violation of the HSR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This Complaint is filed and these proceedings are instituted under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added by Title II of the HSR Act, to recover civil penalties for violations of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This Court has jurisdiction over the subject matter of this action pursuant to Section 7A(g) of the Clayton Act, </w:t>
      </w:r>
      <w:hyperlink r:id="rId9" w:history="1">
        <w:r>
          <w:rPr>
            <w:rFonts w:ascii="arial" w:eastAsia="arial" w:hAnsi="arial" w:cs="arial"/>
            <w:b w:val="0"/>
            <w:i/>
            <w:strike w:val="0"/>
            <w:noProof w:val="0"/>
            <w:color w:val="0077CC"/>
            <w:position w:val="0"/>
            <w:sz w:val="20"/>
            <w:u w:val="single"/>
            <w:vertAlign w:val="baseline"/>
          </w:rPr>
          <w:t>15 U.S.C. 18a(g)</w:t>
        </w:r>
      </w:hyperlink>
      <w:r>
        <w:rPr>
          <w:rFonts w:ascii="arial" w:eastAsia="arial" w:hAnsi="arial" w:cs="arial"/>
          <w:b w:val="0"/>
          <w:i w:val="0"/>
          <w:strike w:val="0"/>
          <w:noProof w:val="0"/>
          <w:color w:val="000000"/>
          <w:position w:val="0"/>
          <w:sz w:val="20"/>
          <w:u w:val="none"/>
          <w:vertAlign w:val="baseline"/>
        </w:rPr>
        <w:t xml:space="preserve">, and pursuant to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Defendant has consented to personal jurisdiction and venue in the District of Columbia for purposes of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Duke is engaged in commerce, or in activities affecting commerce, within the meaning of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Defendant Duke Energy Corporation is organized under the laws of Delaware with its principal office and place of business at 550 South Tryon Street in Charlotte, North Carolina. Through various subsidiaries, Duke Energy Corporation generates and sells </w:t>
      </w:r>
      <w:r>
        <w:rPr>
          <w:rFonts w:ascii="arial" w:eastAsia="arial" w:hAnsi="arial" w:cs="arial"/>
          <w:b/>
          <w:i w:val="0"/>
          <w:strike w:val="0"/>
          <w:noProof w:val="0"/>
          <w:color w:val="000000"/>
          <w:position w:val="0"/>
          <w:sz w:val="20"/>
          <w:u w:val="none"/>
          <w:vertAlign w:val="baseline"/>
        </w:rPr>
        <w:t> [*8847] </w:t>
      </w:r>
      <w:r>
        <w:rPr>
          <w:rFonts w:ascii="arial" w:eastAsia="arial" w:hAnsi="arial" w:cs="arial"/>
          <w:b w:val="0"/>
          <w:i w:val="0"/>
          <w:strike w:val="0"/>
          <w:noProof w:val="0"/>
          <w:color w:val="000000"/>
          <w:position w:val="0"/>
          <w:sz w:val="20"/>
          <w:u w:val="none"/>
          <w:vertAlign w:val="baseline"/>
        </w:rPr>
        <w:t xml:space="preserve"> electric power on a retail and/or wholesale basis in numerous local markets throughout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WAITING PERIOD REQUIREMENTS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HSR Act requires parties to file a notification with the Federal Trade Commission and the Department of Justice and to observe a waiting period before consummating acquisitions of voting securities or assets that exceed certain value thresholds. The required notification gives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prior notice of, and information about, proposed transactions. The waiting period provides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agencies with an opportunity to investigate and to seek an injunction to prevent harm from anticompetitive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HSR Act requirements apply to a transaction if, as a result of the transaction, the acquirer will "hold" assets or voting securities valued above the thresholds. Section 801(c)(1) of the Premerger Notification Rules, 16 CFR 800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defines "hold" to mean to have "beneficial ownership." An acquiring person may prematurely obtain beneficial ownership of assets by, among other things, assuming the risk or potential benefit of changes in the value of the relevant assets and exercising control over day-to-day business decisions of the acquired person's business before the end of the HSR waiting period. This conduct, sometimes referred to as "gun jumping," violates Section 7A of the Clayton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states that any person, or any officer, director, or partner thereof, who fails to comply with any provision of the HSR Act is liable to the United States for a civil penalty for each day during which the person is in violation. Beginning February 10, 2009, the maximum amount of civil penalty was increased to $ 16,000 per day, pursuant to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31001(s) (amending the Federal Civil Penalties Inflation Adjustment Act of 1990, </w:t>
      </w:r>
      <w:hyperlink r:id="rId14"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15"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 Pursuant to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701 (further amending the Federal Civil Penalties Inflation Adjustment Act of 1990), and Federal Trade Commission Rule 1.98, </w:t>
      </w:r>
      <w:hyperlink r:id="rId15"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 the maximum amount of civil penalty was increased to $ 40,000 per 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THE TRANSACTION AND THE DEFENDANT'S UNLAWFUL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In August 2014, Duke and Calpine reached an agreement for Duke to purchase Osprey. The parties memorialized their agreement in an August 25, 2014 term sheet. The structure of the transaction included a tolling agreement to be put into effect until the closing of the acquisition. Duke and Calpine executed the tolling agreement on September 30, 2014, and it became effective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Tolling agreements are relatively common in the electricity industry, but the circumstances surrounding Duke's tolling agreement for the Osprey plant are not. Duke said in testimony to the Florida Public Service Commission that there was no separate rationale to enter this tolling agreement independent of the acquisition. Duke was only interested in the tolling agreement as a bridge to the acquisition of the plant itself. As a Duke executive testified, the tolling agreement was a "mechanism to transfer the acquisition of the plant to [Duke]." Duke insisted that it was only willing to enter into a tolling agreement in combination with an acquisition agreement, and only if Duke had the right to terminate the tolling agreement without penalty in the event that FERC rejected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tolling agreement was designed to smooth approval by FERC by enabling Duke to argue that it "already controls" Osprey through the tolling agreement and thus that no new harm could come from permitting Duke to acquire Osprey outright. Under the tolling agreement, Duke was responsible for determining the amount of power that would be generated at Osprey, and for purchasing and delivering all the fuel necessary to produce that power. Duke was then entitled to receive all of the electricity generated by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After entering into the tolling agreement, Duke began to make all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significant decisions for the Osprey plant. Each day, Duke sent hour-by-hour instructions to Osprey personnel directing them to produce a certain amount of power. Duke also arranged to procure and deliver the necessary natural gas to Osprey--functions previously performed by Calpine. Duke also arranged for all of the power generated at Osprey to be transmitted to its destination. In other words, Duke decided when and how much natural gas would be delivered to the plant and decided when and how much energy would be produced by the plant. Duke was free to make all of these decisions based on its own business interests, and Osprey's function was limited to the mechanical operation of the facility consistent with Duke's instructions. Calpine ceased to make any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decisions for Osprey.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combination of the tolling agreement and the asset purchase agreement transferred market risk (or potential gain) of a change in the fortunes of Osprey's business. Duke paid Calpine a fixed monthly fee plus a small amount to reimburse the plant's variable operations and maintenance costs. Duke also assumed financial responsibility for procuring natural gas, the plant's primary input cost. Thus, it was Duke who gained the profit or loss from sale of the energy, and it was Duke who assumed all the risk that fuel prices would increase or that energy market prices would fall. Calpine was no longer exposed to any risk of changes in the fuel or energy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Months after the tolling agreement was executed and Duke had taken beneficial ownership of Osprey, Duke submitted a notification and report form pursuant to the HSR Act concerning its intent to acquire the Osprey plant, valued at approximately $ 166 million. On February 27, 2015,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terminated the HSR waiting period. Duke had beneficial ownership of Osprey for the entire waiting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VIOLATION OF SECTION 7A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Plaintiff alleges and incorporates paragraphs 1 through 19 as if set forth fully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Duke's acquisition of Osprey was subject to Section 7A premerger notification and waiting-period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Duke obtained beneficial ownership of Osprey prior to making its required premerger notification and observing the applicable waiting period in violation of Section 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Accordingly, Defendant was continuously in violation of the requirements of the HSR Act each day beginning on October 1, 2014, until the waiting period was terminated on February 27,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Wherefore, Plaintiff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the Court adjudge and decree that Defendant violated the HSR Act and was in violation during the period of 150 days beginning on October 1, 2014, and ending on February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order that Defendant pay to the United States an appropriate civil penalty as provided under Section 7A(g)(1) of the Clayton Act, </w:t>
      </w:r>
      <w:hyperlink r:id="rId18"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16 CFR 1.98(a)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the Court award the Plaintiff its costs of this suit;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the Court order such other and further relief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18,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B. Sallet,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 for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Potter,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Legal Policy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E. Laise,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Transportation, Energy &amp; Agriculture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Lepore,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Transportation, Energy &amp; Agriculture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Jade A. Eaton (D.C. Bar #939629)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Njeri Mugure,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Attorneys, Transportation, Energy &amp; Agriculture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 B. Kuritz,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Advisor, Legal Policy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450 Fifth Street NW., Suite 8000, Washington, DC 20530, Phone: (202) 307-6316, Facsimile: (202) 307-2784, Email: </w:t>
      </w:r>
      <w:hyperlink r:id="rId19" w:history="1">
        <w:r>
          <w:rPr>
            <w:rFonts w:ascii="arial" w:eastAsia="arial" w:hAnsi="arial" w:cs="arial"/>
            <w:b w:val="0"/>
            <w:i/>
            <w:strike w:val="0"/>
            <w:noProof w:val="0"/>
            <w:color w:val="0077CC"/>
            <w:position w:val="0"/>
            <w:sz w:val="20"/>
            <w:u w:val="single"/>
            <w:vertAlign w:val="baseline"/>
          </w:rPr>
          <w:t>jade.eaton@usdoj.gov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Duke Energy Corporation</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1:17-cv-00116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Beryl A. Howell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01/18/2017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18, 2017, the United States filed a Complaint against Defendant Duke Energy Corporation ("Duke"), related to Duke's acquisition of the Osprey Energy Center ("Osprey") from Calpine Corporation ("Calpine"). The Complaint alleges that Duke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Duke acquired Osprey, through a transaction in excess of the then-applicable statutory thresholds, without making the required HSR Act filings with the agencies and without observing the required HSR Act waiting period. The HSR Act provides that "no person shall acquire, directly or indirectly, any voting securities of any person" exceeding certain thresholds until that person has filed pre-acquisition notification and report forms with the Department of Justice and the Federal Trade Commission (collectively,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or "agencies") and the post-filing waiting period has expired.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A key purpose of the notification and waiting period is to protect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potentially anticompetitive transactions by providing the agencies an opportunity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proposed transactions before they are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Complaint was filed, the United States also filed a Stipulation and proposed Final Judgment. Under the proposed Final Judgment, which is explained more fully below, Duke is required to pay a civil penalty to the United States in the amount of $ 600,000. The proposed Final Judgment is designed to deter HSR Act violations by Duke and similarly situated acquirers.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Duke's Acquisition of Osprey Energy Center From Calpine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2014, Duke agreed to terms to purchase Osprey from Calpine,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seller of wholesale electricity nationally and in Florida. As part of the acquisition, Duke entered into a "tolling agreement" whereby Duke immediately began exercising control over Osprey's output, and immediately began reaping the day-to-day profits and losses from the plant's business. Duke, for example, assumed control of purchasing all the fuel for the plant, arranging for delivery of that fuel, and arranging for transmission of all energy generated. Duke retained the profit (or loss) from the difference between the price of the energy generated at Osprey and the cost to generate the energy, bearing all the risk of changes in the market price for fuel and the market price for energy. Based on these potential risks and rewards, Duke decided exactly how much energy would be generated by the plant on an hour-by-hour basis, and relayed those detailed instructions each day to plant personnel. Thus, from the moment the tolling agreement went into effect, Osprey ceased to be an independent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in the market for generating electricity for Florida consumers. The tolling agreement was entered months before Duke made its required HSR filing for the acquisition of Osprey.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Duke made clear in testimony filed with federal and state regulators that it only ever considered the tolling agreement in conjunction with an agreement to acquire Osprey. As Duke explained in its application to the Federal Energy Regulatory Commission ("FERC") for permission to acquire the plant, Duke's negotiation with Calpine "led to an agreement in principle whereby [Duke] would purchase power from Osprey Energy Center under a two-year power purchase agreement [the Tolling Agreement] and then purchase the facility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Duke's Alleged Violation of Section 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HSR Act was enacted, the agencies were often forced to investigate anticompetitive mergers that had already been consummated without public notice. In those situations, the agencies' only recourse was to sue to unwind the parties' merger. During this time,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continued to harm consumers, and if the court ultimately found that the merger was illegal, effective relief was often impossible to achieve. The HSR Act addressed these problems and strengthened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providing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the ability to investigate certain large acquisitions before they are consummated. In particular, the HSR Act prohibits certain acquiring parties from undertaking an acquisition before required filings are made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and a prescribed waiting period expires or is terminated.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HSR Act requirements apply to a transaction if, as a result of the transaction, the acquirer will "hold" </w:t>
      </w:r>
      <w:r>
        <w:rPr>
          <w:rFonts w:ascii="arial" w:eastAsia="arial" w:hAnsi="arial" w:cs="arial"/>
          <w:b/>
          <w:i w:val="0"/>
          <w:strike w:val="0"/>
          <w:noProof w:val="0"/>
          <w:color w:val="000000"/>
          <w:position w:val="0"/>
          <w:sz w:val="20"/>
          <w:u w:val="none"/>
          <w:vertAlign w:val="baseline"/>
        </w:rPr>
        <w:t> [*8849] </w:t>
      </w:r>
      <w:r>
        <w:rPr>
          <w:rFonts w:ascii="arial" w:eastAsia="arial" w:hAnsi="arial" w:cs="arial"/>
          <w:b w:val="0"/>
          <w:i w:val="0"/>
          <w:strike w:val="0"/>
          <w:noProof w:val="0"/>
          <w:color w:val="000000"/>
          <w:position w:val="0"/>
          <w:sz w:val="20"/>
          <w:u w:val="none"/>
          <w:vertAlign w:val="baseline"/>
        </w:rPr>
        <w:t xml:space="preserve"> assets or voting securities valued above the thresholds. Under HSR Rule 801.1(c), to "hold" assets or voting securities means "beneficial ownership, whether direct, or indirect through fiduciaries, agents, controlled entities or other means." </w:t>
      </w:r>
      <w:hyperlink r:id="rId20" w:history="1">
        <w:r>
          <w:rPr>
            <w:rFonts w:ascii="arial" w:eastAsia="arial" w:hAnsi="arial" w:cs="arial"/>
            <w:b w:val="0"/>
            <w:i/>
            <w:strike w:val="0"/>
            <w:noProof w:val="0"/>
            <w:color w:val="0077CC"/>
            <w:position w:val="0"/>
            <w:sz w:val="20"/>
            <w:u w:val="single"/>
            <w:vertAlign w:val="baseline"/>
          </w:rPr>
          <w:t>16 CFR 801.1(c)</w:t>
        </w:r>
      </w:hyperlink>
      <w:r>
        <w:rPr>
          <w:rFonts w:ascii="arial" w:eastAsia="arial" w:hAnsi="arial" w:cs="arial"/>
          <w:b w:val="0"/>
          <w:i w:val="0"/>
          <w:strike w:val="0"/>
          <w:noProof w:val="0"/>
          <w:color w:val="000000"/>
          <w:position w:val="0"/>
          <w:sz w:val="20"/>
          <w:u w:val="none"/>
          <w:vertAlign w:val="baseline"/>
        </w:rPr>
        <w:t xml:space="preserve">. Thus, under the Act, parties must make an HSR filing and observe a waiting period before transferring beneficial ownership of the assets or voting securities to be acquired. The Statement of Basis and Purpose accompanying the Rules explains that beneficial ownership is determined on a case-by-case basis, based on the indicia of beneficial ownership which include among others, the right to obtain the benefit of any increase in value or dividends, and the risk of loss of value. </w:t>
      </w:r>
      <w:r>
        <w:rPr>
          <w:rFonts w:ascii="arial" w:eastAsia="arial" w:hAnsi="arial" w:cs="arial"/>
          <w:b w:val="0"/>
          <w:i/>
          <w:strike w:val="0"/>
          <w:noProof w:val="0"/>
          <w:color w:val="000000"/>
          <w:position w:val="0"/>
          <w:sz w:val="20"/>
          <w:u w:val="none"/>
          <w:vertAlign w:val="baseline"/>
        </w:rPr>
        <w:t>43 FR 33,449</w:t>
      </w:r>
      <w:r>
        <w:rPr>
          <w:rFonts w:ascii="arial" w:eastAsia="arial" w:hAnsi="arial" w:cs="arial"/>
          <w:b w:val="0"/>
          <w:i w:val="0"/>
          <w:strike w:val="0"/>
          <w:noProof w:val="0"/>
          <w:color w:val="000000"/>
          <w:position w:val="0"/>
          <w:sz w:val="20"/>
          <w:u w:val="none"/>
          <w:vertAlign w:val="baseline"/>
        </w:rPr>
        <w:t xml:space="preserve"> (July 31, 1978). The agencies have explained that a firm may also gain beneficial ownership by obtaining "operational control" of an asset.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Complaint,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Flakeboard Am. Ltd.,</w:t>
      </w:r>
      <w:r>
        <w:rPr>
          <w:rFonts w:ascii="arial" w:eastAsia="arial" w:hAnsi="arial" w:cs="arial"/>
          <w:b w:val="0"/>
          <w:i w:val="0"/>
          <w:strike w:val="0"/>
          <w:noProof w:val="0"/>
          <w:color w:val="000000"/>
          <w:position w:val="0"/>
          <w:sz w:val="20"/>
          <w:u w:val="none"/>
          <w:vertAlign w:val="baseline"/>
        </w:rPr>
        <w:t xml:space="preserve"> No. 3:14-cv-4949 (N.D. Cal. Nov. 7, 2014),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https://www.justice.gov/atr/case-document/file/496511/download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Complaint,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Smithfield Foods, Inc.,</w:t>
      </w:r>
      <w:r>
        <w:rPr>
          <w:rFonts w:ascii="arial" w:eastAsia="arial" w:hAnsi="arial" w:cs="arial"/>
          <w:b w:val="0"/>
          <w:i w:val="0"/>
          <w:strike w:val="0"/>
          <w:noProof w:val="0"/>
          <w:color w:val="000000"/>
          <w:position w:val="0"/>
          <w:sz w:val="20"/>
          <w:u w:val="none"/>
          <w:vertAlign w:val="baseline"/>
        </w:rPr>
        <w:t xml:space="preserve"> No. 1:10-cv-00120 (D.D.C. Jan. 21, 2010),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https://www.justice.gov/atr/case-document/complaint-211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Complaint,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Qualcomm Inc.,</w:t>
      </w:r>
      <w:r>
        <w:rPr>
          <w:rFonts w:ascii="arial" w:eastAsia="arial" w:hAnsi="arial" w:cs="arial"/>
          <w:b w:val="0"/>
          <w:i w:val="0"/>
          <w:strike w:val="0"/>
          <w:noProof w:val="0"/>
          <w:color w:val="000000"/>
          <w:position w:val="0"/>
          <w:sz w:val="20"/>
          <w:u w:val="none"/>
          <w:vertAlign w:val="baseline"/>
        </w:rPr>
        <w:t xml:space="preserve"> No. 1:06CV00672 (PLF) (D.D.C. Apr. 13, 2006),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https://www.justice.gov/atr/case-document/complaint-civil-penalties-violation-premerger-reporting-requirements-hart-scott-0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combination of Duke's agreement to purchase Osprey and the tolling agreement transferred beneficial ownership of Osprey's business to Duke before Duke had fulfilled its obligations under the HSR Act. Duke's tolling agreement with Calpine gave it significant operational control over the Osprey plant, and allowed Duke to assume the risks or potential benefits of changes in the value of Osprey's business. Duke procured and decided how much fuel would be delivered to the plant, decided when and how much energy would be produced by the plant, and decided when and where that energy would be delivered. Calpine's function was limited to the mechanical operation of the Osprey facility consistent with Duke's instructions. In addition, Duke, and not Calpine, retained the margin between the cost of gas and the price of electricity. If the spread between the cost of gas and the market price of electricity increased or decreased prior to closing, Duke realized that gain or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tolling agreement alone does not necessarily confer beneficial ownership. Tolling agreements are relatively common in the electricity industry, and control over output and the shift of risk and benefit to the buyer over the term are typical features of such agreements. However, in this instance, as Duke admitted to regulators, the tolling agreement for the Osprey plant was entered as part and parcel of a broader agreement to acquire the plant and had no economic rationale independent from the acquisition. Considering the intertwined agreements in their totality, Calpine ceased to be an independent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in the market after entering the tolling agreement, and beneficial ownership of Osprey transferred to Duke.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Agreements that transfer some indicia of beneficial ownership, even if common in an industry, may violate Section 7A if entered into while the buyer intends to acquire the asset. n2 Entering into such agreements before filing the required HSR notifications and before the HSR waiting period expires defeats the purpose of the HSR Act by enabling the acquiring person to direct the acquired person's business to bring about the effects of an acquisition prior to completion of the agencies'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Hence, Duke's obligation to file and observe the waiting period arose as of October 1, 2014, the effective date of the tolling agreement relating to the plant it intended to acquire.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example, the Department expressed this view in a 1996 speech by former Deputy Assistant Attorney General Larry Fullerton in which he discussed certain management contracts sometimes entered into by radio stations. Lawrence R. Fullerton, Deputy Assistant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Dep't of Justice, Address at Business Development Associates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1997 Conference (Oct. 21, 1996),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https://www.justice.gov/atr/file/518686/download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imposes a $ 600,000 civil penalty for violation of the HSR Act. The United States adjusted the penalty downward from the maximum permitted under the HSR Act in part because the Defendant was willing to resolve the matter by consent decree and avoid prolonged investigation and litigation. The relief will have a beneficial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it will deter future instances in which parties seek to immediately remove an independent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from an industry before filing required pre-acquisition notifications with the agencies and observing the required waiting period. At the same time, the penalty will not have any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HSR Act violations; therefore,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 have stipulated that the proposed Final Judgment may be entered by this Court after compliance with the provisions of the APPA, provided that the United States has not withdrawn its consent. The APPA conditions entry of the decree upon this Court's determination that the proposed Final Judgment is in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this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 Caroline Laise, Assistant Chief, Transportation Energy and Agriculture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Suite 8000, Washington, DC 20530, </w:t>
      </w:r>
      <w:hyperlink r:id="rId25" w:history="1">
        <w:r>
          <w:rPr>
            <w:rFonts w:ascii="arial" w:eastAsia="arial" w:hAnsi="arial" w:cs="arial"/>
            <w:b w:val="0"/>
            <w:i/>
            <w:strike w:val="0"/>
            <w:noProof w:val="0"/>
            <w:color w:val="0077CC"/>
            <w:position w:val="0"/>
            <w:sz w:val="20"/>
            <w:u w:val="single"/>
            <w:vertAlign w:val="baseline"/>
          </w:rPr>
          <w:t>Caroline.Laise@usdoj.gov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this Court retains jurisdiction over this action, and the parties may apply to this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the Defendant. The United States is satisfied, however, that the proposed relief is an appropriate remedy in this matter. Given the facts of </w:t>
      </w:r>
      <w:r>
        <w:rPr>
          <w:rFonts w:ascii="arial" w:eastAsia="arial" w:hAnsi="arial" w:cs="arial"/>
          <w:b/>
          <w:i w:val="0"/>
          <w:strike w:val="0"/>
          <w:noProof w:val="0"/>
          <w:color w:val="000000"/>
          <w:position w:val="0"/>
          <w:sz w:val="20"/>
          <w:u w:val="none"/>
          <w:vertAlign w:val="baseline"/>
        </w:rPr>
        <w:t> [*8850] </w:t>
      </w:r>
      <w:r>
        <w:rPr>
          <w:rFonts w:ascii="arial" w:eastAsia="arial" w:hAnsi="arial" w:cs="arial"/>
          <w:b w:val="0"/>
          <w:i w:val="0"/>
          <w:strike w:val="0"/>
          <w:noProof w:val="0"/>
          <w:color w:val="000000"/>
          <w:position w:val="0"/>
          <w:sz w:val="20"/>
          <w:u w:val="none"/>
          <w:vertAlign w:val="baseline"/>
        </w:rPr>
        <w:t xml:space="preserve"> this case, the United States is satisfied that the proposed civil penalty is sufficient to address the violation alleged in the Complaint and to deter violations by similarly situated entities in the future, without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 (60) 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16(e)(1)(A) &amp; (B). In considering these statutory factors, the court's inquiry is necessarily a limited one, as the government is entitled to "broad discretion to settle with the defendant within the reaches of the public interest." </w:t>
      </w:r>
      <w:hyperlink r:id="rId26"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7"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8"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of the adequacy of the relief at issue); </w:t>
      </w:r>
      <w:hyperlink r:id="rId29"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a court conducting an inquiry under the APPA may consider,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30"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31"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n4 In determining whether a proposed settlement is in the public interest, a district court "must accord deference to the government's predictions about the efficacy of its remedies, and may not require that the remedies perfectly match the alleged violations." </w:t>
      </w:r>
      <w:hyperlink r:id="rId27"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3"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government's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Cf. </w:t>
      </w:r>
      <w:hyperlink r:id="rId30"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4"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4"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5"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7"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6"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(concluding that "the public interest' is not to be measured by comparing the violations alleged in the complaint against those the court believes could have, or even should have, been </w:t>
      </w:r>
      <w:r>
        <w:rPr>
          <w:rFonts w:ascii="arial" w:eastAsia="arial" w:hAnsi="arial" w:cs="arial"/>
          <w:b/>
          <w:i w:val="0"/>
          <w:strike w:val="0"/>
          <w:noProof w:val="0"/>
          <w:color w:val="000000"/>
          <w:position w:val="0"/>
          <w:sz w:val="20"/>
          <w:u w:val="none"/>
          <w:vertAlign w:val="baseline"/>
        </w:rPr>
        <w:t> [*8851] </w:t>
      </w:r>
      <w:r>
        <w:rPr>
          <w:rFonts w:ascii="arial" w:eastAsia="arial" w:hAnsi="arial" w:cs="arial"/>
          <w:b w:val="0"/>
          <w:i w:val="0"/>
          <w:strike w:val="0"/>
          <w:noProof w:val="0"/>
          <w:color w:val="000000"/>
          <w:position w:val="0"/>
          <w:sz w:val="20"/>
          <w:u w:val="none"/>
          <w:vertAlign w:val="baseline"/>
        </w:rPr>
        <w:t xml:space="preserve">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6"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7" w:history="1">
        <w:r>
          <w:rPr>
            <w:rFonts w:ascii="arial" w:eastAsia="arial" w:hAnsi="arial" w:cs="arial"/>
            <w:b w:val="0"/>
            <w:i/>
            <w:strike w:val="0"/>
            <w:noProof w:val="0"/>
            <w:color w:val="0077CC"/>
            <w:position w:val="0"/>
            <w:sz w:val="20"/>
            <w:u w:val="single"/>
            <w:vertAlign w:val="baseline"/>
          </w:rPr>
          <w:t>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This language codified what Congress intended when it enacted the Tunney Act in 1974, as the author of this legislation,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7"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n5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8"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 xml:space="preserve">See also </w:t>
      </w:r>
      <w:hyperlink r:id="rId36"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 v. Mid-Am. Dairymen, Inc.,</w:t>
      </w:r>
      <w:r>
        <w:rPr>
          <w:rFonts w:ascii="arial" w:eastAsia="arial" w:hAnsi="arial" w:cs="arial"/>
          <w:b w:val="0"/>
          <w:i w:val="0"/>
          <w:strike w:val="0"/>
          <w:noProof w:val="0"/>
          <w:color w:val="000000"/>
          <w:position w:val="0"/>
          <w:sz w:val="20"/>
          <w:u w:val="none"/>
          <w:vertAlign w:val="baseline"/>
        </w:rPr>
        <w:t xml:space="preserve"> No. 73-</w:t>
      </w:r>
      <w:hyperlink r:id="rId37"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January 18,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/s/ 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Lepore,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8000, Washington, DC 20530, Phone: (202) 532-4928, Facsimile: (202) 307-2784, Email: </w:t>
      </w:r>
      <w:hyperlink r:id="rId38" w:history="1">
        <w:r>
          <w:rPr>
            <w:rFonts w:ascii="arial" w:eastAsia="arial" w:hAnsi="arial" w:cs="arial"/>
            <w:b w:val="0"/>
            <w:i/>
            <w:strike w:val="0"/>
            <w:noProof w:val="0"/>
            <w:color w:val="0077CC"/>
            <w:position w:val="0"/>
            <w:sz w:val="20"/>
            <w:u w:val="single"/>
            <w:vertAlign w:val="baseline"/>
          </w:rPr>
          <w:t>robert.lepore@usdoj.gov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Duke Energy Corporation,</w:t>
      </w:r>
      <w:r>
        <w:rPr>
          <w:rFonts w:ascii="arial" w:eastAsia="arial" w:hAnsi="arial" w:cs="arial"/>
          <w:b w:val="0"/>
          <w:i w:val="0"/>
          <w:strike w:val="0"/>
          <w:noProof w:val="0"/>
          <w:color w:val="000000"/>
          <w:position w:val="0"/>
          <w:sz w:val="20"/>
          <w:u w:val="none"/>
          <w:vertAlign w:val="baseline"/>
        </w:rPr>
        <w:t xml:space="preserv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1:17-cv-00116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Beryl A. Howell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01/18/2017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Plaintiff, United States of America, filed this action on January 18, 2017, alleging that Defendant, Duke Energy Corporation,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and the United States and Defendant, by their respective attorneys, have consented to the entry of this Final Judgment without trial or adjudication of any issue of fact or law and without this Final Judgment constituting any evidence against or an admission by the Defendant with respect to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jurisdiction over the subject matter of and each of the parties to this action. The Complaint states a claim upon which relief may be granted against the Defendant under Section 7A of the Clayton Act,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CIVIL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Judgment is hereby entered in this matter in favor of Plaintiff United States of America and against Defendant Duke Energy Corporation, and pursuant to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 31001(s) (amending the Federal Civil Penalties Inflation Adjustment Act of 1990, </w:t>
      </w:r>
      <w:hyperlink r:id="rId14"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and Federal Trade Commission Rule 1.98, </w:t>
      </w:r>
      <w:hyperlink r:id="rId15"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61 FR 54549</w:t>
        </w:r>
      </w:hyperlink>
      <w:r>
        <w:rPr>
          <w:rFonts w:ascii="arial" w:eastAsia="arial" w:hAnsi="arial" w:cs="arial"/>
          <w:b w:val="0"/>
          <w:i w:val="0"/>
          <w:strike w:val="0"/>
          <w:noProof w:val="0"/>
          <w:color w:val="000000"/>
          <w:position w:val="0"/>
          <w:sz w:val="20"/>
          <w:u w:val="none"/>
          <w:vertAlign w:val="baseline"/>
        </w:rPr>
        <w:t xml:space="preserve"> (Oct. 21, 1996), and </w:t>
      </w:r>
      <w:hyperlink r:id="rId16"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 and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701 (further amending the Federal Civil Penalties Inflation Adjustment Act of 1990), and Federal Trade Commission Rule 1.98, </w:t>
      </w:r>
      <w:hyperlink r:id="rId15"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 Defendant is hereby ordered to pay a civil penalty in the amount of six hundred thousand dollars ($ 600,000). Payment of the civil penalty ordered shall be made by wire transfer of funds or cashier's check. If the payment is made by wire transfer, Defendant shall contact Janie Ingalls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at (202) 514-2481 for instructions before making the transfer. If the payment is made by cashier's check, the check shall be made payable to the United States Department of Justice and delivered to: Janie Ingalls,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450 Fifth Street NW., Suite 1024,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shall pay the full amount of the civil penalty within thirty (30) days of entry of this Final Judgment. In the event of a default or delay in payment, interest at the rate of eighteen (18) percent per annum shall accrue thereon from the date of default to the date of payment.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party shall bear its own costs of this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2017-02026 Filed 1-30-17;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8845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N81-NRF4-4291-00000-00&amp;context=" TargetMode="External" /><Relationship Id="rId12" Type="http://schemas.openxmlformats.org/officeDocument/2006/relationships/hyperlink" Target="https://advance.lexis.com/api/document?collection=statutes-legislation&amp;id=urn:contentItem:4YF7-GR51-NRF4-407Y-00000-00&amp;context=" TargetMode="External" /><Relationship Id="rId13" Type="http://schemas.openxmlformats.org/officeDocument/2006/relationships/hyperlink" Target="https://advance.lexis.com/api/document?collection=statutes-legislation&amp;id=urn:contentItem:4YF7-GK61-NRF4-42PV-00000-00&amp;context=" TargetMode="External" /><Relationship Id="rId14" Type="http://schemas.openxmlformats.org/officeDocument/2006/relationships/hyperlink" Target="https://advance.lexis.com/api/document?collection=statutes-legislation&amp;id=urn:contentItem:4YF7-GP01-NRF4-44H2-00000-00&amp;context=" TargetMode="External" /><Relationship Id="rId15" Type="http://schemas.openxmlformats.org/officeDocument/2006/relationships/hyperlink" Target="https://advance.lexis.com/api/document?collection=administrative-codes&amp;id=urn:contentItem:5RHV-NCN0-008G-Y05S-00000-00&amp;context=" TargetMode="External" /><Relationship Id="rId16" Type="http://schemas.openxmlformats.org/officeDocument/2006/relationships/hyperlink" Target="https://advance.lexis.com/api/document?collection=administrative-codes&amp;id=urn:contentItem:4VBD-9H80-006W-810N-00000-00&amp;context=" TargetMode="External" /><Relationship Id="rId17" Type="http://schemas.openxmlformats.org/officeDocument/2006/relationships/hyperlink" Target="https://advance.lexis.com/api/document?collection=administrative-codes&amp;id=urn:contentItem:5K4B-C540-006W-81KV-00000-00&amp;context="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mailto:jade.eaton@usdoj.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V3-PDK0-008G-Y4FD-00000-00&amp;context=" TargetMode="External" /><Relationship Id="rId21" Type="http://schemas.openxmlformats.org/officeDocument/2006/relationships/hyperlink" Target="https://www.justice.gov/atr/case-document/file/496511/download" TargetMode="External" /><Relationship Id="rId22" Type="http://schemas.openxmlformats.org/officeDocument/2006/relationships/hyperlink" Target="https://www.justice.gov/atr/case-document/complaint-211" TargetMode="External" /><Relationship Id="rId23" Type="http://schemas.openxmlformats.org/officeDocument/2006/relationships/hyperlink" Target="https://www.justice.gov/atr/case-document/complaint-civil-penalties-violation-premerger-reporting-requirements-hart-scott-0" TargetMode="External" /><Relationship Id="rId24" Type="http://schemas.openxmlformats.org/officeDocument/2006/relationships/hyperlink" Target="https://www.justice.gov/atr/file/518686/download" TargetMode="External" /><Relationship Id="rId25" Type="http://schemas.openxmlformats.org/officeDocument/2006/relationships/hyperlink" Target="mailto:Caroline.Laise@usdoj.gov" TargetMode="External" /><Relationship Id="rId26" Type="http://schemas.openxmlformats.org/officeDocument/2006/relationships/hyperlink" Target="https://advance.lexis.com/api/document?collection=cases&amp;id=urn:contentItem:3RTP-83N0-001T-D0C7-00000-00&amp;context=" TargetMode="External" /><Relationship Id="rId27" Type="http://schemas.openxmlformats.org/officeDocument/2006/relationships/hyperlink" Target="https://advance.lexis.com/api/document?collection=cases&amp;id=urn:contentItem:4NCK-65B0-TVT3-D3DR-00000-00&amp;context=" TargetMode="External" /><Relationship Id="rId28" Type="http://schemas.openxmlformats.org/officeDocument/2006/relationships/hyperlink" Target="https://advance.lexis.com/api/document?collection=cases&amp;id=urn:contentItem:5C2F-7GX1-F04C-Y0FY-00000-00&amp;context=" TargetMode="External" /><Relationship Id="rId29" Type="http://schemas.openxmlformats.org/officeDocument/2006/relationships/hyperlink" Target="https://advance.lexis.com/api/document?collection=cases&amp;id=urn:contentItem:4X85-40M0-TXFP-H38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W-Y8S0-001B-K1MJ-00000-00&amp;context=" TargetMode="External" /><Relationship Id="rId31" Type="http://schemas.openxmlformats.org/officeDocument/2006/relationships/hyperlink" Target="https://advance.lexis.com/api/document?collection=cases&amp;id=urn:contentItem:3S4X-16H0-0039-W1PJ-00000-00&amp;context=" TargetMode="External" /><Relationship Id="rId32" Type="http://schemas.openxmlformats.org/officeDocument/2006/relationships/hyperlink" Target="https://advance.lexis.com/api/document?collection=cases&amp;id=urn:contentItem:44N5-9DK0-0038-Y4CW-00000-00&amp;context=" TargetMode="External" /><Relationship Id="rId33" Type="http://schemas.openxmlformats.org/officeDocument/2006/relationships/hyperlink" Target="https://advance.lexis.com/api/document?collection=cases&amp;id=urn:contentItem:494T-VD60-0038-Y0P1-00000-00&amp;context=" TargetMode="External" /><Relationship Id="rId34" Type="http://schemas.openxmlformats.org/officeDocument/2006/relationships/hyperlink" Target="https://advance.lexis.com/api/document?collection=cases&amp;id=urn:contentItem:3S4V-KH30-0054-6289-00000-00&amp;context=" TargetMode="External" /><Relationship Id="rId35" Type="http://schemas.openxmlformats.org/officeDocument/2006/relationships/hyperlink" Target="https://advance.lexis.com/api/document?collection=cases&amp;id=urn:contentItem:3S4X-53H0-003B-S0M5-00000-00&amp;context=" TargetMode="External" /><Relationship Id="rId36" Type="http://schemas.openxmlformats.org/officeDocument/2006/relationships/hyperlink" Target="https://advance.lexis.com/api/document?collection=cases&amp;id=urn:contentItem:40T2-X8J0-0038-Y2SJ-00000-00&amp;context=" TargetMode="External" /><Relationship Id="rId37" Type="http://schemas.openxmlformats.org/officeDocument/2006/relationships/hyperlink" Target="https://advance.lexis.com/api/document?collection=cases&amp;id=urn:contentItem:3S4N-V3J0-0054-72HT-00000-00&amp;context=" TargetMode="External" /><Relationship Id="rId38" Type="http://schemas.openxmlformats.org/officeDocument/2006/relationships/hyperlink" Target="mailto:robert.lepore@usdoj.gov" TargetMode="External" /><Relationship Id="rId39" Type="http://schemas.openxmlformats.org/officeDocument/2006/relationships/hyperlink" Target="https://advance.lexis.com/api/document?collection=administrative-codes&amp;id=urn:contentItem:3SHB-Y7B0-006W-91X8-00000-00&amp;context=" TargetMode="Externa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S6-1YH0-006W-84N0-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J1-NRF4-451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92703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71338759</vt:lpwstr>
  </property>
  <property fmtid="{D5CDD505-2E9C-101B-9397-08002B2CF9AE}" pid="3" name="LADocCount">
    <vt:lpwstr>1</vt:lpwstr>
  </property>
  <property fmtid="{D5CDD505-2E9C-101B-9397-08002B2CF9AE}" pid="4" name="UserPermID">
    <vt:lpwstr>urn:user:PA185916758</vt:lpwstr>
  </property>
</Properties>
</file>