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8858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019, Tuesday, January 31,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8858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31,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Ahmet H. Okumus;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Ahmet H. Okumus,</w:t>
      </w:r>
      <w:r>
        <w:rPr>
          <w:rFonts w:ascii="arial" w:eastAsia="arial" w:hAnsi="arial" w:cs="arial"/>
          <w:b w:val="0"/>
          <w:i w:val="0"/>
          <w:strike w:val="0"/>
          <w:noProof w:val="0"/>
          <w:color w:val="000000"/>
          <w:position w:val="0"/>
          <w:sz w:val="20"/>
          <w:u w:val="none"/>
          <w:vertAlign w:val="baseline"/>
        </w:rPr>
        <w:t xml:space="preserve"> Civil Action No. 1:17-cv-00104. On January 17, 2017, the United States filed a Complaint alleging that Ahmet H. Okumus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with respect to his acquisition of voting securities of Web.com Group, Inc. The proposed Final Judgment, filed at the same time as the Complaint, requires Ahmet H. Okumus to pay a civil penalty of $ 180,000.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Daniel P. Ducore, Special Attorney, United States, c/o Federal Trade Commission, 600 Pennsylvania Avenue NW., CC-8416, Washington DC 20580 (telephone: 202-326-2526; 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c/o Department of Justice,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Ahmet H. Okumus, 767 Third Avenue, 35th Floor, New York, NY 10017</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01/17/2017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 FOR CIVIL PENALTIES FOR FAILURE TO COMPLY WITH THE PREMERGER REPORTING AND WAITING REQUIREMENTS OF THE HART-SCOTT RODINO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by its attorneys, acting under the direction of the Attorney General of the United States and at the request of the Federal Trade Commission,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obtain monetary relief in the form of civil penalties against Defendant Ahmet H. Okumus ("Okumus"). Plaintiff alleges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THE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Okumus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or "Act"), with respect to the acquisition of voting securities of Web.com Group, Inc. ("Web.com").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Court has jurisdiction over the subject matter of this action pursuant to 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xml:space="preserve"> and over the Defendant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Venue is properly based in this District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Defendant Okumus is a natural person with his principal office and place of business at 767 Third Avenue, 35th Floor, New York, NY 10017. Okumus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Okumus had sales or assets in excess of $ 156.3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Web.com is a corporation organized under the laws of Delaware with its principal place of business at 12808 Gran Bay Parkway West, Jacksonville, FL 32258. Web.com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Web.com had sales or assets in excess of $ 15.6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HART-SCOTT-RODINO ACT AND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HSR Act requires certain acquiring persons and certain persons whose voting securities or assets are acquired to file notifications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to observe a waiting period before consummating certain acquisitions of voting securities or assets.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and (b). These notification and waiting period requirements apply to acquisitions that meet the HSR Act's thresholds. As of February 1, 2001, the size of transaction threshold was $ 50 million. In addition, there is a separate filing requirement for transactions in which the acquirer will hold voting securities in excess of $ 100 million, and for transactions in which the acquirer will hold voting securities in excess of $ 500 million. With respect to the size of person thresholds, the HSR Act requires one person involved in the transaction to have sales or assets in excess of $ 10 million, and the other person to have sales or assets in excess of $ 100 million. Since 2004, the size of transaction and size of person thresholds have been adjusted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HSR Act's notification and waiting period requirements are intended to give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is also </w:t>
      </w:r>
      <w:r>
        <w:rPr>
          <w:rFonts w:ascii="arial" w:eastAsia="arial" w:hAnsi="arial" w:cs="arial"/>
          <w:b/>
          <w:i w:val="0"/>
          <w:strike w:val="0"/>
          <w:noProof w:val="0"/>
          <w:color w:val="000000"/>
          <w:position w:val="0"/>
          <w:sz w:val="20"/>
          <w:u w:val="none"/>
          <w:vertAlign w:val="baseline"/>
        </w:rPr>
        <w:t> [*8859] </w:t>
      </w:r>
      <w:r>
        <w:rPr>
          <w:rFonts w:ascii="arial" w:eastAsia="arial" w:hAnsi="arial" w:cs="arial"/>
          <w:b w:val="0"/>
          <w:i w:val="0"/>
          <w:strike w:val="0"/>
          <w:noProof w:val="0"/>
          <w:color w:val="000000"/>
          <w:position w:val="0"/>
          <w:sz w:val="20"/>
          <w:u w:val="none"/>
          <w:vertAlign w:val="baseline"/>
        </w:rPr>
        <w:t xml:space="preserve"> intended to provide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with an opportunity to investigate a proposed transaction and to determine whether to seek an injunction to prevent the consummation of a transaction that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Section (c)(9) of the HSR Act,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exempts from the requirements of the HSR Act acquisitions of voting securities made solely for the purpose of investment if, as a result of the acquisition, the securities acquired or held do not exceed ten percent of the outstanding voting securities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Pursuant to Section (d)(2) of the HSR Act, </w:t>
      </w:r>
      <w:hyperlink r:id="rId9" w:history="1">
        <w:r>
          <w:rPr>
            <w:rFonts w:ascii="arial" w:eastAsia="arial" w:hAnsi="arial" w:cs="arial"/>
            <w:b w:val="0"/>
            <w:i/>
            <w:strike w:val="0"/>
            <w:noProof w:val="0"/>
            <w:color w:val="0077CC"/>
            <w:position w:val="0"/>
            <w:sz w:val="20"/>
            <w:u w:val="single"/>
            <w:vertAlign w:val="baseline"/>
          </w:rPr>
          <w:t>15 U.S.C. 18a(d)(2)</w:t>
        </w:r>
      </w:hyperlink>
      <w:r>
        <w:rPr>
          <w:rFonts w:ascii="arial" w:eastAsia="arial" w:hAnsi="arial" w:cs="arial"/>
          <w:b w:val="0"/>
          <w:i w:val="0"/>
          <w:strike w:val="0"/>
          <w:noProof w:val="0"/>
          <w:color w:val="000000"/>
          <w:position w:val="0"/>
          <w:sz w:val="20"/>
          <w:u w:val="none"/>
          <w:vertAlign w:val="baseline"/>
        </w:rPr>
        <w:t>, rules were promulgated to carry out the purposes of the HSR Act. 16 CFR 801-03 ("HSR Rules"). The HSR Rules, among other things, define terms contained in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Pursuant to section 801.13(a)(1) of the HSR Rules, </w:t>
      </w:r>
      <w:hyperlink r:id="rId16" w:history="1">
        <w:r>
          <w:rPr>
            <w:rFonts w:ascii="arial" w:eastAsia="arial" w:hAnsi="arial" w:cs="arial"/>
            <w:b w:val="0"/>
            <w:i/>
            <w:strike w:val="0"/>
            <w:noProof w:val="0"/>
            <w:color w:val="0077CC"/>
            <w:position w:val="0"/>
            <w:sz w:val="20"/>
            <w:u w:val="single"/>
            <w:vertAlign w:val="baseline"/>
          </w:rPr>
          <w:t>16 CFR 801.13(a)(1)</w:t>
        </w:r>
      </w:hyperlink>
      <w:r>
        <w:rPr>
          <w:rFonts w:ascii="arial" w:eastAsia="arial" w:hAnsi="arial" w:cs="arial"/>
          <w:b w:val="0"/>
          <w:i w:val="0"/>
          <w:strike w:val="0"/>
          <w:noProof w:val="0"/>
          <w:color w:val="000000"/>
          <w:position w:val="0"/>
          <w:sz w:val="20"/>
          <w:u w:val="none"/>
          <w:vertAlign w:val="baseline"/>
        </w:rPr>
        <w:t>, "all voting securities of [an] issuer which will be held by the acquiring person after the consummation of an acquisition"--including any held before the acquisition--are deemed held "as a result of" the acquisition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Pursuant to sections 801.13(a)(2) and 801.10(c)(1) of the HSR Rules, </w:t>
      </w:r>
      <w:hyperlink r:id="rId16" w:history="1">
        <w:r>
          <w:rPr>
            <w:rFonts w:ascii="arial" w:eastAsia="arial" w:hAnsi="arial" w:cs="arial"/>
            <w:b w:val="0"/>
            <w:i/>
            <w:strike w:val="0"/>
            <w:noProof w:val="0"/>
            <w:color w:val="0077CC"/>
            <w:position w:val="0"/>
            <w:sz w:val="20"/>
            <w:u w:val="single"/>
            <w:vertAlign w:val="baseline"/>
          </w:rPr>
          <w:t>16 CFR 801.13(a)(2)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801.10(c)(1)</w:t>
        </w:r>
      </w:hyperlink>
      <w:r>
        <w:rPr>
          <w:rFonts w:ascii="arial" w:eastAsia="arial" w:hAnsi="arial" w:cs="arial"/>
          <w:b w:val="0"/>
          <w:i w:val="0"/>
          <w:strike w:val="0"/>
          <w:noProof w:val="0"/>
          <w:color w:val="000000"/>
          <w:position w:val="0"/>
          <w:sz w:val="20"/>
          <w:u w:val="none"/>
          <w:vertAlign w:val="baseline"/>
        </w:rPr>
        <w:t>, the value of voting securities already held is the market price, defined to be the lowest closing price within 45 days prior to the subsequent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Section 802.21 of the HSR Rules, </w:t>
      </w:r>
      <w:hyperlink r:id="rId18" w:history="1">
        <w:r>
          <w:rPr>
            <w:rFonts w:ascii="arial" w:eastAsia="arial" w:hAnsi="arial" w:cs="arial"/>
            <w:b w:val="0"/>
            <w:i/>
            <w:strike w:val="0"/>
            <w:noProof w:val="0"/>
            <w:color w:val="0077CC"/>
            <w:position w:val="0"/>
            <w:sz w:val="20"/>
            <w:u w:val="single"/>
            <w:vertAlign w:val="baseline"/>
          </w:rPr>
          <w:t>16 CFR 802.21</w:t>
        </w:r>
      </w:hyperlink>
      <w:r>
        <w:rPr>
          <w:rFonts w:ascii="arial" w:eastAsia="arial" w:hAnsi="arial" w:cs="arial"/>
          <w:b w:val="0"/>
          <w:i w:val="0"/>
          <w:strike w:val="0"/>
          <w:noProof w:val="0"/>
          <w:color w:val="000000"/>
          <w:position w:val="0"/>
          <w:sz w:val="20"/>
          <w:u w:val="none"/>
          <w:vertAlign w:val="baseline"/>
        </w:rPr>
        <w:t>, provides that once a person has filed under the HSR Act and the waiting period has expired, the person can acquire additional voting securities of the issuer without making a new filing for five years from the expiration of the waiting period, so long as the holdings do not exceed a higher threshold than was indicated in the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provides that any person, or any officer, director, or partner thereof, who fails to comply with any provision of the HSR Act is liable to the United States for a civil penalty for each day during which such person is in violation. Pursuant to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701 (further amending the Federal Civil Penalties Inflation Adjustment Act of 1990), and Federal Trade Commission Rule 1.98, </w:t>
      </w:r>
      <w:hyperlink r:id="rId19"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the maximum amount of civil penalty is $ 40,000 per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 PRIOR VIOLATION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On September 11, 2014, Okumus acquired voting securities of Web.com. As a result of this acquisition, Okumus held approximately 13.5% of the voting securities of Web.com. Okumus did not file under the HSR Act because he was relying on the exemption for acquisitions solely for the purpose of investment. However, that exemption is limited to acquisitions which result in holding 10% or less of the voting securities of the issuer. Accordingly, Okumus was required to file under the HSR Act prior to acquiring Web.com voting securities on September 11, 2014. Okumus continued to acquire voting securities of Web.com through November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November 21, 2014, Okumus made a corrective filing under the HSR Act for the acquisitions of Web.com voting securities. In a letter accompanying the corrective filing, Okumus acknowledged that the transaction was reportable under the HSR Act, but asserted that the failure to file and observe the waiting period was inadvertent.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On December 31, 2014, the Premerger Notification Office of the Federal Trade Commission sent a letter to Okumus indicating that it would not recommend a civil penalty action regarding the September 11, 2014, Web.com acquisition. The letter advised, however, that Okumus "still must bear responsibility for compliance with the Act" and was "accountable for instituting an effective program to ensure full compliance with the Act's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 VIOLATION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 his corrective HSR Act filing for the 2014 Web.com acquisitions, Okumus filed at the $ 50 million threshold. After the expiration of the waiting period, Okumus was permitted under the HSR Act to acquire additional voting securities of Web.com without making another HSR Act filing so long as he did not exceed the $ 100 million threshold, as adjusted. As of February 25, 2016, the adjusted $ 100 million threshold was $ 156.3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On June 2, 2016, Okumus began acquiring additional voting securities of Web.com. Okumus continued to acquire additional voting securities of Web.com through June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On June 27, 2016, Okumus acquired 236,589 voting securities of Web.com. As a result of this acquisition, Okumus held voting securities of Web.com valued in excess of the $ 156.3 million threshold then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Although required to do so, Okumus did not file under the HSR Act or observe the HSR Act's waiting period prior to completing the June 27, 2016,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On July 14, 2016, Okumus sold 33,200 voting securities of Web.com. As a result of this sale, Okumus no longer held voting securities of Web.com valued in excess of the $ 156.3 million HSR Act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Okumus was in continuous violation of the HSR Act from June 27, 2016, when he acquired the Web.com voting securities valued in excess of the HSR Act's then applicable $ 156.3 filing threshold, through July 14, 2016, when he no longer held voting securities of Web.com valued in excess of $ 156.3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and decree that Defendant's acquisition of Web.com voting securities on June 27, 2016, was a violation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and that Defendant was in violation of the HSR Act each day from June 27, 2016, through July 14,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That the Court order Defendant to pay to the United States an appropriate civil penalty as provided by the HSR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 701 (further amending the Federal Civil Penalties Inflation Adjustment Act of 1990), and Federal Trade Commission Rule 1.98, </w:t>
      </w:r>
      <w:hyperlink r:id="rId19"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order such other and further relief as the Court may deem just and proper;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award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01/17/2017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No.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Assistant Attorney General,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Washington, DC 20530, D.C. Bar No. 269266.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 D.C. Bar No. 933721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Roberta S. Baruch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 Federal Trade Commission, Washington, DC 20580, (202) 326-2694.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[*8860]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Ahmet H. Okumus</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01/17/2017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17, 2017, the United States filed a Complaint against Defendant Ahmet H. Okumus ("Okumus"), related to Okumus's acquisition of voting securities of Web.com Group, Inc. ("Web.com") in June 2016. The Complaint alleges that Okumus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provides that "no person shall acquire, directly or indirectly, any voting securities of any person" exceeding certain thresholds until that person has filed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the post-filing waiting period has expired.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 key purpose of the notification and waiting period is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potentially anticompetitive transactions by providing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Okumus acquired voting securities of Web.com in excess of then-applicable statutory thresholds without making the required pre-acquisition HSR filings with the agencies and without observing the waiting period, and that Okumus and Web.com met the applicable statutory size of person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in the present action, the United States also filed a Stipulation and proposed Final Judgment that eliminates the need for a trial in this case. The proposed Final Judgment is designed to deter Okumus' HSR Act violations. Under the proposed Final Judgment, Okumus must pay a civil penalty to the United States in the amount of $ 180,000.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after compliance with the APPA, unless the United States first withdraws its consent. Entry of the proposed Final Judgment would terminate this case, except that the Court would retain jurisdiction to construe, modify, or enforce the provisions of the proposed Final Judgment and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Okumus is an investor with his principal office and place of business in New York City. At all times relevant to the Complaint, Okumus had sales or assets in excess of $ 156.3 million. At all times relevant to the Complaint, Web.com, a Delaware corporation headquartered in Jacksonville, Florida, had sales or assets in excess of $ 15.6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21, 2014, Okumus filed under the HSR Act to acquire voting securities of Web.com. Okumus filed at the $ 50 million threshold, as adjusted. After the waiting period expired, Okumus was permitted under the HSR Act to acquire additional voting securities of Web.com for five years without making a new HSR filing so long as his holdings did not exceed the $ 100 million threshold, as adjusted. On June 27, 2016, Okumus acquired additional voting securities of Web.com. As a result of this acquisition, Okumus held voting securities of Web.com valued at approximately $ 156.6 million, which was in excess of $ 156.3 million, the as adjusted $ 100 million threshold in effect at the time. Although he was required to do so under the HSR Act, Okumus failed to make an HSR filing and observe the statutory waiting period before consummating the June 27, 2016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14, 2016, Okumus sold voting securities of Web.com. As a result of this sale, he no longer held voting securities valued in excess of $ 156.3 million, and was no longer in violation of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further alleges that Okumus's June 2016 HSR Act violation was not the first time Okumus had failed to observe the HSR Act's notification and waiting period requirements. On September 11, 2014, Okumus acquired voting securities of Web.com. As a result of this acquisition, Okumus held approximately 13.5 percent of the voting securities of Web.com. Okumus did not file under the HSR Act prior to making this acquisition, relying on the exemption for acquisitions made solely for the purpose of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However, the exemption is limited to acquisitions that result in holdings that do not exceed ten percent of the voting securities of the issuer; acquisitions that result in holding in excess of ten percent require an HSR filing regardless of the purpose of the acquisition. On November 21, 2014, Okumus made a corrective HSR filing for the September 11, 2014 acquisition, and explained in a letter accompanying the corrective filing that his failure to file was inadvertent. On December 31, 2014, the Premerger Notification Office of the Federal Trade Commission notified Okumus by letter that it would not recommend a civil penalty for the violation, but advised Okumus that he was "accountable for instituting an effective program to ensure full compliance with the Act's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imposes a $ 180,000 civil penalty designed to deter the Defendant and others from violating the HSR Act. The United States adjusted the penalty downward from the maximum permitted under the HSR Act because the violation was inadvertent, the Defendant promptly corrected the violation after discovery by selling voting securities, and the Defendant is willing to resolve the matter by consent decree and avoid prolonged investigation and litigation. The relief will have a beneficial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agencies will be properly notified of future acquisitions, in accordance with the law. At the same time, the penalty will not have any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and the Defendant have stipulated that the proposed Final Judgment may be entered by this Court after compliance with the provisions of the APPA, provided that the United States has not withdrawn its consent. </w:t>
      </w:r>
      <w:r>
        <w:rPr>
          <w:rFonts w:ascii="arial" w:eastAsia="arial" w:hAnsi="arial" w:cs="arial"/>
          <w:b/>
          <w:i w:val="0"/>
          <w:strike w:val="0"/>
          <w:noProof w:val="0"/>
          <w:color w:val="000000"/>
          <w:position w:val="0"/>
          <w:sz w:val="20"/>
          <w:u w:val="none"/>
          <w:vertAlign w:val="baseline"/>
        </w:rPr>
        <w:t> [*8861] </w:t>
      </w:r>
      <w:r>
        <w:rPr>
          <w:rFonts w:ascii="arial" w:eastAsia="arial" w:hAnsi="arial" w:cs="arial"/>
          <w:b w:val="0"/>
          <w:i w:val="0"/>
          <w:strike w:val="0"/>
          <w:noProof w:val="0"/>
          <w:color w:val="000000"/>
          <w:position w:val="0"/>
          <w:sz w:val="20"/>
          <w:u w:val="none"/>
          <w:vertAlign w:val="baseline"/>
        </w:rPr>
        <w:t xml:space="preserve"> The APPA conditions entry of the decree upon this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entry. The comments and the response of the United States will be filed with this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CC-8416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Final Judgment, the United States considered pursuing a full trial on the merits against the Defendant. The United States is satisfied, however, that the proposed relief is an appropriate remedy in this matter. Given the facts of this case, including the Defendant's self-reporting of the violation and willingness to promptly settle this matter, the United States is satisfied that the proposed civil penalty is sufficient to address the violation alleged in the Complaint and to deter violations by similarly situated entities in the future, without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16(e)(1)(A) &amp; (B). In considering these statutory factors, the court's inquiry is necessarily a limited one, as the government is entitled to "broad discretion to settle with the defendant within the reaches of the public interest." </w:t>
      </w:r>
      <w:hyperlink r:id="rId21"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2"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3"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that the court's "inquiry is limited" because the government has "broad discretion" to determine the adequacy of the relief secured through a settlement); </w:t>
      </w:r>
      <w:hyperlink r:id="rId24"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an inquiry under the APPA may consider,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5"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6"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w:t>
      </w:r>
      <w:r>
        <w:rPr>
          <w:rFonts w:ascii="arial" w:eastAsia="arial" w:hAnsi="arial" w:cs="arial"/>
          <w:b/>
          <w:i w:val="0"/>
          <w:strike w:val="0"/>
          <w:noProof w:val="0"/>
          <w:color w:val="000000"/>
          <w:position w:val="0"/>
          <w:sz w:val="20"/>
          <w:u w:val="none"/>
          <w:vertAlign w:val="baseline"/>
        </w:rPr>
        <w:t> [*8862] </w:t>
      </w:r>
      <w:r>
        <w:rPr>
          <w:rFonts w:ascii="arial" w:eastAsia="arial" w:hAnsi="arial" w:cs="arial"/>
          <w:b w:val="0"/>
          <w:i w:val="0"/>
          <w:strike w:val="0"/>
          <w:noProof w:val="0"/>
          <w:color w:val="000000"/>
          <w:position w:val="0"/>
          <w:sz w:val="20"/>
          <w:u w:val="none"/>
          <w:vertAlign w:val="baseline"/>
        </w:rPr>
        <w:t xml:space="preserve"> efficacy of its remedies, and may not require that the remedies perfectly match the alleged violations."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8"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5"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9"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9"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0"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1"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4"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1"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2"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the author of this legislation,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3"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also </w:t>
      </w:r>
      <w:hyperlink r:id="rId31"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2"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January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c/o Federal Trade Commission, 600 Pennsylvania Avenue NW, Washington, DC 20580, Phone: (202) 326-2694, Email: </w:t>
      </w:r>
      <w:hyperlink r:id="rId33" w:history="1">
        <w:r>
          <w:rPr>
            <w:rFonts w:ascii="arial" w:eastAsia="arial" w:hAnsi="arial" w:cs="arial"/>
            <w:b w:val="0"/>
            <w:i/>
            <w:strike w:val="0"/>
            <w:noProof w:val="0"/>
            <w:color w:val="0077CC"/>
            <w:position w:val="0"/>
            <w:sz w:val="20"/>
            <w:u w:val="single"/>
            <w:vertAlign w:val="baseline"/>
          </w:rPr>
          <w:t>klibby@ftc.gov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Ahmet H. Okumus</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01/17/2017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the United States of America, having commenced this action by filing its Complaint herein for violation of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and Plaintiff and Defendant Ahmet H. Okumus, by their respective attorneys, having consented to the entry of this Final Judgment without trial or adjudication of any issue of fact or law herein, and without this Final Judgment constituting any evidence against or an admission by the Defendant with respect to any such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the taking of any testimony and without trial or adjudication of any issue of fact or law herein, and upon the consent of the parties hereto, it is hereby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of the subject matter of this action and of the Plaintiff and the Defendant. The Complaint states a claim upon which relief can be granted against the Defendant under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and against Defendant, and, pursuant to Section 7A(g)(1) of the Clayton Act, </w:t>
      </w:r>
      <w:hyperlink r:id="rId9" w:history="1">
        <w:r>
          <w:rPr>
            <w:rFonts w:ascii="arial" w:eastAsia="arial" w:hAnsi="arial" w:cs="arial"/>
            <w:b w:val="0"/>
            <w:i/>
            <w:strike w:val="0"/>
            <w:noProof w:val="0"/>
            <w:color w:val="0077CC"/>
            <w:position w:val="0"/>
            <w:sz w:val="20"/>
            <w:u w:val="single"/>
            <w:vertAlign w:val="baseline"/>
          </w:rPr>
          <w:t xml:space="preserve">15 U.S.C. </w:t>
        </w:r>
      </w:hyperlink>
      <w:hyperlink r:id="rId9" w:history="1">
        <w:r>
          <w:rPr>
            <w:rFonts w:ascii="arial" w:eastAsia="arial" w:hAnsi="arial" w:cs="arial"/>
            <w:b/>
            <w:i/>
            <w:strike w:val="0"/>
            <w:noProof w:val="0"/>
            <w:color w:val="0077CC"/>
            <w:position w:val="0"/>
            <w:sz w:val="20"/>
            <w:u w:val="single"/>
            <w:vertAlign w:val="baseline"/>
          </w:rPr>
          <w:t> [*8863] </w:t>
        </w:r>
      </w:hyperlink>
      <w:hyperlink r:id="rId9" w:history="1">
        <w:r>
          <w:rPr>
            <w:rFonts w:ascii="arial" w:eastAsia="arial" w:hAnsi="arial" w:cs="arial"/>
            <w:b w:val="0"/>
            <w:i/>
            <w:strike w:val="0"/>
            <w:noProof w:val="0"/>
            <w:color w:val="0077CC"/>
            <w:position w:val="0"/>
            <w:sz w:val="20"/>
            <w:u w:val="single"/>
            <w:vertAlign w:val="baseline"/>
          </w:rPr>
          <w:t xml:space="preserve"> 18a(g)(1)</w:t>
        </w:r>
      </w:hyperlink>
      <w:r>
        <w:rPr>
          <w:rFonts w:ascii="arial" w:eastAsia="arial" w:hAnsi="arial" w:cs="arial"/>
          <w:b w:val="0"/>
          <w:i w:val="0"/>
          <w:strike w:val="0"/>
          <w:noProof w:val="0"/>
          <w:color w:val="000000"/>
          <w:position w:val="0"/>
          <w:sz w:val="20"/>
          <w:u w:val="none"/>
          <w:vertAlign w:val="baseline"/>
        </w:rPr>
        <w:t xml:space="preserve">,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 701 (amending the Federal Civil Penalties Inflation Adjustment Act of 1990), and Federal Trade Commission Rule 1.98, </w:t>
      </w:r>
      <w:hyperlink r:id="rId19"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Defendant is hereby ordered to pay a civil penalty in the amount of one hundred eighty thousand dollars ($ 180,000). Payment of the civil penalty ordered hereby shall be made by wire transfer of funds or cashier's check. If the payment is made by wire transfer, Defendant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Janie Ingalls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 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shall pay the full amount of the civil penalty within thirty (30) days of entry of this Final Judgment. In the event of a default or delay in payment, interest at the rate of eighteen (18) percent per annum shall accrue thereon from the date of the default or delay to the date of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 of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2017-02024 Filed 1-30-17;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8858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dducore@ftc.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administrative-codes&amp;id=urn:contentItem:5HYR-92P0-008G-Y1FB-00000-00&amp;context=" TargetMode="External" /><Relationship Id="rId17" Type="http://schemas.openxmlformats.org/officeDocument/2006/relationships/hyperlink" Target="https://advance.lexis.com/api/document?collection=administrative-codes&amp;id=urn:contentItem:5HYR-92S0-008G-Y27Y-00000-00&amp;context=" TargetMode="External" /><Relationship Id="rId18" Type="http://schemas.openxmlformats.org/officeDocument/2006/relationships/hyperlink" Target="https://advance.lexis.com/api/document?collection=administrative-codes&amp;id=urn:contentItem:5HYR-92S0-008G-Y283-00000-00&amp;context=" TargetMode="External" /><Relationship Id="rId19" Type="http://schemas.openxmlformats.org/officeDocument/2006/relationships/hyperlink" Target="https://advance.lexis.com/api/document?collection=administrative-codes&amp;id=urn:contentItem:5RHV-NCN0-008G-Y05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K4B-C540-006W-81KV-00000-00&amp;context=" TargetMode="External" /><Relationship Id="rId21" Type="http://schemas.openxmlformats.org/officeDocument/2006/relationships/hyperlink" Target="https://advance.lexis.com/api/document?collection=cases&amp;id=urn:contentItem:3RTP-83N0-001T-D0C7-00000-00&amp;context=" TargetMode="External" /><Relationship Id="rId22" Type="http://schemas.openxmlformats.org/officeDocument/2006/relationships/hyperlink" Target="https://advance.lexis.com/api/document?collection=cases&amp;id=urn:contentItem:4NCK-65B0-TVT3-D3DR-00000-00&amp;context=" TargetMode="External" /><Relationship Id="rId23" Type="http://schemas.openxmlformats.org/officeDocument/2006/relationships/hyperlink" Target="https://advance.lexis.com/api/document?collection=cases&amp;id=urn:contentItem:5C2F-7GX1-F04C-Y0FY-00000-00&amp;context=" TargetMode="External" /><Relationship Id="rId24" Type="http://schemas.openxmlformats.org/officeDocument/2006/relationships/hyperlink" Target="https://advance.lexis.com/api/document?collection=cases&amp;id=urn:contentItem:4X85-40M0-TXFP-H385-00000-00&amp;context=" TargetMode="External" /><Relationship Id="rId25" Type="http://schemas.openxmlformats.org/officeDocument/2006/relationships/hyperlink" Target="https://advance.lexis.com/api/document?collection=cases&amp;id=urn:contentItem:3S4W-Y8S0-001B-K1MJ-00000-00&amp;context=" TargetMode="External" /><Relationship Id="rId26" Type="http://schemas.openxmlformats.org/officeDocument/2006/relationships/hyperlink" Target="https://advance.lexis.com/api/document?collection=cases&amp;id=urn:contentItem:3S4X-16H0-0039-W1PJ-00000-00&amp;context=" TargetMode="External" /><Relationship Id="rId27" Type="http://schemas.openxmlformats.org/officeDocument/2006/relationships/hyperlink" Target="https://advance.lexis.com/api/document?collection=cases&amp;id=urn:contentItem:44N5-9DK0-0038-Y4CW-00000-00&amp;context=" TargetMode="External" /><Relationship Id="rId28" Type="http://schemas.openxmlformats.org/officeDocument/2006/relationships/hyperlink" Target="https://advance.lexis.com/api/document?collection=cases&amp;id=urn:contentItem:494T-VD60-0038-Y0P1-00000-00&amp;context=" TargetMode="External" /><Relationship Id="rId29" Type="http://schemas.openxmlformats.org/officeDocument/2006/relationships/hyperlink" Target="https://advance.lexis.com/api/document?collection=cases&amp;id=urn:contentItem:3S4V-KH30-0054-628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53H0-003B-S0M5-00000-00&amp;context=" TargetMode="External" /><Relationship Id="rId31" Type="http://schemas.openxmlformats.org/officeDocument/2006/relationships/hyperlink" Target="https://advance.lexis.com/api/document?collection=cases&amp;id=urn:contentItem:40T2-X8J0-0038-Y2SJ-00000-00&amp;context=" TargetMode="External" /><Relationship Id="rId32" Type="http://schemas.openxmlformats.org/officeDocument/2006/relationships/hyperlink" Target="https://advance.lexis.com/api/document?collection=cases&amp;id=urn:contentItem:3S4N-V3J0-0054-72HT-00000-00&amp;context=" TargetMode="External" /><Relationship Id="rId33" Type="http://schemas.openxmlformats.org/officeDocument/2006/relationships/hyperlink" Target="mailto:klibby@ftc.gov" TargetMode="Externa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S6-1YH0-006W-84N4-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28877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