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11529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051, Thursday, March 15,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11529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15,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Oregon Lithoprint, Inc.;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161 0230]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a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March 9, 2018), on the World Wide Web, at </w:t>
      </w:r>
      <w:hyperlink r:id="rId10" w:history="1">
        <w:r>
          <w:rPr>
            <w:rFonts w:ascii="arial" w:eastAsia="arial" w:hAnsi="arial" w:cs="arial"/>
            <w:b w:val="0"/>
            <w:i/>
            <w:strike w:val="0"/>
            <w:noProof w:val="0"/>
            <w:color w:val="0077CC"/>
            <w:position w:val="0"/>
            <w:sz w:val="20"/>
            <w:u w:val="single"/>
            <w:vertAlign w:val="baseline"/>
          </w:rPr>
          <w:t>https://www.ftc.gov/news-events/commission-actions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April 8, 2018. Write "In the Matter of Oregon Lithoprint, Inc., File No. 161 0230" on your comment. Your comment--including your name and your state--will be placed on the public record of this proceeding, including, to the extent practicable, on the public Commission website, at </w:t>
      </w:r>
      <w:hyperlink r:id="rId11" w:history="1">
        <w:r>
          <w:rPr>
            <w:rFonts w:ascii="arial" w:eastAsia="arial" w:hAnsi="arial" w:cs="arial"/>
            <w:b w:val="0"/>
            <w:i/>
            <w:strike w:val="0"/>
            <w:noProof w:val="0"/>
            <w:color w:val="0077CC"/>
            <w:position w:val="0"/>
            <w:sz w:val="20"/>
            <w:u w:val="single"/>
            <w:vertAlign w:val="baseline"/>
          </w:rPr>
          <w:t>https://www.ftc.gov/policy/public-comments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2" w:history="1">
        <w:r>
          <w:rPr>
            <w:rFonts w:ascii="arial" w:eastAsia="arial" w:hAnsi="arial" w:cs="arial"/>
            <w:b w:val="0"/>
            <w:i/>
            <w:strike w:val="0"/>
            <w:noProof w:val="0"/>
            <w:color w:val="0077CC"/>
            <w:position w:val="0"/>
            <w:sz w:val="20"/>
            <w:u w:val="single"/>
            <w:vertAlign w:val="baseline"/>
          </w:rPr>
          <w:t>https://ftcpublic.commentworks.com/ftc/oregonlithoprintconsent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prefer to file your comment on paper, write "In the Matter of Oregon Lithoprint, Inc., File No. 161 0230"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placed on the publicly accessible FTC website at </w:t>
      </w:r>
      <w:hyperlink r:id="rId14" w:history="1">
        <w:r>
          <w:rPr>
            <w:rFonts w:ascii="arial" w:eastAsia="arial" w:hAnsi="arial" w:cs="arial"/>
            <w:b w:val="0"/>
            <w:i/>
            <w:strike w:val="0"/>
            <w:noProof w:val="0"/>
            <w:color w:val="0077CC"/>
            <w:position w:val="0"/>
            <w:sz w:val="20"/>
            <w:u w:val="single"/>
            <w:vertAlign w:val="baseline"/>
          </w:rPr>
          <w:t>https://www.ftc.gov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are solely responsible for making sure that your comment does not include any sensitive or confidential information. In particular, your comment should not include any sensitive personal information, such as your or anyone else's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such as medical records or other individually identifiable health information. In addition, your comment should not include any "trade secret or any commercial or financial information which . . . is privileged or confidential"--as provided by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5"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--including in particular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containing material for which confidential treatment is requested must be filed in paper form, must be clearly labeled "Confidential," and must comply with FTC Rule 4.9(c).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Your comment will be kept confidential only if the General Counsel grants your request in accordance with the law and the public interest. Once your comment has been posted on the public FTC website--as legally required by FTC Rule 4.9(b)--we cannot redact or remove your comment from the FTC website, unless you submit a confidentiality request that meets the requirements for such treatment under FTC Rule 4.9(c), and the General Counsel grants that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FTC website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April 8, 2018. For information on the Commission's privacy policy, including routine uses permitted by the Privacy Act, see </w:t>
      </w:r>
      <w:hyperlink r:id="rId17" w:history="1">
        <w:r>
          <w:rPr>
            <w:rFonts w:ascii="arial" w:eastAsia="arial" w:hAnsi="arial" w:cs="arial"/>
            <w:b w:val="0"/>
            <w:i/>
            <w:strike w:val="0"/>
            <w:noProof w:val="0"/>
            <w:color w:val="0077CC"/>
            <w:position w:val="0"/>
            <w:sz w:val="20"/>
            <w:u w:val="single"/>
            <w:vertAlign w:val="baseline"/>
          </w:rPr>
          <w:t>https://www.ftc.gov/site-information/privacy-policy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Orders To Aid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("Commission") has accepted, subject to final approval, an agreement containing consent order ("Consent Agreement") from Oregon Lithoprint Inc. ("OLI"). The Commission's Complaint alleges that OLI violated Section 5 of the Federal Trade Commission Act, as amended, </w:t>
      </w:r>
      <w:hyperlink r:id="rId18"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inviting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publication of foreclosure notices to divide clients by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terms of the proposed Consent Agreement, OLI is required to cease and desist from communicating with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about the placement of foreclosure notices. It is also barred from entering into, participating in, inviting, or soliciting an agreement with any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divide markets or to allocate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Agreement has been placed on the public record for 30 days for receipt of comments from interested members of the public. Comments received during this period will become part of the public record. After 30 days, the Commission will review the Consent Agreement again and the comments received, and will decide whether it should withdraw from the Consent Agreement or make final the accompanying Decision and Order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to Aid Public Comment is to invite and facilitate public comment. It is not intended to constitute an official interpretation of the proposed Consent Agreement and the accompanying Proposed Order or in any way to modify their terms.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allegations of the Complaint are summarized below: </w:t>
      </w:r>
      <w:r>
        <w:rPr>
          <w:rFonts w:ascii="arial" w:eastAsia="arial" w:hAnsi="arial" w:cs="arial"/>
          <w:b/>
          <w:i w:val="0"/>
          <w:strike w:val="0"/>
          <w:noProof w:val="0"/>
          <w:color w:val="000000"/>
          <w:position w:val="0"/>
          <w:sz w:val="20"/>
          <w:u w:val="none"/>
          <w:vertAlign w:val="baseline"/>
        </w:rPr>
        <w:t> [*11531]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 owns the News-Register, a twice-weekly community newspaper based in Yamhill, Oregon. Among other things, the News-Register charges clients to publish a type of legal notice known as a foreclosure notice. Under Oregon law, parties foreclosing on real property must place a notice of foreclosure in a qualifying newspaper in the county within which the property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News-Register's only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Yamhill County is The Newberg Graphic, a weekly community newspaper. The Newberg Graphic also publishes foreclosure notices, and it charges considerably less than the News-Register for the service. The News-Register has more subscribers and a wider circulation within Yamhill County than The Newberg Graphic.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2016, the publisher of the News-Register learned that a client intended to place foreclosure notices only in The Newberg Graphic from that point on because The Newberg Graphic was less expensive than the News-Register. In response, on August 29, 2016, the publisher emailed a manager at the parent company of The Newberg Graphic and explained the publisher's view that, under state law, foreclosure notices should be placed in the newspaper with the largest circulation in the area that the property is located. The publisher concluded his email by inviting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join the News-Register in instructing mutual clients that they should place foreclosure notices in the newspaper dominant in the area of the foreclosed property. The parent company of the The Newberg Graphic rejected the invitation and reported it to the 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months later, in October 2016, the publisher of the News-Register emailed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again to state that the News-Register had told a client to use The Newberg Graphic because the property in question was located in its area, and that the client was in fact going to use The Newberg Graphic to publish the notice. He ended the email stating "[i]t is probably too much to expect that others would do likewise."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parent company of the The Newberg Graphic interpreted this second email as another invitation to collude, rejected the invitation, and reported it to the Federal Trade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OLI's August 29, 2016, email to its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an explicit attempt to arrange an agreement between the two companies to divide foreclosure notices by geography. It is an invitation to collude. The October 2016 email is also an invitation to collude: OLI proposed a market allocation scheme and expressed a hope that its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would join that conduct. The Commission has long held that invitations to collude violate Section 5 of the FTC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2015 statement, the Commission explained that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5 "must cause, or be likely to cause,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taking into account any associated cognizable efficiencies and business justifications." n1 Potential violations are evaluated under a "framework similar to the rule of reason." n2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analysis under the rule of reason depends upon the nature of the conduct that is under review.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Fed. Trade Comm'n, Statement of Enforcement Principles Regarding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5 of the FTC Act (Aug. 13, 2015) (Section 5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Statement),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https://www.ftc.gov/system/files/documents/public_statements/735201/150813section5enforcement.pdf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Acting Chairman Ohlhausen dissented from the issuance of the Section 5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Statement.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https://www.ftc.gov/public-statements/2015/08/dissenting-statement-commissioner-ohlhausen-ftc-act-section-5-policy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Section 5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e.g., </w:t>
      </w:r>
      <w:hyperlink r:id="rId21" w:history="1">
        <w:r>
          <w:rPr>
            <w:rFonts w:ascii="arial" w:eastAsia="arial" w:hAnsi="arial" w:cs="arial"/>
            <w:b w:val="0"/>
            <w:i/>
            <w:strike w:val="0"/>
            <w:noProof w:val="0"/>
            <w:color w:val="0077CC"/>
            <w:position w:val="0"/>
            <w:sz w:val="20"/>
            <w:u w:val="single"/>
            <w:vertAlign w:val="baseline"/>
          </w:rPr>
          <w:t>California Dental Ass'n v. FTC, 526 U.S. 756, 781 (1999)</w:t>
        </w:r>
      </w:hyperlink>
      <w:r>
        <w:rPr>
          <w:rFonts w:ascii="arial" w:eastAsia="arial" w:hAnsi="arial" w:cs="arial"/>
          <w:b w:val="0"/>
          <w:i w:val="0"/>
          <w:strike w:val="0"/>
          <w:noProof w:val="0"/>
          <w:color w:val="000000"/>
          <w:position w:val="0"/>
          <w:sz w:val="20"/>
          <w:u w:val="none"/>
          <w:vertAlign w:val="baseline"/>
        </w:rPr>
        <w:t xml:space="preserve"> ("What is required . . . is an inquiry meet for the case, looking to the circumstances, details, and logic of a restraint.").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invitation to collude is "potentially harmful and . . . serves no legitimate business purpose." n4 For this reason, the Commission treats such conduct as "inherently suspect" (that is, presumptively anticompetitive). n5 Accordingly, an invitation to collude can be condemned under Section 5 without a showing that the respondent possesses market power.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In re Valassis Commc'ns., Inc., 141 F.T.C. 247, 283 (2006)</w:t>
      </w:r>
      <w:r>
        <w:rPr>
          <w:rFonts w:ascii="arial" w:eastAsia="arial" w:hAnsi="arial" w:cs="arial"/>
          <w:b w:val="0"/>
          <w:i w:val="0"/>
          <w:strike w:val="0"/>
          <w:noProof w:val="0"/>
          <w:color w:val="000000"/>
          <w:position w:val="0"/>
          <w:sz w:val="20"/>
          <w:u w:val="none"/>
          <w:vertAlign w:val="baseline"/>
        </w:rPr>
        <w:t xml:space="preserve"> (Analysis of Agreement Containing Consent Order to Aid Public Comment);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Address by FTC Chairwoman Edith Ramirez, Section 5 Enforcement Principles, George Washington University Law School at 5 (Aug. 13, 2015),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https://www.ftc.gov/system/files/documents/public_statements/735411/150813section5speech.pdf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In re North Carolina Bd. of Dental Examiners, 152 F.T.C. 640, 668 (2011) (noting that conduct is inherently suspect if it can be "reasonably characterized as giv[ing] rise to an intuitively obviously inference of anticompetitive effect.' " (citation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 e.g., In re Realcomp II, Ltd.,</w:t>
      </w:r>
      <w:r>
        <w:rPr>
          <w:rFonts w:ascii="arial" w:eastAsia="arial" w:hAnsi="arial" w:cs="arial"/>
          <w:b w:val="0"/>
          <w:i w:val="0"/>
          <w:strike w:val="0"/>
          <w:noProof w:val="0"/>
          <w:color w:val="000000"/>
          <w:position w:val="0"/>
          <w:sz w:val="20"/>
          <w:u w:val="none"/>
          <w:vertAlign w:val="baseline"/>
        </w:rPr>
        <w:t xml:space="preserve"> 148 F.T.C. ___, </w:t>
      </w:r>
      <w:hyperlink r:id="rId23" w:history="1">
        <w:r>
          <w:rPr>
            <w:rFonts w:ascii="arial" w:eastAsia="arial" w:hAnsi="arial" w:cs="arial"/>
            <w:b w:val="0"/>
            <w:i/>
            <w:strike w:val="0"/>
            <w:noProof w:val="0"/>
            <w:color w:val="0077CC"/>
            <w:position w:val="0"/>
            <w:sz w:val="20"/>
            <w:u w:val="single"/>
            <w:vertAlign w:val="baseline"/>
          </w:rPr>
          <w:t>No. 9320, 2009 FTC LEXIS 250</w:t>
        </w:r>
      </w:hyperlink>
      <w:r>
        <w:rPr>
          <w:rFonts w:ascii="arial" w:eastAsia="arial" w:hAnsi="arial" w:cs="arial"/>
          <w:b w:val="0"/>
          <w:i w:val="0"/>
          <w:strike w:val="0"/>
          <w:noProof w:val="0"/>
          <w:color w:val="000000"/>
          <w:position w:val="0"/>
          <w:sz w:val="20"/>
          <w:u w:val="none"/>
          <w:vertAlign w:val="baseline"/>
        </w:rPr>
        <w:t xml:space="preserve"> at *51 (Oct. 30, 2009) (Comm'n Op.) (explaining that if conduct is "inherently suspect" in nature, and there are no cognizable procompetitive justifications, the Commission can condemn it "without proof of market power or actual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long held that an invitation to collude violates Section 5 of the FTC Act even where there is no proof that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accepted the invitation n7 This is for several reasons. First, unaccepted solicitations may facilitate coordination between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because they reveal information about the solicitor's intentions or preferences. Second, it can be difficult to discern whether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has accepted a solicitation. Third, finding a violation may deter conduct that has no legitimate business purpose.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Valassis Commc'ns, Inc., 141 F.T.C. 247 (2006);</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In re Stone Container, 125 F.T.C. 853 (1998);</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In re Precision Moulding, 122 F.T.C. 104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In re McWane, Inc.,</w:t>
      </w:r>
      <w:r>
        <w:rPr>
          <w:rFonts w:ascii="arial" w:eastAsia="arial" w:hAnsi="arial" w:cs="arial"/>
          <w:b w:val="0"/>
          <w:i w:val="0"/>
          <w:strike w:val="0"/>
          <w:noProof w:val="0"/>
          <w:color w:val="000000"/>
          <w:position w:val="0"/>
          <w:sz w:val="20"/>
          <w:u w:val="none"/>
          <w:vertAlign w:val="baseline"/>
        </w:rPr>
        <w:t xml:space="preserve"> Docket No. 9351, </w:t>
      </w:r>
      <w:r>
        <w:rPr>
          <w:rFonts w:ascii="arial" w:eastAsia="arial" w:hAnsi="arial" w:cs="arial"/>
          <w:b w:val="0"/>
          <w:i/>
          <w:strike w:val="0"/>
          <w:noProof w:val="0"/>
          <w:color w:val="000000"/>
          <w:position w:val="0"/>
          <w:sz w:val="20"/>
          <w:u w:val="none"/>
          <w:vertAlign w:val="baseline"/>
        </w:rPr>
        <w:t>Opinion of the Commission on Motions for Summary Decision</w:t>
      </w:r>
      <w:r>
        <w:rPr>
          <w:rFonts w:ascii="arial" w:eastAsia="arial" w:hAnsi="arial" w:cs="arial"/>
          <w:b w:val="0"/>
          <w:i w:val="0"/>
          <w:strike w:val="0"/>
          <w:noProof w:val="0"/>
          <w:color w:val="000000"/>
          <w:position w:val="0"/>
          <w:sz w:val="20"/>
          <w:u w:val="none"/>
          <w:vertAlign w:val="baseline"/>
        </w:rPr>
        <w:t xml:space="preserve"> at 20-21 (F.T.C. Aug. 9, 2012) ("an invitation to collude is the quintessential example of the kind of conduct that should be . . . challenged as a violation of Section 5' ") (citing the Statement of Chairman Liebowitz and Commissioners Kovacic and Rosch, In re U-Haul Int'l, Inc., 150 F.T.C. 1, 53 (2010)). This conclusion has been endorsed by 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scholars.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 Areeda &amp; H. Hovenkamp, VI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[paragraph] 1419 (2003); Stephen Calkins, </w:t>
      </w:r>
      <w:r>
        <w:rPr>
          <w:rFonts w:ascii="arial" w:eastAsia="arial" w:hAnsi="arial" w:cs="arial"/>
          <w:b w:val="0"/>
          <w:i/>
          <w:strike w:val="0"/>
          <w:noProof w:val="0"/>
          <w:color w:val="000000"/>
          <w:position w:val="0"/>
          <w:sz w:val="20"/>
          <w:u w:val="none"/>
          <w:vertAlign w:val="baseline"/>
        </w:rPr>
        <w:t>Counterpoint: The Legal Foundation of the Commission's Use of Section 5 to Challenge Invitations to Collude is Secure,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Spring 2000, at 69. In a case brought under a state's version of Section 5, the First Circuit expressed support for the Commission's application of Section 5 to invitations to collude. </w:t>
      </w:r>
      <w:hyperlink r:id="rId26" w:history="1">
        <w:r>
          <w:rPr>
            <w:rFonts w:ascii="arial" w:eastAsia="arial" w:hAnsi="arial" w:cs="arial"/>
            <w:b w:val="0"/>
            <w:i/>
            <w:strike w:val="0"/>
            <w:noProof w:val="0"/>
            <w:color w:val="0077CC"/>
            <w:position w:val="0"/>
            <w:sz w:val="20"/>
            <w:u w:val="single"/>
            <w:vertAlign w:val="baseline"/>
          </w:rPr>
          <w:t>Liu v. Amerco, 677 F.3d 489 (1st Cir.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In re Valassis Comm'c, Inc., 141 F.T.C. 247, 283 (2006)</w:t>
      </w:r>
      <w:r>
        <w:rPr>
          <w:rFonts w:ascii="arial" w:eastAsia="arial" w:hAnsi="arial" w:cs="arial"/>
          <w:b w:val="0"/>
          <w:i w:val="0"/>
          <w:strike w:val="0"/>
          <w:noProof w:val="0"/>
          <w:color w:val="000000"/>
          <w:position w:val="0"/>
          <w:sz w:val="20"/>
          <w:u w:val="none"/>
          <w:vertAlign w:val="baseline"/>
        </w:rPr>
        <w:t xml:space="preserve"> (Analysis of Agreement Containing Consent Order to Aid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Proposed Consent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 contains the following substantive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Paragraph A of the Proposed Order enjoins OLI from entering or attempting to enter any agreement to refuse to publish legal notices or allocate customers for the publication of legal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 Paragraph B prohibits OLI from publically or privately communicating with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should advice customers to place foreclosure notices in the newspaper with the widest circulation in the area in which the property is located, or refuse to publish notices for properties located in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's primary distribution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Paragraph C, contains three provisos. The first allows OLI to communicate with any governmental body regarding the proper interpretation of state law related to legal notices. The second allows OLI to participate with any effort of the Oregon newspaper association to lobby any governmental body regarding legal notices. The third allows OLI to disseminate information regarding legal notices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III-VI of the Proposed Order impose certain standard reporting and compliance requirements on OLI.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Order will expire in 10 years. </w:t>
      </w:r>
      <w:r>
        <w:rPr>
          <w:rFonts w:ascii="arial" w:eastAsia="arial" w:hAnsi="arial" w:cs="arial"/>
          <w:b/>
          <w:i w:val="0"/>
          <w:strike w:val="0"/>
          <w:noProof w:val="0"/>
          <w:color w:val="000000"/>
          <w:position w:val="0"/>
          <w:sz w:val="20"/>
          <w:u w:val="none"/>
          <w:vertAlign w:val="baseline"/>
        </w:rPr>
        <w:t> [*11532]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is to facilitate public comment on the proposed Consent agreement, and the Commission does not intend this analysis to constitute an official interpretation of the proposed Consent Agreement or to modify its terms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Secretary.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2018-05252 Filed 3-14-18;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April 8, 2018.</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"In the Matter of Oregon Lithoprint, Inc., File No. 161 0230" on your comment, and file your comment online at </w:t>
      </w:r>
      <w:hyperlink r:id="rId12" w:history="1">
        <w:r>
          <w:rPr>
            <w:rFonts w:ascii="arial" w:eastAsia="arial" w:hAnsi="arial" w:cs="arial"/>
            <w:b w:val="0"/>
            <w:i/>
            <w:strike w:val="0"/>
            <w:noProof w:val="0"/>
            <w:color w:val="0077CC"/>
            <w:position w:val="0"/>
            <w:sz w:val="20"/>
            <w:u w:val="single"/>
            <w:vertAlign w:val="baseline"/>
          </w:rPr>
          <w:t>https://ftcpublic.commentworks.com/ftc/oregonlithoprintconsent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w:t>
      </w:r>
      <w:r>
        <w:rPr>
          <w:rFonts w:ascii="arial" w:eastAsia="arial" w:hAnsi="arial" w:cs="arial"/>
          <w:b/>
          <w:i w:val="0"/>
          <w:strike w:val="0"/>
          <w:noProof w:val="0"/>
          <w:color w:val="000000"/>
          <w:position w:val="0"/>
          <w:sz w:val="20"/>
          <w:u w:val="none"/>
          <w:vertAlign w:val="baseline"/>
        </w:rPr>
        <w:t> [*11530] </w:t>
      </w:r>
      <w:r>
        <w:rPr>
          <w:rFonts w:ascii="arial" w:eastAsia="arial" w:hAnsi="arial" w:cs="arial"/>
          <w:b w:val="0"/>
          <w:i w:val="0"/>
          <w:strike w:val="0"/>
          <w:noProof w:val="0"/>
          <w:color w:val="000000"/>
          <w:position w:val="0"/>
          <w:sz w:val="20"/>
          <w:u w:val="none"/>
          <w:vertAlign w:val="baseline"/>
        </w:rPr>
        <w:t xml:space="preserve"> you prefer to file your comment on paper, write "In the Matter of Oregon Lithoprint, Inc., File No. 161 0230"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Michael Turner (202-326-3619),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11529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tc.gov/news-events/commission-actions" TargetMode="External" /><Relationship Id="rId11" Type="http://schemas.openxmlformats.org/officeDocument/2006/relationships/hyperlink" Target="https://www.ftc.gov/policy/public-comments" TargetMode="External" /><Relationship Id="rId12" Type="http://schemas.openxmlformats.org/officeDocument/2006/relationships/hyperlink" Target="https://ftcpublic.commentworks.com/ftc/oregonlithoprintconsent" TargetMode="External" /><Relationship Id="rId13" Type="http://schemas.openxmlformats.org/officeDocument/2006/relationships/hyperlink" Target="http://www.regulations.gov/#!home" TargetMode="External" /><Relationship Id="rId14" Type="http://schemas.openxmlformats.org/officeDocument/2006/relationships/hyperlink" Target="https://www.ftc.gov" TargetMode="External" /><Relationship Id="rId15" Type="http://schemas.openxmlformats.org/officeDocument/2006/relationships/hyperlink" Target="https://advance.lexis.com/api/document?collection=administrative-codes&amp;id=urn:contentItem:5MH6-6J50-008G-Y1DH-00000-00&amp;context=" TargetMode="External" /><Relationship Id="rId16" Type="http://schemas.openxmlformats.org/officeDocument/2006/relationships/hyperlink" Target="http://www.ftc.gov" TargetMode="External" /><Relationship Id="rId17" Type="http://schemas.openxmlformats.org/officeDocument/2006/relationships/hyperlink" Target="https://www.ftc.gov/site-information/privacy-policy" TargetMode="External" /><Relationship Id="rId18" Type="http://schemas.openxmlformats.org/officeDocument/2006/relationships/hyperlink" Target="https://advance.lexis.com/api/document?collection=statutes-legislation&amp;id=urn:contentItem:4YF7-GSM1-NRF4-44DS-00000-00&amp;context=" TargetMode="External" /><Relationship Id="rId19" Type="http://schemas.openxmlformats.org/officeDocument/2006/relationships/hyperlink" Target="https://www.ftc.gov/system/files/documents/public_statements/735201/150813section5enforcement.pdf" TargetMode="External" /><Relationship Id="rId2" Type="http://schemas.openxmlformats.org/officeDocument/2006/relationships/webSettings" Target="webSettings.xml" /><Relationship Id="rId20" Type="http://schemas.openxmlformats.org/officeDocument/2006/relationships/hyperlink" Target="https://www.ftc.gov/public-statements/2015/08/dissenting-statement-commissioner-ohlhausen-ftc-act-section-5-policy" TargetMode="External" /><Relationship Id="rId21" Type="http://schemas.openxmlformats.org/officeDocument/2006/relationships/hyperlink" Target="https://advance.lexis.com/api/document?collection=cases&amp;id=urn:contentItem:3WJ6-7N70-004C-100F-00000-00&amp;context=" TargetMode="External" /><Relationship Id="rId22" Type="http://schemas.openxmlformats.org/officeDocument/2006/relationships/hyperlink" Target="https://www.ftc.gov/system/files/documents/public_statements/735411/150813section5speech.pdf" TargetMode="External" /><Relationship Id="rId23" Type="http://schemas.openxmlformats.org/officeDocument/2006/relationships/hyperlink" Target="https://advance.lexis.com/api/document?collection=administrative-materials&amp;id=urn:contentItem:4Y8P-WVC0-01KP-40V0-00000-00&amp;context=" TargetMode="External" /><Relationship Id="rId24" Type="http://schemas.openxmlformats.org/officeDocument/2006/relationships/hyperlink" Target="https://advance.lexis.com/api/document?collection=administrative-materials&amp;id=urn:contentItem:3SY2-3NW0-0000-F1B2-00000-00&amp;context=" TargetMode="External" /><Relationship Id="rId25" Type="http://schemas.openxmlformats.org/officeDocument/2006/relationships/hyperlink" Target="https://advance.lexis.com/api/document?collection=administrative-materials&amp;id=urn:contentItem:3SF5-PVB0-0000-F2JB-00000-00&amp;context=" TargetMode="External" /><Relationship Id="rId26" Type="http://schemas.openxmlformats.org/officeDocument/2006/relationships/hyperlink" Target="https://advance.lexis.com/api/document?collection=cases&amp;id=urn:contentItem:55JN-X5D1-F04K-H01P-00000-00&amp;context=" TargetMode="Externa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W5-YTN0-006W-8289-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11529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71342585</vt:lpwstr>
  </property>
  <property fmtid="{D5CDD505-2E9C-101B-9397-08002B2CF9AE}" pid="3" name="LADocCount">
    <vt:lpwstr>1</vt:lpwstr>
  </property>
  <property fmtid="{D5CDD505-2E9C-101B-9397-08002B2CF9AE}" pid="4" name="UserPermID">
    <vt:lpwstr>urn:user:PA185916758</vt:lpwstr>
  </property>
</Properties>
</file>