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83 FR 6284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83, No. 030, Tuesday, February 13, 2018</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83 FR 6284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13, 2018</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BOX Options Exchange LLC; Notice of Filing and Immediate Effectiveness of a Proposed Rule Change To Amend Section VI. (Technology Fees) of the BOX Fee Schedule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34-82654; File No. SR-BOX-2018-04]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February 7,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of the Securities Exchange Act of 1934 (the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notice is hereby given that on January 31, 2018, BOX Options Exchange LLC (the "Exchange") filed with the Securities and Exchange Commission ("Commission") the proposed rule change as described in Items I, II, and III below, which Items have been prepared by the Exchange. The Exchange filed the proposed rule change pursuant to Section 19(b)(3)(A)(ii) of the Act, n3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(f)(2) thereunder, n4 which renders the proposal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8"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filing with the Securities and Exchange Commission ("Commission") a proposed rule change to amend Section VI. (Technology Fees) of the BOX Fee Schedule. While changes to the fee schedule pursuant to this proposal will be effective upon filing, the changes will become operative on February 1, 2018. The text of the proposed rule change is available from the principal office of the Exchange, at the Commission's Public Reference Room and also on the Exchange's internet website at </w:t>
      </w:r>
      <w:hyperlink r:id="rId10" w:history="1">
        <w:r>
          <w:rPr>
            <w:rFonts w:ascii="arial" w:eastAsia="arial" w:hAnsi="arial" w:cs="arial"/>
            <w:b w:val="0"/>
            <w:i/>
            <w:strike w:val="0"/>
            <w:noProof w:val="0"/>
            <w:color w:val="0077CC"/>
            <w:position w:val="0"/>
            <w:sz w:val="20"/>
            <w:u w:val="single"/>
            <w:vertAlign w:val="baseline"/>
          </w:rPr>
          <w:t>http://boxexchange.com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w:t>
      </w:r>
      <w:r>
        <w:rPr>
          <w:rFonts w:ascii="arial" w:eastAsia="arial" w:hAnsi="arial" w:cs="arial"/>
          <w:b/>
          <w:i w:val="0"/>
          <w:strike w:val="0"/>
          <w:noProof w:val="0"/>
          <w:color w:val="000000"/>
          <w:position w:val="0"/>
          <w:sz w:val="20"/>
          <w:u w:val="none"/>
          <w:vertAlign w:val="baseline"/>
        </w:rPr>
        <w:t> [*6285] </w:t>
      </w:r>
      <w:r>
        <w:rPr>
          <w:rFonts w:ascii="arial" w:eastAsia="arial" w:hAnsi="arial" w:cs="arial"/>
          <w:b w:val="0"/>
          <w:i w:val="0"/>
          <w:strike w:val="0"/>
          <w:noProof w:val="0"/>
          <w:color w:val="000000"/>
          <w:position w:val="0"/>
          <w:sz w:val="20"/>
          <w:u w:val="none"/>
          <w:vertAlign w:val="baseline"/>
        </w:rPr>
        <w:t xml:space="preserv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Section VI (Technology Fees) in the Fee Schedule. Specifically, the Exchange proposes to amend Section VI.B. (High Speed Vendor Feed ("HSVF")) in the BOX Fee Schedule to revise the fee charged per month for all market participants for receiving the HSVF. The Exchange's proprietary HSVF is currently available to all market participants at a fee of $ 750.00 per month; however, the Exchange now proposes to increase the fee to $ 1,500.00 per month for all market participants who receive the HSVF. This fee will be payable by any market participant that receives the HSVF through a direct connection to BOX and will be assessed once per market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2013, the Exchange made its proprietary direct market data product, the HSVF, available to all market participants at no cost. n5 In August 2016, the Exchange established a fee of $ 750 per month for the HSVF for all market participants. n6 The Exchange now proposes to raise the monthly fee for the HSVF. The BOX HSVF is a proprietary product that provides: (i) Trades and trade cancelation information; (ii) best-ranked price level to buy and the best-ranked price level to sell; (iii) instrument summaries (including information such as high, low, and last trade price and traded volume); (iv) the five best limit prices for each option instrument; (v) request for Quote messages; n7 (vi) PIP Order, Improvement Order and Block Trade Order (Facilitation and Solicitation) information; n8 (vii) orders exposed at NBBO; n9 (viii) instrument dictionary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strike price, expiration date, underlying symbol, price threshold, and minimum trading increment for instruments traded on BOX); (ix) options class and instrument status change notices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an instrument or class is in pre-opening, continuous trading, closed, halted, or prohibited from trading); and (x) options class opening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68833 (February 5, 2013), </w:t>
      </w:r>
      <w:hyperlink r:id="rId11" w:history="1">
        <w:r>
          <w:rPr>
            <w:rFonts w:ascii="arial" w:eastAsia="arial" w:hAnsi="arial" w:cs="arial"/>
            <w:b w:val="0"/>
            <w:i/>
            <w:strike w:val="0"/>
            <w:noProof w:val="0"/>
            <w:color w:val="0077CC"/>
            <w:position w:val="0"/>
            <w:sz w:val="20"/>
            <w:u w:val="single"/>
            <w:vertAlign w:val="baseline"/>
          </w:rPr>
          <w:t>78 FR 9758</w:t>
        </w:r>
      </w:hyperlink>
      <w:r>
        <w:rPr>
          <w:rFonts w:ascii="arial" w:eastAsia="arial" w:hAnsi="arial" w:cs="arial"/>
          <w:b w:val="0"/>
          <w:i w:val="0"/>
          <w:strike w:val="0"/>
          <w:noProof w:val="0"/>
          <w:color w:val="000000"/>
          <w:position w:val="0"/>
          <w:sz w:val="20"/>
          <w:u w:val="none"/>
          <w:vertAlign w:val="baseline"/>
        </w:rPr>
        <w:t xml:space="preserve"> (February 11, 2013) (SR-BOX-2013-04).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78565 (August 18 [sic], 2016), </w:t>
      </w:r>
      <w:hyperlink r:id="rId12" w:history="1">
        <w:r>
          <w:rPr>
            <w:rFonts w:ascii="arial" w:eastAsia="arial" w:hAnsi="arial" w:cs="arial"/>
            <w:b w:val="0"/>
            <w:i/>
            <w:strike w:val="0"/>
            <w:noProof w:val="0"/>
            <w:color w:val="0077CC"/>
            <w:position w:val="0"/>
            <w:sz w:val="20"/>
            <w:u w:val="single"/>
            <w:vertAlign w:val="baseline"/>
          </w:rPr>
          <w:t>81 FR 55251</w:t>
        </w:r>
      </w:hyperlink>
      <w:r>
        <w:rPr>
          <w:rFonts w:ascii="arial" w:eastAsia="arial" w:hAnsi="arial" w:cs="arial"/>
          <w:b w:val="0"/>
          <w:i w:val="0"/>
          <w:strike w:val="0"/>
          <w:noProof w:val="0"/>
          <w:color w:val="000000"/>
          <w:position w:val="0"/>
          <w:sz w:val="20"/>
          <w:u w:val="none"/>
          <w:vertAlign w:val="baseline"/>
        </w:rPr>
        <w:t xml:space="preserve"> (August 3 [sic], 2016) (SR-BOX-2016-40).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Rules 100(a)(57), 7070(h) and 8050.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As set forth in Exchange Rules 7150 and 7270,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As set forth in Exchange Rules 7130(b)(3) and 8040(d)(6),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data connection fees are charged by other options markets such as Cboe BZX Exchange, Inc. ("BZX"), Cboe EDGX Exchange, Inc. ("EDGX"), Cboe Exchange, Inc. ("Cboe"), Cboe C2 Exchange, Inc. ("C2"), Nasdaq BX, Inc. ("BX"), The Nasdaq Options Market ("NOM"), and Nasdaq PHLX LLC ("PHLX").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BZX Fee Schedule, available at: </w:t>
      </w:r>
      <w:hyperlink r:id="rId13" w:history="1">
        <w:r>
          <w:rPr>
            <w:rFonts w:ascii="arial" w:eastAsia="arial" w:hAnsi="arial" w:cs="arial"/>
            <w:b w:val="0"/>
            <w:i/>
            <w:strike w:val="0"/>
            <w:noProof w:val="0"/>
            <w:color w:val="0077CC"/>
            <w:position w:val="0"/>
            <w:sz w:val="20"/>
            <w:u w:val="single"/>
            <w:vertAlign w:val="baseline"/>
          </w:rPr>
          <w:t>http://markets</w:t>
        </w:r>
      </w:hyperlink>
      <w:r>
        <w:rPr>
          <w:rFonts w:ascii="arial" w:eastAsia="arial" w:hAnsi="arial" w:cs="arial"/>
          <w:b w:val="0"/>
          <w:i/>
          <w:strike w:val="0"/>
          <w:noProof w:val="0"/>
          <w:color w:val="000000"/>
          <w:position w:val="0"/>
          <w:sz w:val="20"/>
          <w:u w:val="none"/>
          <w:vertAlign w:val="baseline"/>
        </w:rPr>
        <w:t>.;cboe.com/us/options/membership/fee_schedule/bzx/,</w:t>
      </w:r>
      <w:r>
        <w:rPr>
          <w:rFonts w:ascii="arial" w:eastAsia="arial" w:hAnsi="arial" w:cs="arial"/>
          <w:b w:val="0"/>
          <w:i w:val="0"/>
          <w:strike w:val="0"/>
          <w:noProof w:val="0"/>
          <w:color w:val="000000"/>
          <w:position w:val="0"/>
          <w:sz w:val="20"/>
          <w:u w:val="none"/>
          <w:vertAlign w:val="baseline"/>
        </w:rPr>
        <w:t xml:space="preserve"> the EDGX Fee Schedule, available at: </w:t>
      </w:r>
      <w:hyperlink r:id="rId14" w:history="1">
        <w:r>
          <w:rPr>
            <w:rFonts w:ascii="arial" w:eastAsia="arial" w:hAnsi="arial" w:cs="arial"/>
            <w:b w:val="0"/>
            <w:i/>
            <w:strike w:val="0"/>
            <w:noProof w:val="0"/>
            <w:color w:val="0077CC"/>
            <w:position w:val="0"/>
            <w:sz w:val="20"/>
            <w:u w:val="single"/>
            <w:vertAlign w:val="baseline"/>
          </w:rPr>
          <w:t>http://markets.cboe.com/us/options/membership/fee_schedule/edgx/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Cboe Fee Schedule, available at </w:t>
      </w:r>
      <w:hyperlink r:id="rId15" w:history="1">
        <w:r>
          <w:rPr>
            <w:rFonts w:ascii="arial" w:eastAsia="arial" w:hAnsi="arial" w:cs="arial"/>
            <w:b w:val="0"/>
            <w:i/>
            <w:strike w:val="0"/>
            <w:noProof w:val="0"/>
            <w:color w:val="0077CC"/>
            <w:position w:val="0"/>
            <w:sz w:val="20"/>
            <w:u w:val="single"/>
            <w:vertAlign w:val="baseline"/>
          </w:rPr>
          <w:t>http://www.cboe.com/publish/feeschedule/CBOEFeeSchedule.pdf</w:t>
        </w:r>
      </w:hyperlink>
      <w:r>
        <w:rPr>
          <w:rFonts w:ascii="arial" w:eastAsia="arial" w:hAnsi="arial" w:cs="arial"/>
          <w:b w:val="0"/>
          <w:i w:val="0"/>
          <w:strike w:val="0"/>
          <w:noProof w:val="0"/>
          <w:color w:val="000000"/>
          <w:position w:val="0"/>
          <w:sz w:val="20"/>
          <w:u w:val="none"/>
          <w:vertAlign w:val="baseline"/>
        </w:rPr>
        <w:t xml:space="preserve"> and the Cboe Data Services Fee Schedule, available at </w:t>
      </w:r>
      <w:hyperlink r:id="rId16" w:history="1">
        <w:r>
          <w:rPr>
            <w:rFonts w:ascii="arial" w:eastAsia="arial" w:hAnsi="arial" w:cs="arial"/>
            <w:b w:val="0"/>
            <w:i/>
            <w:strike w:val="0"/>
            <w:noProof w:val="0"/>
            <w:color w:val="0077CC"/>
            <w:position w:val="0"/>
            <w:sz w:val="20"/>
            <w:u w:val="single"/>
            <w:vertAlign w:val="baseline"/>
          </w:rPr>
          <w:t>https://www.cboe.org/publish/mdxfees/cboe-cds-fees-schedule-for-cboe-datafeeds.pdf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C2 Fee Schedule, available at: </w:t>
      </w:r>
      <w:hyperlink r:id="rId17" w:history="1">
        <w:r>
          <w:rPr>
            <w:rFonts w:ascii="arial" w:eastAsia="arial" w:hAnsi="arial" w:cs="arial"/>
            <w:b w:val="0"/>
            <w:i/>
            <w:strike w:val="0"/>
            <w:noProof w:val="0"/>
            <w:color w:val="0077CC"/>
            <w:position w:val="0"/>
            <w:sz w:val="20"/>
            <w:u w:val="single"/>
            <w:vertAlign w:val="baseline"/>
          </w:rPr>
          <w:t>http://www.cboe.com/publish/C2FeeSchedule/C2FeeSchedule.pdf</w:t>
        </w:r>
      </w:hyperlink>
      <w:r>
        <w:rPr>
          <w:rFonts w:ascii="arial" w:eastAsia="arial" w:hAnsi="arial" w:cs="arial"/>
          <w:b w:val="0"/>
          <w:i w:val="0"/>
          <w:strike w:val="0"/>
          <w:noProof w:val="0"/>
          <w:color w:val="000000"/>
          <w:position w:val="0"/>
          <w:sz w:val="20"/>
          <w:u w:val="none"/>
          <w:vertAlign w:val="baseline"/>
        </w:rPr>
        <w:t xml:space="preserve"> and the C2 Data Services Fee Schedule, available at: </w:t>
      </w:r>
      <w:hyperlink r:id="rId18" w:history="1">
        <w:r>
          <w:rPr>
            <w:rFonts w:ascii="arial" w:eastAsia="arial" w:hAnsi="arial" w:cs="arial"/>
            <w:b w:val="0"/>
            <w:i/>
            <w:strike w:val="0"/>
            <w:noProof w:val="0"/>
            <w:color w:val="0077CC"/>
            <w:position w:val="0"/>
            <w:sz w:val="20"/>
            <w:u w:val="single"/>
            <w:vertAlign w:val="baseline"/>
          </w:rPr>
          <w:t>https://www.cboe.org/publish/mdxfees/c2-cds-fees-schedule.pdf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BX Fee Schedule, available at: </w:t>
      </w:r>
      <w:hyperlink r:id="rId19" w:history="1">
        <w:r>
          <w:rPr>
            <w:rFonts w:ascii="arial" w:eastAsia="arial" w:hAnsi="arial" w:cs="arial"/>
            <w:b w:val="0"/>
            <w:i/>
            <w:strike w:val="0"/>
            <w:noProof w:val="0"/>
            <w:color w:val="0077CC"/>
            <w:position w:val="0"/>
            <w:sz w:val="20"/>
            <w:u w:val="single"/>
            <w:vertAlign w:val="baseline"/>
          </w:rPr>
          <w:t>http://nasdaqomxbx.cchwallstreet.com/NASDAQBXTools/PlatformViewer.asp?selectednode=chp_1_2_15&amp;manual=%2FNASDAQOMXBX%2Fmain%2Fbx-eq-rules%2F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NOM Fee Schedule, available at: </w:t>
      </w:r>
      <w:hyperlink r:id="rId20" w:history="1">
        <w:r>
          <w:rPr>
            <w:rFonts w:ascii="arial" w:eastAsia="arial" w:hAnsi="arial" w:cs="arial"/>
            <w:b w:val="0"/>
            <w:i/>
            <w:strike w:val="0"/>
            <w:noProof w:val="0"/>
            <w:color w:val="0077CC"/>
            <w:position w:val="0"/>
            <w:sz w:val="20"/>
            <w:u w:val="single"/>
            <w:vertAlign w:val="baseline"/>
          </w:rPr>
          <w:t>http://nasdaq.cchwallstreet.com/NASDAQTools/PlatformViewer.asp?selectednode=chp_1_1_15_1_2&amp;manual=%2Fnasdaq%2Fmain%2Fnasdaq-optionsrules%2F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PHLX Fee Schedule, available at: </w:t>
      </w:r>
      <w:hyperlink r:id="rId21" w:history="1">
        <w:r>
          <w:rPr>
            <w:rFonts w:ascii="arial" w:eastAsia="arial" w:hAnsi="arial" w:cs="arial"/>
            <w:b w:val="0"/>
            <w:i/>
            <w:strike w:val="0"/>
            <w:noProof w:val="0"/>
            <w:color w:val="0077CC"/>
            <w:position w:val="0"/>
            <w:sz w:val="20"/>
            <w:u w:val="single"/>
            <w:vertAlign w:val="baseline"/>
          </w:rPr>
          <w:t>http://nasdaqomxphlx.cchwallstreet.com/NASDAQPHLXTools/PlatformViewer.asp?selectednode=chp_1_4_2&amp;manual=%2Fnasdaqomxphlx%2Fphlx%2Fphlx-rulesbrd%2F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NASDAQ U.S. Derivatives Data Price List, available at: </w:t>
      </w:r>
      <w:hyperlink r:id="rId22" w:history="1">
        <w:r>
          <w:rPr>
            <w:rFonts w:ascii="arial" w:eastAsia="arial" w:hAnsi="arial" w:cs="arial"/>
            <w:b w:val="0"/>
            <w:i/>
            <w:strike w:val="0"/>
            <w:noProof w:val="0"/>
            <w:color w:val="0077CC"/>
            <w:position w:val="0"/>
            <w:sz w:val="20"/>
            <w:u w:val="single"/>
            <w:vertAlign w:val="baseline"/>
          </w:rPr>
          <w:t>http://www.nasdaqtrader.com/Trader.aspx?id=DPPriceListOptions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proposal is consistent with the requirements of Section 6(b) of the Act, n11 in general, and Section 6(b)(4) and (5) of the Act, n12 in particular, in that it provides for the equitable allocation of reasonable dues, fees, and other charges among BOX Participants and other persons using the Exchange's facilities and is not designed to permit unfair discrimination among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23"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self-regulatory organization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Securities Exchange Act Release No. 51808 (June 9, 2005), </w:t>
      </w:r>
      <w:hyperlink r:id="rId24"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NetCoalition v. Securities and Exchange Commission n14 ("NetCoalition") the D.C. Circuit upheld the Commission's use of a market-based approach in evaluating the fairness of market data fees against a challenge claiming that Congress mandated a cost-based approach. n15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25"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5"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n17 Although the court and the SEC were discussing the cash equities markets, the Exchange believes that these views apply with equal force to the options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25"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26"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believes that the allocation of the proposed fee is fair and equitable in accordance with Section 6(b)(4) of the Act, and not unreasonably discriminatory in accordance with Section 6(b)(5) of the Act. As described in greater detail below, if BOX has calculated improperly and the market deems the proposed fees to be unfair, inequitable, or unreasonably discriminatory, firms can discontinue the use of their data because the proposed product is entirely optional to all parties. Firms are not required to purchase data and BOX is not required to make data available or to offer specific pricing alternatives for potential purchases. BOX can discontinue offering a pricing alternative (as it has in the past) and firms can discontinue their use at any time and for any reason (as they often do), including due to their assessment of the reasonableness of fees </w:t>
      </w:r>
      <w:r>
        <w:rPr>
          <w:rFonts w:ascii="arial" w:eastAsia="arial" w:hAnsi="arial" w:cs="arial"/>
          <w:b/>
          <w:i w:val="0"/>
          <w:strike w:val="0"/>
          <w:noProof w:val="0"/>
          <w:color w:val="000000"/>
          <w:position w:val="0"/>
          <w:sz w:val="20"/>
          <w:u w:val="none"/>
          <w:vertAlign w:val="baseline"/>
        </w:rPr>
        <w:t> [*6286] </w:t>
      </w:r>
      <w:r>
        <w:rPr>
          <w:rFonts w:ascii="arial" w:eastAsia="arial" w:hAnsi="arial" w:cs="arial"/>
          <w:b w:val="0"/>
          <w:i w:val="0"/>
          <w:strike w:val="0"/>
          <w:noProof w:val="0"/>
          <w:color w:val="000000"/>
          <w:position w:val="0"/>
          <w:sz w:val="20"/>
          <w:u w:val="none"/>
          <w:vertAlign w:val="baseline"/>
        </w:rPr>
        <w:t xml:space="preserve"> charged. BOX continues to establish and revise pricing policies aimed at increasing fairness and equitable allocation of fees among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Exchange's proprietary HSVF is currently available to all market participants at a fee of $ 750.00 per month; however, the Exchange now proposes to increase the fee to $ 1,500.00 per month for all market participants who receive the HSVF. The Exchange believes that raising the HSVF fee to $ 1,500 per month per connection is reasonable and appropriate as it is within the connectivity fee range that is charged by other options exchanges. n18 The Exchange believes comparing the HSVF to the data connectivity fees at other exchanges is appropriate as the Exchange currently assess [sic] the HSVF fee by connection to and not consumption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 Cboe's and C2's data distributor CDS charges a $ 500 port fee per month; BZX and EDGX charge a connectivity fee between $ 250 and $ 14,500 a month for connectivity depending upon the data feed; BX charges a port fee between $ 500 and $ 650 per month depending upon the port; NOM charges a port fee between $ 650 and $ 750 a month depending upon the port, and PHLX charges a connectivity fee between $ 65 and $ 6,000 a month depending upon the data feed. The Exchange notes that the above mentioned exchanges charge these fees per port, while the Exchange proposes to assess the fee once per market participant. Furthermore, the Exchange notes that Cboe, C2, BZX, EDGX, NASDAQ BX, NOM, and PHLX charge the above mentioned connectivity fees in addition to data fees, which range from $ 1 to $ 14,500 depending upon the data feed and user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its fees are equitable and not unfairly discriminatory because all market participants are charged the same fee for access to the HSVF. Further, the Exchange notes that all market participants who wish to receive the feed may, as the feed is available to anyone willing to pay the proposed $ 1,500 monthly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proposed change to the Fee Schedule will simply allow the Exchange to charge all market participants equally for the costs incurred by connecting to the BOX Network. The HSVF is similar to proprietary data products currently offered by other exchanges, and these other exchanges charge comparable monthly fees. n19 While connection to the HSVF is required to receive the broadcasts for and participate in the Exchange's auction mechanisms, n20 the Exchange does not believes [sic] the proposed monthly fee will impede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these auctions. As discussed above, the Exchange believes that fees for connectivity are constrained by the robust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among exchanges and non-exchange markets. Further, excessive fees for connectivity would serve to impair [sic]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rather than burdening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such, 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BOX's auction mechanisms include the Price Improvement Period ("PIP"), Complex Order Price Improvement Period ("COPIP"), Facilitation Auction and Solicitation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its determination that the Commission may rely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establish fair and equitably allocated fees for market data, the NetCoalition court found that the Commission had not, in that case, compiled a record that adequately supported its conclusion that the market for the data at issue in the case was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BOX believes that a record may readily be established to demonstrate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the market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platforms that provide transaction execution and routing services and proprietary data products. Transaction execution and proprietary data products are complementary in that market data is both an input and a byproduct of the execution service. In fact, market data and trade execution are a paradigmatic example of joint products with joint costs. Data products are valuable to many end subscribers only insofar as they provide information that end Subscribers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an exchange's Participant's view the costs of transaction executions and of data as a unified cost of doing business with the exchange. A broker-dealer ("BD") will direct orders to a particular exchange only if the expected revenues from executing trades on the exchange exceed net transaction execution costs and the cost of data that the BD chooses to buy to support its trading decisions (or those of its customers). The choice of data products is, in turn, a product of the value of the products in making profitable trading decisions. If the cost of the product exceeds its expected value, the BD will choose not to buy it. Moreover, as a BD chooses to direct fewer orders to a particular exchange, the value of the product to that BD decreases, for two reasons. First, the product will contain less information, because executions of the BD's orders will not be reflected in it. Second, and perhaps more important, the product will be less valuable to that BD because it does not provide information about the venue to which it is directing its orders. Data from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 to which the BD is directing orders will become correspondingly more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an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NetCoalition at 24. However,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Similarly,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Analyzing the cost of market data distribution in isolation from the cost of all of the inputs supporting the creation of market data will inevitably underestimate the cost of the data. Thus, because it is impossible to create data without a fast, technologically robust, and well-regulated execution system, system costs and regulatory costs affect the price of market data. It would be equally misleading, however, to attribute all of the exchange's costs to the market data portion of an exchange's joint product. Rather, all of the exchange's costs are incurred for the unified purposes of attracting order flow, executing and/or routing orders, </w:t>
      </w:r>
      <w:r>
        <w:rPr>
          <w:rFonts w:ascii="arial" w:eastAsia="arial" w:hAnsi="arial" w:cs="arial"/>
          <w:b/>
          <w:i w:val="0"/>
          <w:strike w:val="0"/>
          <w:noProof w:val="0"/>
          <w:color w:val="000000"/>
          <w:position w:val="0"/>
          <w:sz w:val="20"/>
          <w:u w:val="none"/>
          <w:vertAlign w:val="baseline"/>
        </w:rPr>
        <w:t> [*6287] </w:t>
      </w:r>
      <w:r>
        <w:rPr>
          <w:rFonts w:ascii="arial" w:eastAsia="arial" w:hAnsi="arial" w:cs="arial"/>
          <w:b w:val="0"/>
          <w:i w:val="0"/>
          <w:strike w:val="0"/>
          <w:noProof w:val="0"/>
          <w:color w:val="000000"/>
          <w:position w:val="0"/>
          <w:sz w:val="20"/>
          <w:u w:val="none"/>
          <w:vertAlign w:val="baseline"/>
        </w:rPr>
        <w:t xml:space="preserve">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but different platforms may choose from a range of possible, and equally reasonable, pricing strategies as the means of recovering total costs. Some exchanges pays rebates to attract orders, charges relatively low prices for market information and charges relatively high prices for accessing posted liquidity. Other platforms may choose a strategy of paying lower liquidity rebates to attract orders, setting relatively low prices for accessing posted liquidity, and setting relatively high prices for market information. Still others may provide most data free of charge and rely exclusively on transaction fees to recover their costs. Finally, some platforms may incentivize use by providing opportunities for equity ownership, which may allow them to charge lower direct fees for executions and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 Such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unnecessary because an "excessive" price for one of the joint products will ultimately have to be reflected in lower prices for other products sold by the firm, or otherwise the firm will experience a loss in the volume of its sales that will be adverse to its overall profitability. In other words, an increase in the price of data will ultimately have to be accompanied by a decrease in the cost of executions, or the volume of both data and executions will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eleven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BOX, NYSE, NYSE MKT, NYSE Arca, and BATS/Direct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ATS or BD can combine with any other ATS, BD, or multiple ATSs or BDs to produce joint proprietary data products. Additionally, order routers and market data vendors can facilitate single or multiple BDs' production of proprietary data products. The potential sources of proprietary products are virtually limitless. Notably, the potential sources of data include the BDs that submit trade reports to TRFs and that have the ability to consolidate and distribute their data without the involvement of FINRA or an exchange-operated TRF.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BDs,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as BATS and NYSE Arca did before registering as exchanges by publishing proprietary book data on the internet. Second, because a single order or transaction report can appear in a core data product, a SRO proprietary product, and/or a non-SRO proprietary product, the data available in proprietary products is exponentially greater than the actual number of orders and transaction reports that exist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inexpensive, and profitable. The history of electronic trading is replete with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by deregulating the market for proprietary data, has increased the contestability of that market. While BDs have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Multiple market data vendors already have the capability to aggregate data and disseminate it on a profitable scale, including Bloomberg and Thomson Reuters. In Europe, Cinnober aggregates and disseminates data from over 40 brokers and multilateral trading facilities.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http://www.cinnober.com/boat-trade-reporting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environment,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charged for either transactions or data has the potential to impair revenues from both products.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NetCoalition I at 539.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with order flow, since they may readily reduce costs by directing orders toward the lowest-cost trading venues. A BD that shifted its order flow from one platform to another in response to order execution price differentials would both reduce the value of that platform's market data and reduce its own need to consume data from the disfavored platform. If a platform increases its market data fees, the change will affect the overall cost of doing business with the platform, and affected BDs will assess whether they can lower their trading costs by directing orders elsewhere and thereby lessening the need for the more expensive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rule change has become effective pursuant to Section 19(b)(3)(A)(ii) of the Exchange Act n22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(f)(2) thereunder, n23 because it establishes or changes a due, or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9"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8"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any time within 60 days of the filing of the proposed rule change, the Commission summarily may temporarily suspend the rule change if it appears to the Commission that the action is necessary or appropriate in the public interest, for the protection of investors, or would otherwise further the purposes of the Act. If the </w:t>
      </w:r>
      <w:r>
        <w:rPr>
          <w:rFonts w:ascii="arial" w:eastAsia="arial" w:hAnsi="arial" w:cs="arial"/>
          <w:b/>
          <w:i w:val="0"/>
          <w:strike w:val="0"/>
          <w:noProof w:val="0"/>
          <w:color w:val="000000"/>
          <w:position w:val="0"/>
          <w:sz w:val="20"/>
          <w:u w:val="none"/>
          <w:vertAlign w:val="baseline"/>
        </w:rPr>
        <w:t> [*6288] </w:t>
      </w:r>
      <w:r>
        <w:rPr>
          <w:rFonts w:ascii="arial" w:eastAsia="arial" w:hAnsi="arial" w:cs="arial"/>
          <w:b w:val="0"/>
          <w:i w:val="0"/>
          <w:strike w:val="0"/>
          <w:noProof w:val="0"/>
          <w:color w:val="000000"/>
          <w:position w:val="0"/>
          <w:sz w:val="20"/>
          <w:u w:val="none"/>
          <w:vertAlign w:val="baseline"/>
        </w:rPr>
        <w:t xml:space="preserv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SR-BOX-2018-04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SR-BOX-2018-04. This file number should be included on the subject line if email is used. To help the Commission process and review your comments more efficiently, please use only one method. The Commission will post all comments on the Commission's internet website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SR-BOX-2018-04, and should be submitted on or before March 6,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2018-02864 Filed 2-12-18;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83 FR 6284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boxexchange.com" TargetMode="External" /><Relationship Id="rId11" Type="http://schemas.openxmlformats.org/officeDocument/2006/relationships/hyperlink" Target="https://advance.lexis.com/api/document?collection=administrative-codes&amp;id=urn:contentItem:57R0-0RK0-006W-82TX-00000-00&amp;context=" TargetMode="External" /><Relationship Id="rId12" Type="http://schemas.openxmlformats.org/officeDocument/2006/relationships/hyperlink" Target="https://advance.lexis.com/api/document?collection=administrative-codes&amp;id=urn:contentItem:5KGT-1SB0-006W-81W0-00000-00&amp;context=" TargetMode="External" /><Relationship Id="rId13" Type="http://schemas.openxmlformats.org/officeDocument/2006/relationships/hyperlink" Target="http://markets" TargetMode="External" /><Relationship Id="rId14" Type="http://schemas.openxmlformats.org/officeDocument/2006/relationships/hyperlink" Target="http://markets.cboe.com/us/options/membership/fee_schedule/edgx/" TargetMode="External" /><Relationship Id="rId15" Type="http://schemas.openxmlformats.org/officeDocument/2006/relationships/hyperlink" Target="http://www.cboe.com/publish/feeschedule/CBOEFeeSchedule.pdf" TargetMode="External" /><Relationship Id="rId16" Type="http://schemas.openxmlformats.org/officeDocument/2006/relationships/hyperlink" Target="https://www.cboe.org/publish/mdxfees/cboe-cds-fees-schedule-for-cboe-datafeeds.pdf" TargetMode="External" /><Relationship Id="rId17" Type="http://schemas.openxmlformats.org/officeDocument/2006/relationships/hyperlink" Target="http://www.cboe.com/publish/C2FeeSchedule/C2FeeSchedule.pdf" TargetMode="External" /><Relationship Id="rId18" Type="http://schemas.openxmlformats.org/officeDocument/2006/relationships/hyperlink" Target="https://www.cboe.org/publish/mdxfees/c2-cds-fees-schedule.pdf" TargetMode="External" /><Relationship Id="rId19" Type="http://schemas.openxmlformats.org/officeDocument/2006/relationships/hyperlink" Target="http://nasdaqomxbx.cchwallstreet.com/NASDAQBXTools/PlatformViewer.asp?selectednode=chp_1_2_15&amp;manual=%2FNASDAQOMXBX%2Fmain%2Fbx-eq-rules%2F" TargetMode="External" /><Relationship Id="rId2" Type="http://schemas.openxmlformats.org/officeDocument/2006/relationships/webSettings" Target="webSettings.xml" /><Relationship Id="rId20" Type="http://schemas.openxmlformats.org/officeDocument/2006/relationships/hyperlink" Target="http://nasdaq.cchwallstreet.com/NASDAQTools/PlatformViewer.asp?selectednode=chp_1_1_15_1_2&amp;manual=%2Fnasdaq%2Fmain%2Fnasdaq-optionsrules%2F" TargetMode="External" /><Relationship Id="rId21" Type="http://schemas.openxmlformats.org/officeDocument/2006/relationships/hyperlink" Target="http://nasdaqomxphlx.cchwallstreet.com/NASDAQPHLXTools/PlatformViewer.asp?selectednode=chp_1_4_2&amp;manual=%2Fnasdaqomxphlx%2Fphlx%2Fphlx-rulesbrd%2F" TargetMode="External" /><Relationship Id="rId22" Type="http://schemas.openxmlformats.org/officeDocument/2006/relationships/hyperlink" Target="http://www.nasdaqtrader.com/Trader.aspx?id=DPPriceListOptions" TargetMode="External" /><Relationship Id="rId23" Type="http://schemas.openxmlformats.org/officeDocument/2006/relationships/hyperlink" Target="https://advance.lexis.com/api/document?collection=statutes-legislation&amp;id=urn:contentItem:4YF7-GPC1-NRF4-4309-00000-00&amp;context=" TargetMode="External" /><Relationship Id="rId24" Type="http://schemas.openxmlformats.org/officeDocument/2006/relationships/hyperlink" Target="https://advance.lexis.com/api/document?collection=administrative-codes&amp;id=urn:contentItem:4GH9-4PB0-014W-D1VJ-00000-00&amp;context=" TargetMode="External" /><Relationship Id="rId25" Type="http://schemas.openxmlformats.org/officeDocument/2006/relationships/hyperlink" Target="https://advance.lexis.com/api/document?collection=cases&amp;id=urn:contentItem:803V-DT30-YB0V-T01B-00000-00&amp;context=" TargetMode="External" /><Relationship Id="rId26" Type="http://schemas.openxmlformats.org/officeDocument/2006/relationships/hyperlink" Target="https://advance.lexis.com/api/document?collection=administrative-codes&amp;id=urn:contentItem:4V3T-8BP0-006W-834G-00000-00&amp;context=" TargetMode="External" /><Relationship Id="rId27" Type="http://schemas.openxmlformats.org/officeDocument/2006/relationships/hyperlink" Target="http://www.cinnober.com/boat-trade-reporting"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MT-24R0-006W-84KM-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6284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