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7812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036, Thursday, February 22,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7812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22,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Rule 7039 To Modify Pricing for the Nasdaq Last Sale Data Product and To Make Other Related Changes to Nasdaq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34-82723; File No. SR-NASDAQ-2018-010]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15,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notice is hereby given that on February 2, 2018,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Rule 7039 (Nasdaq Last Sale and Nasdaq Last Sale Plus Data Feeds) n3 to modify pricing for the Nasdaq Last Sale ("NLS") data product and to make other related changes to Nasdaq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References to rules are to Nasdaq rules, unless otherwise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Rule 7039 to modify the pricing framework for the NLS data product. NLS is a market data product that comprises two proprietary data feeds containing real-time last sale Information n4 for trades executed on the Exchange or reported to the FINRA/Nasdaq Trade Reporting Facility (the "FINRA/Nasdaq TRF"). n5 As such, NLS is a "non-core" product that provides a subset of the "core" last-sale data provided by securities information processors ("SIPs") under the CTA Plan and the Nasdaq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 this filing, Nasdaq is proposing, among other things, to adopt new defined terms for use in Rule 7039. At a later date, Nasdaq intends to submit an additional proposed rule change to move these definitions into a new rule and propose to expand its applicability to all market data fee rules in the 7000 rule series. The term "Information" is a broad generic term designed to encompass the full range of information or data transmitted by Nasdaq, and as such will be defined to mean "any data or information that has been collected, validated, processed and/or recorded by the Exchange and made available for transmission relating to: (i) Eligible securities or other financial instruments, markets, products, vehicles, indicators or devices; (ii) activities of the Exchange; or (iii) other information or data from the Exchange. Information includes, but is not limited to, any element of information used or processed in such a way that Exchange Information or a substitute for such Information can be identified, recalculated or re-engineered from the processed information." The term is not currently defined in Exchange rules. Of note, "Derived Data" is excluded from the definition of "Information," and as discussed below, is defined separately. The term "Information" will be proposed for wider use in a future rule filing concerning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7039(a)-(c).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71351 (January 17, 2014), </w:t>
      </w:r>
      <w:hyperlink r:id="rId11" w:history="1">
        <w:r>
          <w:rPr>
            <w:rFonts w:ascii="arial" w:eastAsia="arial" w:hAnsi="arial" w:cs="arial"/>
            <w:b w:val="0"/>
            <w:i/>
            <w:strike w:val="0"/>
            <w:noProof w:val="0"/>
            <w:color w:val="0077CC"/>
            <w:position w:val="0"/>
            <w:sz w:val="20"/>
            <w:u w:val="single"/>
            <w:vertAlign w:val="baseline"/>
          </w:rPr>
          <w:t>79 FR 4200</w:t>
        </w:r>
      </w:hyperlink>
      <w:r>
        <w:rPr>
          <w:rFonts w:ascii="arial" w:eastAsia="arial" w:hAnsi="arial" w:cs="arial"/>
          <w:b w:val="0"/>
          <w:i w:val="0"/>
          <w:strike w:val="0"/>
          <w:noProof w:val="0"/>
          <w:color w:val="000000"/>
          <w:position w:val="0"/>
          <w:sz w:val="20"/>
          <w:u w:val="none"/>
          <w:vertAlign w:val="baseline"/>
        </w:rPr>
        <w:t xml:space="preserve"> (January 24, 2014) (SR-NASDAQ-2014-006) (notice of filing and immediate effectiveness regarding permanent approval of NLS).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the filing that originally established it, n6 NLS was designed to enable market-data "distributors to provide free access to the data [contained in NLS] to millions of individual investors via the internet and television" and was expected to "increase[] the availability of NASDAQ proprietary market data to individual investors." n7 Similarly, in its filing to offer NLS on a permanent, rather than a pilot, basis, Nasdaq stated that "[d]uring the pilot period, the program has vastly increased the availability of NASDAQ proprietary market data to individual investors. Based upon data from NLS Distributors, NASDAQ believes that since its launch in July 2008, the NLS data has been viewed by millions of investors on websites operated by Google, Interactive Data, and Dow Jones, among others."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SR-NASDAQ-2006-060 (Amendment No. 2, June 10, 2008) (available at </w:t>
      </w:r>
      <w:hyperlink r:id="rId12" w:history="1">
        <w:r>
          <w:rPr>
            <w:rFonts w:ascii="arial" w:eastAsia="arial" w:hAnsi="arial" w:cs="arial"/>
            <w:b w:val="0"/>
            <w:i/>
            <w:strike w:val="0"/>
            <w:noProof w:val="0"/>
            <w:color w:val="0077CC"/>
            <w:position w:val="0"/>
            <w:sz w:val="20"/>
            <w:u w:val="single"/>
            <w:vertAlign w:val="baseline"/>
          </w:rPr>
          <w:t>http://nasdaq.cchwallstreet.com/NASDAQ/pdf/nasdaq-filings/2006/SR-NASDAQ-2006-060_Amendment_2.pdf</w:t>
        </w:r>
      </w:hyperlink>
      <w:r>
        <w:rPr>
          <w:rFonts w:ascii="arial" w:eastAsia="arial" w:hAnsi="arial" w:cs="arial"/>
          <w:b w:val="0"/>
          <w:i w:val="0"/>
          <w:strike w:val="0"/>
          <w:noProof w:val="0"/>
          <w:color w:val="000000"/>
          <w:position w:val="0"/>
          <w:sz w:val="20"/>
          <w:u w:val="none"/>
          <w:vertAlign w:val="baseline"/>
        </w:rPr>
        <w:t xml:space="preserve">). See also Securities Exchange Act Release No. 57965 (June 16, 2008), </w:t>
      </w:r>
      <w:hyperlink r:id="rId13"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(approving SR-NASDAQ-2006-060, as amended by Amendment Nos. 1 and 2, to implement NLS on a pilot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SR-NASDAQ-2006-060 (Amendment No. 2, June 10, 2008),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Securities Exchange Act Release No. 71351 (January 17, 2014), </w:t>
      </w:r>
      <w:hyperlink r:id="rId11" w:history="1">
        <w:r>
          <w:rPr>
            <w:rFonts w:ascii="arial" w:eastAsia="arial" w:hAnsi="arial" w:cs="arial"/>
            <w:b w:val="0"/>
            <w:i/>
            <w:strike w:val="0"/>
            <w:noProof w:val="0"/>
            <w:color w:val="0077CC"/>
            <w:position w:val="0"/>
            <w:sz w:val="20"/>
            <w:u w:val="single"/>
            <w:vertAlign w:val="baseline"/>
          </w:rPr>
          <w:t>79 FR 4200</w:t>
        </w:r>
      </w:hyperlink>
      <w:r>
        <w:rPr>
          <w:rFonts w:ascii="arial" w:eastAsia="arial" w:hAnsi="arial" w:cs="arial"/>
          <w:b w:val="0"/>
          <w:i w:val="0"/>
          <w:strike w:val="0"/>
          <w:noProof w:val="0"/>
          <w:color w:val="000000"/>
          <w:position w:val="0"/>
          <w:sz w:val="20"/>
          <w:u w:val="none"/>
          <w:vertAlign w:val="baseline"/>
        </w:rPr>
        <w:t xml:space="preserve"> (January 24, 2014) (SR-NASDAQ-2014-006).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 schedule for NLS currently offers Distributors n9 several different pricing models from which they may select in determining the fees applicable to distribution of the product. Specifically, in keeping with the goal of NLS to promote the accessibility of data to individual investors, Distributors may choose to distribute NLS in an uncontrolled fashion via television or the internet and pay under pricing models that require them to estimate the number of households or website visitors to which the data is provided. Alternatively, a Distributor may opt for a pricing model that requires it to count its customers based on a username and password system, or a model under which data is supplied on an ad hoc basis in response to customer queries. In both these cases, the pricing model assumes distribution through a website, such as might be provided by a broker-dealer ("BD") to customers who log in using a username and password, or who enter ticker symbols into a website to </w:t>
      </w:r>
      <w:r>
        <w:rPr>
          <w:rFonts w:ascii="arial" w:eastAsia="arial" w:hAnsi="arial" w:cs="arial"/>
          <w:b/>
          <w:i w:val="0"/>
          <w:strike w:val="0"/>
          <w:noProof w:val="0"/>
          <w:color w:val="000000"/>
          <w:position w:val="0"/>
          <w:sz w:val="20"/>
          <w:u w:val="none"/>
          <w:vertAlign w:val="baseline"/>
        </w:rPr>
        <w:t> [*7813] </w:t>
      </w:r>
      <w:r>
        <w:rPr>
          <w:rFonts w:ascii="arial" w:eastAsia="arial" w:hAnsi="arial" w:cs="arial"/>
          <w:b w:val="0"/>
          <w:i w:val="0"/>
          <w:strike w:val="0"/>
          <w:noProof w:val="0"/>
          <w:color w:val="000000"/>
          <w:position w:val="0"/>
          <w:sz w:val="20"/>
          <w:u w:val="none"/>
          <w:vertAlign w:val="baseline"/>
        </w:rPr>
        <w:t xml:space="preserve"> query for last sale information. n10 Thus, consistent with the stated purpose of NLS, the fee structure under which NLS is made available reflects a model of widespread distribution to individual investors. The fees for these different pricing models are tiered based on volume, with the fees for marginal usage reduced as a Distributor achieves certain volume levels. Moreover, the maximum monthly fee for NLS, regardless of usage levels, under these distribution models is $ 41,500.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Nasdaq is proposing to define a "Distributor" as "an entity, as identified in the Nasdaq Global Data Agreement (or any successor agreement), that executes such an Agreement and has access to Exchange Information, together with its affiliates having such access." The Nasdaq Global Data Agreement is the standardized agreement that entities receiving Information sign to establish a contractual relationship with the Exchange. The word is currently defined in several Exchange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Rules 7047 (Nasdaq Basic), 7019 (Market Data Distributor Fees), and 7023 (Nasdaq Depth-of-Book Data)--in terms that focus on (i) receipt of Exchange information, and (ii) the provision of the information to internal or external Subscribers. Thus, "Distributor" broadly covers any person that receives Information and makes it available. Since such persons are required to sign the Nasdaq Global Data Agreement to establish a contractual right to distribute Information, the new definition is intended to simplify the definition through reference to the objective fact of a contract, but is not intended to narrow or broaden the scope of the term from the manner in which it is defined in existing rules. In fact, Rule 7019 similarly refers to the requirement that distributors execute an agreement with the Exchange. The new definition further specifies that the term Distributor includes both an entity </w:t>
      </w:r>
      <w:r>
        <w:rPr>
          <w:rFonts w:ascii="arial" w:eastAsia="arial" w:hAnsi="arial" w:cs="arial"/>
          <w:b w:val="0"/>
          <w:i/>
          <w:strike w:val="0"/>
          <w:noProof w:val="0"/>
          <w:color w:val="000000"/>
          <w:position w:val="0"/>
          <w:sz w:val="20"/>
          <w:u w:val="none"/>
          <w:vertAlign w:val="baseline"/>
        </w:rPr>
        <w:t>and its affiliates</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have access</w:t>
      </w:r>
      <w:r>
        <w:rPr>
          <w:rFonts w:ascii="arial" w:eastAsia="arial" w:hAnsi="arial" w:cs="arial"/>
          <w:b w:val="0"/>
          <w:i w:val="0"/>
          <w:strike w:val="0"/>
          <w:noProof w:val="0"/>
          <w:color w:val="000000"/>
          <w:position w:val="0"/>
          <w:sz w:val="20"/>
          <w:u w:val="none"/>
          <w:vertAlign w:val="baseline"/>
        </w:rPr>
        <w:t xml:space="preserve"> to Information; the inclusion of affiliates and the reference to having access are both consistent with the manner in which current definitions are interpreted. The new definition also eliminates superfluous references to </w:t>
      </w:r>
      <w:r>
        <w:rPr>
          <w:rFonts w:ascii="arial" w:eastAsia="arial" w:hAnsi="arial" w:cs="arial"/>
          <w:b w:val="0"/>
          <w:i/>
          <w:strike w:val="0"/>
          <w:noProof w:val="0"/>
          <w:color w:val="000000"/>
          <w:position w:val="0"/>
          <w:sz w:val="20"/>
          <w:u w:val="none"/>
          <w:vertAlign w:val="baseline"/>
        </w:rPr>
        <w:t>internal and external</w:t>
      </w:r>
      <w:r>
        <w:rPr>
          <w:rFonts w:ascii="arial" w:eastAsia="arial" w:hAnsi="arial" w:cs="arial"/>
          <w:b w:val="0"/>
          <w:i w:val="0"/>
          <w:strike w:val="0"/>
          <w:noProof w:val="0"/>
          <w:color w:val="000000"/>
          <w:position w:val="0"/>
          <w:sz w:val="20"/>
          <w:u w:val="none"/>
          <w:vertAlign w:val="baseline"/>
        </w:rPr>
        <w:t xml:space="preserve"> receipt and distribution.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Nasdaq notes that BDs may provide NLS data to customers in circumstances where they are not required to provide a consolidated display by SEC Rule 603(c), </w:t>
      </w:r>
      <w:hyperlink r:id="rId14"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5" w:history="1">
        <w:r>
          <w:rPr>
            <w:rFonts w:ascii="arial" w:eastAsia="arial" w:hAnsi="arial" w:cs="arial"/>
            <w:b w:val="0"/>
            <w:i/>
            <w:strike w:val="0"/>
            <w:noProof w:val="0"/>
            <w:color w:val="0077CC"/>
            <w:position w:val="0"/>
            <w:sz w:val="20"/>
            <w:u w:val="single"/>
            <w:vertAlign w:val="baseline"/>
          </w:rPr>
          <w:t>70 FR 37496, 35569</w:t>
        </w:r>
      </w:hyperlink>
      <w:r>
        <w:rPr>
          <w:rFonts w:ascii="arial" w:eastAsia="arial" w:hAnsi="arial" w:cs="arial"/>
          <w:b w:val="0"/>
          <w:i w:val="0"/>
          <w:strike w:val="0"/>
          <w:noProof w:val="0"/>
          <w:color w:val="000000"/>
          <w:position w:val="0"/>
          <w:sz w:val="20"/>
          <w:u w:val="none"/>
          <w:vertAlign w:val="baseline"/>
        </w:rPr>
        <w:t xml:space="preserve"> [sic] -37570 (June 29, 2005) (File No. S7-10-04) ("Reg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data products sold by Nasdaq and others distinguish between data usage based on whether the data is being used by "Professionals" or "Non-Professionals," with different prices charged for each category. n11 A "Non-Professional" is defined as "a natural person who is not: (A) Registered or qualified in any capacity with the Securities and Exchange Commission, the Commodity Futures Trading Commission, any state securities agency, any securities exchange or association, or any commodities or futures contract market or association; (B) engaged as an 'investment' adviser' as that term is defined in Section 202(a)(11) of the Investment Advisers Act of 1940 (whether or not registered or qualified under that Act); or (C) employed by a bank or other organization exempt from registration under federal or state securities laws to perform functions that would require registration or qualification if such functions were performed for an organization not so exempt." n12 A "Professional" is defined as "any natural person, proprietorship, corporation, partnership, or other entity whatever other than a Non-Professional." n13 The fee structure for NLS does not, however, currently contain provisions that make these distinctions or that clearly contemplate internal distribution of the product to BD employees or other Professionals. Rather, the fee structures and distribution models of NLS reflect Nasdaq's assumption that it is a product of interest to a broad range of individual investors, to be distributed in a relatively uncontrolled manner through websites (either password protected or not) or television.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Joint Self-Regulatory Organization Plan Governing the Collection, Consolidation and Dissemination of Quotation and Transaction Information for Nasdaq-Listed Securities Traded on Exchanges on an Unlisted Trading Privileged Basis ("Nasdaq UTP Plan") (available at </w:t>
      </w:r>
      <w:hyperlink r:id="rId16" w:history="1">
        <w:r>
          <w:rPr>
            <w:rFonts w:ascii="arial" w:eastAsia="arial" w:hAnsi="arial" w:cs="arial"/>
            <w:b w:val="0"/>
            <w:i/>
            <w:strike w:val="0"/>
            <w:noProof w:val="0"/>
            <w:color w:val="0077CC"/>
            <w:position w:val="0"/>
            <w:sz w:val="20"/>
            <w:u w:val="single"/>
            <w:vertAlign w:val="baseline"/>
          </w:rPr>
          <w:t>http://www.utpplan.com/utp_plan</w:t>
        </w:r>
      </w:hyperlink>
      <w:r>
        <w:rPr>
          <w:rFonts w:ascii="arial" w:eastAsia="arial" w:hAnsi="arial" w:cs="arial"/>
          <w:b w:val="0"/>
          <w:i w:val="0"/>
          <w:strike w:val="0"/>
          <w:noProof w:val="0"/>
          <w:color w:val="000000"/>
          <w:position w:val="0"/>
          <w:sz w:val="20"/>
          <w:u w:val="none"/>
          <w:vertAlign w:val="baseline"/>
        </w:rPr>
        <w:t>); Rule 7023 (Nasdaq Depth-of-Book Data); Rule 7026 (Distribution Models); Rule 7047 (Nasdaq Basic).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term "Non-Professional" is currently defined at Rules 7023(a)(3)(A) and 7047(d)(3)(A). The definition of Non-Professional is well-established in the securities industry, and has been part of the Nasdaq rule book since at least 2002.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46521 (September 20, 2002), </w:t>
      </w:r>
      <w:hyperlink r:id="rId17" w:history="1">
        <w:r>
          <w:rPr>
            <w:rFonts w:ascii="arial" w:eastAsia="arial" w:hAnsi="arial" w:cs="arial"/>
            <w:b w:val="0"/>
            <w:i/>
            <w:strike w:val="0"/>
            <w:noProof w:val="0"/>
            <w:color w:val="0077CC"/>
            <w:position w:val="0"/>
            <w:sz w:val="20"/>
            <w:u w:val="single"/>
            <w:vertAlign w:val="baseline"/>
          </w:rPr>
          <w:t>67 FR 61179 at n.10</w:t>
        </w:r>
      </w:hyperlink>
      <w:r>
        <w:rPr>
          <w:rFonts w:ascii="arial" w:eastAsia="arial" w:hAnsi="arial" w:cs="arial"/>
          <w:b w:val="0"/>
          <w:i w:val="0"/>
          <w:strike w:val="0"/>
          <w:noProof w:val="0"/>
          <w:color w:val="000000"/>
          <w:position w:val="0"/>
          <w:sz w:val="20"/>
          <w:u w:val="none"/>
          <w:vertAlign w:val="baseline"/>
        </w:rPr>
        <w:t xml:space="preserve"> (September 27, 2002) (SR-NASD-2002-33). The Exchange proposes to maintain that definition, correcting the citation to the definition of investment adviser as defined in the Investment Advisers Act of 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Nasdaq is proposing to adopt these definitions as part of Rule 7039, but will propose to move them, along with similar definitions appearing elsewhere in the Exchange's rules, into a single definition rule in a subsequent filing. "Professional Subscriber" is currently defined at Rules 7023(a)(3)(B) and 7047(d)(3)(B). The definitions proposed to be included in Rule 7039 are substantively the same as definitions found in existing Exchange rules, with the clarification that either a natural person or an entity may be a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Regardless of the fee structure selected, NLS Distributors pay a monthly Distributor fee, as provided in Rule 7039(c) (which is being redesignated, with certain modifications described below, as Rule 7039(d)). In addition, as provided in Rule 7035, all market data distributors pay a monthly administrative fee (formerly a higher annual fee) of $ 50 (for delayed distribution) or $ 100 (for real-time, or real-time and delayed distribution). The administrative fee is paid on a per distributor basis; thus, if a distributor is already paying the fee with respect to a product other than NLS, it would not incur an additional administrative fee if it also began to distribute NLS.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proposing changes to the current NLS fee structure in order to more clearly reflect the use cases under which NLS is currently made available and to establish pricing for additional use cases. First, Nasdaq is proposing to categorize existing fee distribution models as "distribution models for the general investing public," while also specifically identifying the terms and conditions applicable to each of these pricing categories. Thus, distribution via a username/password entitlement system is being defined as a "Per User" distribution model. In order to adopt the Per User model, (i) a Distributor must distribute NLS solely to "Users" for "Display Usage," n15 (ii) all such Users must be either Non-Professionals or Professionals whom the Distributor has no reason to believe are using NLS in their professional capacity, and (iii) the Distributor must restrict and track access to NLS using a username/password logon or comparable method of regulating access approved by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"User" is being defined as "a natural person who has access to Exchange Information." The term is not currently defined in Exchange rules so the definition will provide a convenient nomenclature for distinguishing natural persons with access to Exchange Information from other instances of access to Exchange Information. The term is currently used, but not defined, in Rule 7039, and the new definition is intended to be consistent with the manner in which the term is currently construed. The Exchange proposes introducing a definition here to prevent any potential confusion between a User (a natural person who has access to Exchange Information), a Recipient (a natural person or entity that has access to Exchange Information), and a Subscriber (a method of accessing Exchange Information). "Display Usage" is being defined as "any method of accessing Exchange Information that involves the display of such data on a screen or other mechanism designed for access or use by a natural person or persons." This definition is consistent with current definitions of the term in, for example, Rule 7023 (Nasdaq Depth-of-Book Data). The effect of these definitions together is to limit the availability of this pricing model to visual access by natural persons, thus excluding access by automated processes such as trading algorithms.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Per User model might be used by a BD to distribute NLS to customers through on-line brokerage accounts accessible after the customer logs in using a username and password. While many of the Recipients of data under such a model would be Non-Professionals, the model does not require a Distributor to limit distribution to Non-Professionals. Rather, the model would allow a Distributor to provide the data to Professionals, as long as it has no reason to believe that they are using the data in a professional capacity. Thus, for example, if a BD makes the data available to all of its on-line customers, it would not have any basis to believe that customers who happen to be Professionals would be using the data in a Professional capacity. By contrast, the Per User model would not allow a BD to distribute the data to a set of Users consisting solely of its own employees, since it would be reasonable to expect that the employees would use the data in connection with their employment. Similarly, if a Distributor provided the data through terminals generally made available to Professionals in their place of employment, or marketed the product to persons known to be Professionals, it would be unreasonable for the Distributor to believe that the data was not being used for professional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standard for the applicability of the Per User model is similar to, but less strict than, the standard adopted by Nasdaq with respect to the availability of an enterprise license for a BD to distribute Nasdaq Basic n16 to an unlimited number of Professionals and Non-Professionals who are natural persons and with whom it has a brokerage relationship. n17 With </w:t>
      </w:r>
      <w:r>
        <w:rPr>
          <w:rFonts w:ascii="arial" w:eastAsia="arial" w:hAnsi="arial" w:cs="arial"/>
          <w:b/>
          <w:i w:val="0"/>
          <w:strike w:val="0"/>
          <w:noProof w:val="0"/>
          <w:color w:val="000000"/>
          <w:position w:val="0"/>
          <w:sz w:val="20"/>
          <w:u w:val="none"/>
          <w:vertAlign w:val="baseline"/>
        </w:rPr>
        <w:t> [*7814] </w:t>
      </w:r>
      <w:r>
        <w:rPr>
          <w:rFonts w:ascii="arial" w:eastAsia="arial" w:hAnsi="arial" w:cs="arial"/>
          <w:b w:val="0"/>
          <w:i w:val="0"/>
          <w:strike w:val="0"/>
          <w:noProof w:val="0"/>
          <w:color w:val="000000"/>
          <w:position w:val="0"/>
          <w:sz w:val="20"/>
          <w:u w:val="none"/>
          <w:vertAlign w:val="baseline"/>
        </w:rPr>
        <w:t xml:space="preserve"> respect to that license, a Professional may not use an instance of Nasdaq Basic obtained under the license in its professional capacity; moreover, the BD Distributor would be expected to enforce this limitation or jeopardize its eligibility for the reduced fee provided by the license. The proposed standard with respect to Nasdaq Last Sale is less stringent, because occasional incidental use by a Professional in connection with its professional activities would not affect the Distributor's eligibility for the Per User fee, as long as the Distributor, in establishing the connection to the Professional User, did not have reason to believe that professional usage would occur. Nasdaq believes that a different standard that might occasionally result in incidental Professional use is reasonable because NLS contains less information and does not provide pre-trade transparency, and is therefore likely to be of less consistent use to a Professional than Nasdaq Basic or other products that provide greater pre-trade information. Accordingly, Nasdaq proposes to adopt a more permissive standard that will impose lower administrative burdens on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Nasdaq Basic (Rule 7047) comprises best bid and offer and last sale information from the Exchange and the FINRA/Nasdaq TRF.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Securities Exchange Act Release No. 65526 (October 11, 2011), </w:t>
      </w:r>
      <w:hyperlink r:id="rId18" w:history="1">
        <w:r>
          <w:rPr>
            <w:rFonts w:ascii="arial" w:eastAsia="arial" w:hAnsi="arial" w:cs="arial"/>
            <w:b w:val="0"/>
            <w:i/>
            <w:strike w:val="0"/>
            <w:noProof w:val="0"/>
            <w:color w:val="0077CC"/>
            <w:position w:val="0"/>
            <w:sz w:val="20"/>
            <w:u w:val="single"/>
            <w:vertAlign w:val="baseline"/>
          </w:rPr>
          <w:t>76 FR 64137</w:t>
        </w:r>
      </w:hyperlink>
      <w:r>
        <w:rPr>
          <w:rFonts w:ascii="arial" w:eastAsia="arial" w:hAnsi="arial" w:cs="arial"/>
          <w:b w:val="0"/>
          <w:i w:val="0"/>
          <w:strike w:val="0"/>
          <w:noProof w:val="0"/>
          <w:color w:val="000000"/>
          <w:position w:val="0"/>
          <w:sz w:val="20"/>
          <w:u w:val="none"/>
          <w:vertAlign w:val="baseline"/>
        </w:rPr>
        <w:t xml:space="preserve"> (October 17, 2011) (SR-NASDAQ-2011-130) (adopting enterprise license for non-professional brokerage customers); Securities Exchange Act Release No. 72620 (July 16, 2014), </w:t>
      </w:r>
      <w:hyperlink r:id="rId19" w:history="1">
        <w:r>
          <w:rPr>
            <w:rFonts w:ascii="arial" w:eastAsia="arial" w:hAnsi="arial" w:cs="arial"/>
            <w:b w:val="0"/>
            <w:i/>
            <w:strike w:val="0"/>
            <w:noProof w:val="0"/>
            <w:color w:val="0077CC"/>
            <w:position w:val="0"/>
            <w:sz w:val="20"/>
            <w:u w:val="single"/>
            <w:vertAlign w:val="baseline"/>
          </w:rPr>
          <w:t>79 FR 42572</w:t>
        </w:r>
      </w:hyperlink>
      <w:r>
        <w:rPr>
          <w:rFonts w:ascii="arial" w:eastAsia="arial" w:hAnsi="arial" w:cs="arial"/>
          <w:b w:val="0"/>
          <w:i w:val="0"/>
          <w:strike w:val="0"/>
          <w:noProof w:val="0"/>
          <w:color w:val="000000"/>
          <w:position w:val="0"/>
          <w:sz w:val="20"/>
          <w:u w:val="none"/>
          <w:vertAlign w:val="baseline"/>
        </w:rPr>
        <w:t xml:space="preserve"> (July 22, 2014) (expanding enterprise license to include professional brokerage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Distributor selecting the Per User model is charged based on the number of Users with the potential to access NLS during a month. However, if the Distributor is able to track the number of Users that actually accessed NLS during a month, the Distributor will be charged based on the number of such Users. This latter provision represents a change from current methodology, and will provide an incentive for Distributors to implement systems to track actual data usage, since this will allow them to reduce the fees that they pay. Apart from this change, the fees applicable to this model are not being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 Query" model will be available if: (i) A Distributor distributes NLS solely to Users for Display Usage, and (ii) the Distributor tracks queries using a method approved by Nasdaq. Thus, in contrast to a Per User model, which makes all data available in a streaming or montage format, the Per Query model supplies only as much data as the User requests on an ad hoc basis. Because a Per Query model is unlikely to be of significant use to Professionals acting in a professional capacity, the model does not place limitations on the persons to whom it is offered (as long as they are natural persons viewing the data through Display Usage). The model also does not require the Distributor to limit access through any sort of entitlement system; thus, Per Query data may be made available through a publicly accessible website. However, if a Distributor selecting the Per Query model does restrict access using a username/password system, the Distributor may opt to be charged under the Per User model in a particular month if the applicable Per Query charges that month would exceed the applicable Per User charges. n18 The applicable fees for the per query model are not being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This is not a change from the current rule, although Nasdaq is clarifying the language that describes this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Unrestricted distribution via the internet is being defined as a "Per Device" model, and is available to a Distributor that: (i) Distributes NLS for Display Usage in a manner that does not restrict access, and (ii) tracks the number of unique Devices that access NLS during each month using a method approved by Nasdaq. n19 Thus, this distribution method does not require the Distributor to distinguish among Non-Professionals or Professionals receiving the data, since the data is made freely available to internet users. The method would generally be used by internet news sites, but might also be used by a BD if it wished to place freely available content on its website. A Distributor using this method would be charged for each unique Device accessing the data, regardless of whether it is controlled by a Recipient. n20 Thus, for example, if a single person owned a laptop, a smartphone, and a tablet and used all three to access the data, the Distributor would be charged for each Device. This is the case because the Distributor would track usage based on the unique characteristics of the Device (including, but not limited to, IP address, host name, and cookie data), but would likely not have data that would allow it to associate the Devices with a single user.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As reflected in the definition adopted as part of this filing, the term "Device" has the same meaning as "Subscriber." A Subscriber, in turn, is not a person, but rather means "a device, computer terminal, automated service, or unique user identification and password combination that is not shared and prohibits simultaneous access, and which is capable of receiving Exchange Information; 'Interrogation Device', 'Device' or 'Access' have the same meaning as 'Subscriber'. For any device, computer terminal, automated service, or unique user identification and password combination that is shared or allows simultaneous access, Subscriber shall mean the number of such simultaneous accesses." The definitions of these terms are consistent with the definitions found in IM-7023-1 (U.S. Non-Display Information) and are intended to be construed in a similar manner, while specifying, in accordance with current interpretations, that the term covers the capability to receive Information as well as the actual receipt. Thus, a single Recipient with two devices constitutes two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term "Recipient" is defined to mean "any natural person, proprietorship, corporation, partnership, or other entity whatever that has access to Exchange Information." This term, which is not currently defined in Exchange Rules, simply provides a convenient method for referring to both natural and legal persons that have access to Exchange Information, and is defined to prevent any confusion among the terms Subscriber (a technical term describing how Information is received from the Exchange), Recipient (a natural person or entity that receives Information), and, as discussed above, a User (a natural person who receives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definition of Subscriber is also proposed to be used with respect to proposed Rule 7039(c), as described below, and Nasdaq expects to propose to apply the definition to other market data rules in the future. However, the portion of the definition pertaining to "simultaneous accesses" is not relevant to the "Per Device" model. Accordingly, Nasdaq is proposing to add language to Rule 7039(b)(3) to provide that a Distributor under the Per Device model will be charged based on the number of unique Devices without regard to the number of simultaneous accesses by a single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7039 currently uses the term "Unique Visitors" and requires the number of Unique Visitors to be validated by a Nasdaq-approved vendor, but does not define the term. The new term "Device" is intended to clarify that the fee is to be assessed based on the number of Devices that visit a site to get data, rather than the number of persons. While this term does not reflect a change from the manner in which the term "unique visitor" has been interpreted by the Exchange, Nasdaq believes that the change will make the application of the rule clearer. Moreover, the fees associated with particular levels of distribution under this model are not changing. Nasdaq is also replacing the requirement that the number be validated by a third party with a requirement that the Distributor's tracking method be approved by Nasdaq. This change reflects the fact that methods of tracking web traffic have become more developed since the time Rule 7039 was first adopted and therefore do not require third-party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currently the case, the maximum fee that any Distributor would be required to pay for NLS under any combination of these distribution models would be $ 41,500. However, Nasdaq is proposing to eliminate the existing fee schedule for television distribution and is instead proposing that a Distributor that wishes to distribute Nasdaq Last Sale via television must pay the maximum fee and may then distribute Nasdaq Last Sale either solely via television or in </w:t>
      </w:r>
      <w:r>
        <w:rPr>
          <w:rFonts w:ascii="arial" w:eastAsia="arial" w:hAnsi="arial" w:cs="arial"/>
          <w:b/>
          <w:i w:val="0"/>
          <w:strike w:val="0"/>
          <w:noProof w:val="0"/>
          <w:color w:val="000000"/>
          <w:position w:val="0"/>
          <w:sz w:val="20"/>
          <w:u w:val="none"/>
          <w:vertAlign w:val="baseline"/>
        </w:rPr>
        <w:t> [*7815] </w:t>
      </w:r>
      <w:r>
        <w:rPr>
          <w:rFonts w:ascii="arial" w:eastAsia="arial" w:hAnsi="arial" w:cs="arial"/>
          <w:b w:val="0"/>
          <w:i w:val="0"/>
          <w:strike w:val="0"/>
          <w:noProof w:val="0"/>
          <w:color w:val="000000"/>
          <w:position w:val="0"/>
          <w:sz w:val="20"/>
          <w:u w:val="none"/>
          <w:vertAlign w:val="baseline"/>
        </w:rPr>
        <w:t xml:space="preserve"> combination with unlimited use of the Per User, Per Query, and/or Per Device model. This is the case because all current television Distributors also distribute NLS via the internet and pay the maximum fee. Thus, no current Distributors would be affected by the elimination of the specific television schedule. Moreover, in light of the confluence of television and internet content, and the extent to which television broadcasters use both media to reach their audience, Nasdaq believes that providing a license for multiple means of distribution in tandem is reasonable. Nasdaq further believes that the maximum fee of $ 41,500 per month is a reasonable charge to assess a Distributor that wishes to engage in unlimited distribution of the product through either television or television in combination with web-based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fee and distribution framework for NLS is not structured in a manner that contemplates distribution to a base of Professionals, such as might occur if a BD made the data available to its registered representatives through an employer-provided workstation or software application. For this reason, Nasdaq believes that it is appropriate to adopt a fee schedule that covers use cases that are not contemplated by the current fee schedule. Under the proposal, if a Distributor is not able to use any of the distribution models for the general investing public but still wishes to distribute NLS, it will be required to pay fees applicable to a model for "specialized usage." In general, the model would require a Distributor to track either the number of Subscribers to which the data is made available or the number of queries made for the data, and would impose either a per Subscriber fee or a per query fee. The per Subscriber fee will be $ 13 for NLS for Nasdaq and $ 13 for NLS for NYSE/NYSE American or any Derived Data therefrom. n22 The per query fee will be $ 0.0025 for NLS for Nasdaq and $ 0.0015 for NLS for NYSE/NYSE American. The per query fees assessed to Subscribers will be capped on a monthly basis at the level of the monthly per Subscriber fee. Thus, a particular Subscriber would not be charged more than $ 13 for NLS for Nasdaq or $ 13 for NLS for NYSE/NYSE American, regardless of the number of queries submitted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"Derived Data" is defined to mean "any information generated in whole or in part from Exchange Information such that the information generated cannot be reverse engineered to recreate Exchange Information, or be used to create other data that is recognizable as a reasonable substitute for such Exchange Information." This definition is substantially the same as the definition currently found in Rule 7047 (Nasdaq Basic) and the differences in wording are intended merely to make the language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Distributors under the specialized usage model that provides "Display Usage," a net reporting option would be available to reduce the overall number of Subscribers for which a fee will be assessed. n23 Under the proposed netting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Netting does not apply to uses other than Display Usage, but the same rules are used for Nasdaq Basic under Rule 7047.</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Subscriber that receives access to NLS through multiple products controlled by an internal Distributor will be considered one Subscriber. Thus, if a BD acts as a Distributor of NLS in multiple forms through terminals provided to its employees, each terminal would be considered one Subscriber.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Subscriber that receives access to NLS through multiple products controlled by one external Distributor will be considered one Subscriber. Thus, if a BD arranges for its employees to receive access to multiple NLS products through a terminal provided by a single vendor on a terminal, each terminal would be considered one Subscriber.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Subscriber that receives access to NLS through one or more products controlled by an internal Distributor and also one or more products controlled by one external Distributor will be considered one Subscriber. Thus, if the BD provides employees with access through its own product(s) and through products from a single vendor on a terminal, each employee's terminal would still be considered one Subscriber.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Subscriber that receives access to NLS through one or more products controlled by an internal Distributor and also products controlled by multiple external Distributors will be treated as one Subscriber with respect to the products controlled by the internal Distributor and one of the external Distributors, and will be treated as an additional Subscriber for each additional external Distributor. Thus, a Subscriber receiving products through an internal Distributor and two external Distributors will be treated as two Subscribers. Put another way, access through an internal Distributor may be netted against access through one external Distributor, but netting may not occur beyond one external Distributor.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Distributors benefitting from net reporting must demonstrate adequate internal controls for identifying, monitoring, and reporting all usage. The burden will be on the Distributor to demonstrate that particular instances of netting are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per Subscriber or per query fees, a Distributor that is a BD may purchase an enterprise license for internal Subscribers to receive NLS or Derived Data therefrom. The fee is $ 365,000 per month; provided, however, that if the BD obtains the license with respect to usage of NLS provided by an external Distributor that controls display of the product, the fee will be $ 365,000 per month for up to 16,000 internal Subscribers, plus $ 2 for each additional internal Subscriber over 16,000; and provided further that the BD must obtain a separate enterprise license for each external Distributor that controls display of the product if it wishes such external Distributor to be covered by an enterprise license rather than per-Subscriber fees. The enterprise license is in addition to the applicable Distributor Fee provided in Rule 7039(d).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Last Sale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combines information available through NLS with information available through similar products--BX Last Sale and PSX Last Sale--offered by Nasdaq's affiliates, Nasdaq BX, Inc. ("BX") and Nasdaq PHLX LLC ("Phlx"). Moreover, as provided in that Rule, NLS Plus may be received either by itself or in combination with Nasdaq Basic. The fees charged for NLS Plus, however, incorporate the underlying fees for the data elements combined through NLS Plus, together with an additional data consolidation fee of $ 350 per month. Thus, a Distributor receiving NLS Plus by itself would need to select a fee model under Rule 7039 to determine the applicable charges for the NLS component of NLS Plus (including the Distributor fee provided for by Rule 7039(d)). In addition, because a Distributor of NLS Plus is distributing each of the underlying components of NLS Plus, it also pays the administrative fees charged for distribution of Nasdaq, BX, and PSX data feeds. n24 On the other hand, a Distributor receiving NLS Plus with Nasdaq Basic would select a fee model for Nasdaq Basic and pay the fees (including Distributor fees) applicable to that product, as well as the NLS Plus data consolidation fee and applicable </w:t>
      </w:r>
      <w:r>
        <w:rPr>
          <w:rFonts w:ascii="arial" w:eastAsia="arial" w:hAnsi="arial" w:cs="arial"/>
          <w:b/>
          <w:i w:val="0"/>
          <w:strike w:val="0"/>
          <w:noProof w:val="0"/>
          <w:color w:val="000000"/>
          <w:position w:val="0"/>
          <w:sz w:val="20"/>
          <w:u w:val="none"/>
          <w:vertAlign w:val="baseline"/>
        </w:rPr>
        <w:t> [*7816] </w:t>
      </w:r>
      <w:r>
        <w:rPr>
          <w:rFonts w:ascii="arial" w:eastAsia="arial" w:hAnsi="arial" w:cs="arial"/>
          <w:b w:val="0"/>
          <w:i w:val="0"/>
          <w:strike w:val="0"/>
          <w:noProof w:val="0"/>
          <w:color w:val="000000"/>
          <w:position w:val="0"/>
          <w:sz w:val="20"/>
          <w:u w:val="none"/>
          <w:vertAlign w:val="baseline"/>
        </w:rPr>
        <w:t xml:space="preserve"> administrative fees for each NLS Plus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See Nasdaq Rule 7035; BX Rule 7035; and Phlx Pricing Schedule § VIII. All administrative fees are charged on a per Distributor, rather than a per product, basis. Currently, there are no user or Distributor fees applicable to BX Last Sale or PSX Last Sale. However, if BX or Phlx were to adopt user fees for these products in the future, the fees would also apply to persons receiving these products by means of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fees for NLS Plus sold without Nasdaq Basic incorporate the fees for NLS, the various pricing model options available under Rule 7039, including the new pricing for specialized usage, would also be incorporated into the pricing for NLS Plus. No change to rule language is needed to effectuate this, since the rule language already incorporates NLS fees. However, Nasdaq is proposing to amend the rule to reflect the recent change in the assessment period for administrative fees under Nasdaq Rule 7035, BX Rule 7035, and the Phlx Pricing Schedule from annual to monthly, and to use the new defined term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Nasdaq is amending the description of NLS contained in Rule 7039(a). As described therein, NLS contains real-time last sale information for trades executed on Nasdaq or reported to the FINRA/Nasdaq TRF for stocks listed on Nasdaq and on other markets. At the time of adoption of Rule 7039, however, it appears that the drafters of the rule used a reference to "NYSE/Amex" (subsequently amended to refer to "NYSE/NYSE MKT") as a short-hand term for stocks listed on venues other than Nasdaq, since NYSE and the American Stock Exchange were, together with Nasdaq, the primary listing venues at that time. n25 In fact, NLS has always disseminated transaction reports associated with all three national market system plan tapes--Tape A for NYSE, Tape C for Nasdaq, and Tape B for other exchanges, including the American Stock Exchange (later known as NYSE MKT and now as NYSE American). Thus, as new listing venues such as the BATS Exchange emerged, information for transactions in securities listed on those exchanges were also included. Accordingly, Nasdaq is clarifying the language of Rule 7039(a) to include "transaction reports for NYSE-listed stocks and stocks listed on NYSE American and other Tape B listing venues." Nasdaq is also making additional housekeeping changes to the rule to: (i) Use the defined term "Information", (ii) streamline the wording of the rule's preamble, and (iii) clarify the language of certain pricing tiers to eliminate instances where the same number of Devices or queries is listed as part of two different pricing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Release No. 57965 (June 16, 2008), </w:t>
      </w:r>
      <w:hyperlink r:id="rId13"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68568 (January 3, 2013), </w:t>
      </w:r>
      <w:hyperlink r:id="rId20" w:history="1">
        <w:r>
          <w:rPr>
            <w:rFonts w:ascii="arial" w:eastAsia="arial" w:hAnsi="arial" w:cs="arial"/>
            <w:b w:val="0"/>
            <w:i/>
            <w:strike w:val="0"/>
            <w:noProof w:val="0"/>
            <w:color w:val="0077CC"/>
            <w:position w:val="0"/>
            <w:sz w:val="20"/>
            <w:u w:val="single"/>
            <w:vertAlign w:val="baseline"/>
          </w:rPr>
          <w:t>78 FR 1910</w:t>
        </w:r>
      </w:hyperlink>
      <w:r>
        <w:rPr>
          <w:rFonts w:ascii="arial" w:eastAsia="arial" w:hAnsi="arial" w:cs="arial"/>
          <w:b w:val="0"/>
          <w:i w:val="0"/>
          <w:strike w:val="0"/>
          <w:noProof w:val="0"/>
          <w:color w:val="000000"/>
          <w:position w:val="0"/>
          <w:sz w:val="20"/>
          <w:u w:val="none"/>
          <w:vertAlign w:val="baseline"/>
        </w:rPr>
        <w:t xml:space="preserve"> (January 9, 2013) (SR-NASDAQ-2012-145).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amending Rule 7039(d) (formerly 7039(c)) to provide that the monthly Distributor fee for a Distributor under subsection (c) (Distribution Models for Specialized Usage) providing external, or external and internal, distribution, is $ 2,000; in all other cases, the Distributor fee for NLS remains $ 1,500. However, Nasdaq is also adding language to provide that a Distributor of two or more products containing NLS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NLS, NLS Plus, or Nasdaq Basic) is required to pay a Distributor fee with respect to only one of the products. Thus, a Distributor of both NLS and Nasdaq Basic would not be required to pay both the fee provided for in Rule 7039 and the comparable fee provided for in Rule 7047; however, it would be required to pay the highest fee ($ 2,000 or $ 1,500) otherwise applicable to any of the products that it distributes. Finally, Nasdaq is making amendments to Rule 7047(b)(5) to: (i) Clarify that BDs distributing Nasdaq Basic thereunder also have the right to distribute Nasdaq Last Sale data to an unlimited number of Professionals and Non-Professionals who are natural persons and with whom the broker-dealer has a brokerage relationship (similar to the scope of Nasdaq Basic distribution), (ii) provide that such BDs would not be required to pay fees under Rule 7039(b) or (c); and (iii) provide that the elimination of duplicative Distributor fees provided under Rule 7039(d) would also apply under Rule 7047(b)(5), such that the BD would pay a Distributor fee with respect to only one product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proposed rule change is consistent with the provisions of Section 6 of the Act, n26 in general, and with Sections 6(b)(4) and (5) of the Act, n27 in particular, in that it provides for the equitable allocation of reasonable dues, fees, and other charges among its members, issuers and other persons using its facilities, and does not unfairly discriminate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7039 and the fees established thereunder reflect Nasdaq's expectation, in creating NLS, that it would be used by market data Distributors (including retail BDs) to provide widespread distribution of last-sale information to individual investors by means of websites and television. The fee structure also reflects Nasdaq's assumption that BDs and others seeking proprietary data for Professional usage would purchase data with more content than NLS or NLS Plus, such as Nasdaq Basic or Nasdaq TotalView. Nevertheless, because there is a small amount of demand for use of NLS for purely Professional purposes, Nasdaq believes that it is appropriate to specifically define the circumstances to which the current fee schedule applies, while also establishing a set of fees for other circustances [sic], including usage other than Display Usage and purely Professional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basis for Nasdaq's current fees for NLS has already been described in prior filings, n28 and Nasdaq is not modifying these long-established fees except to the extent discussed below. The overall structure for distribution of NLS contemplates widespread distribution of NLS data through the internet and television, and, in general, does not require a Distributor to categorize data Recipients as either Professionals or Non-Professionals. Thus, neither the fees nor the distribution parameters for "Per Query" usage are changing, although Nasdaq is adding language to specify that Per Query usage contemplates distribution to Users through Display Usage. The change is reasonable because it conforms to the natural parameters under which Per Query usage would occur: the submission of a request followed by a display of the response. In making the change, however, Nasdaq makes it clear that Per Query usage would not allow submission of automated requests to obtain data for use by an algorithm or other automated process. The change also makes is clear, however, that a Distributor using the Per Query model would not be required to ascertain the identity of Recipients; thus, the change makes it clear that Per Query usage may be made available to both Professionals and Non-Professionals. For this reason, the change is not unfairly discriminatory. Moreover, the change is equitable because it will not limit access by any current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nn. 6, 7, and 9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Per User fees (formerly username/password fees), Nasdaq is likewise proposing only minimal changes to state that the existing fee schedule requires distribution to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natural persons) for Display Usage, and all such Users must be either Non-Professionals or Professionals whom the Distributor has no reason to believe are using NLS in their professional capacity. This change is reasonable because the level of fees associated with this use case is not changing. Moreover, the change is not inequitable because it will not limit access by any current Distributors paying under this model. Likewise, the change is not unfairly discriminatory </w:t>
      </w:r>
      <w:r>
        <w:rPr>
          <w:rFonts w:ascii="arial" w:eastAsia="arial" w:hAnsi="arial" w:cs="arial"/>
          <w:b/>
          <w:i w:val="0"/>
          <w:strike w:val="0"/>
          <w:noProof w:val="0"/>
          <w:color w:val="000000"/>
          <w:position w:val="0"/>
          <w:sz w:val="20"/>
          <w:u w:val="none"/>
          <w:vertAlign w:val="baseline"/>
        </w:rPr>
        <w:t> [*7817] </w:t>
      </w:r>
      <w:r>
        <w:rPr>
          <w:rFonts w:ascii="arial" w:eastAsia="arial" w:hAnsi="arial" w:cs="arial"/>
          <w:b w:val="0"/>
          <w:i w:val="0"/>
          <w:strike w:val="0"/>
          <w:noProof w:val="0"/>
          <w:color w:val="000000"/>
          <w:position w:val="0"/>
          <w:sz w:val="20"/>
          <w:u w:val="none"/>
          <w:vertAlign w:val="baseline"/>
        </w:rPr>
        <w:t xml:space="preserve"> because it does not require a Distributor to conduct an exhaustive and costly inquiry into the nature of each of its Users, nor does it prevent distribution to Professionals, as long as the Distributor has no reason to believe that Professionals are using NLS in their professional capacity. Similarly, the change to allow a Distributor to track actual usage by a particular User and pay only if actual usage occurs during the month (as opposed to paying for all potential Users) is reasonable because it creates an incentive for a Distributor to reduce its fees by more carefully monitoring usage by its customers. The change is equitable and not unfairly discriminatory because Nasdaq believes that all Distributors are capable of implementing the change with minimal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"Per Device" (formerly, unique visitor) use case are reasonable because they allow a Distributor to track usage based on readily available means of tracking unique Devices. Because Distributors have already adopted this methodology, the change in rule language makes it clear that this is the appropriate method to measure usage and that verification by a third-party is not required. Accordingly, the change imposes no additional administrative burdens on Distributors. The change is equitable and not unfairly discriminatory because all Distributors adopting this use case may readily use this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elimination of a specific model for television distribution, in favor of a model under which a Distributor engaging in television distribution pays the maximum NLS fee of $ 41,500 per month and may then distribute Nasdaq Last Sale via television to an unlimited number of households, either solely via television or in combination with unlimited use of the Per User, Per Query, and/or Per Device model, is reasonable because the fee allows the Distributor to engage in unlimited distribution of NLS via either television alone or television in combination with another distribution model for the general investing public, without the need to monitor usage or track the identity of Recipients. Moreover, the change is equitable and not unfairly discriminatory because all current television Distributors already pay this maximum fee. Accordingly, the change will have no impact on any current Distributors. Moreover, it is unlikely that under the current fee schedule for television, distribution by a particular broadcaster would occur at a level that would allow it to pay less than the maximum fee. As a result, the per viewer cost of television distribution is, and will continue to be, extremely small when expressed as the ratio between $ 41,500 and the total number of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a fee schedule for other use cases, including targeted use by Professionals and usage other than Display Usage, is not unfairly discriminatory because it is consistent with the fee schedules for numerous other data products that impose higher fees on Professionals in recognition of their more intensive usage of data feeds and the greater value they derive from such usage. Moreover, the proposed new fee schedule is consistent with an equitable allocation of fees because it recognizes the administrative costs and burdens associated with tracking Professional usage of the product, especially given the low demand for exclusively Professional use. Finally, the change is reasonable because the fees are geared to the actual level of usage, with options for either per Subscriber or per query fees. Moreover, Nasdaq is offering alternative pricing features that may allow some Distributors to reduce their level of fees, including a method for netting Subscribers and an enterprise license to allow unlimited usage by broker-dealer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further believes that the proposed change regarding a higher monthly Distributor fee for external distribution for use by Professionals and usage other than Display Usage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specialized usage) is not unreasonable because a higher fee for external, as opposed to solely internal, distribution is based on the observation that external distributors typically charge fees for external distribution, while internal distributors usually do not. As such, external distributors have the opportunity to derive greater value from such distribution, and that greater value is reflected in higher external distribution fees. The differential between external and internal distribution fees is well- recognized in the financial services industry as a reasonable distinction, and has been repeatedly accepted by the Commission as an equitable allocation of reasonable dues, fees and other charges. n29 The Act does not prohibit all distinctions among customers, but rather discrimination that is unfair. As the Commission has recognized,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are operative, the self-interest of the exchanges themselves will work powerfully to constrain unreasonable or unfair behavior." n30 Accordingly, "the existence of significant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provides a substantial basis for finding that the terms of an exchange's fee proposal are equitable, fair, reasonable, and not unreasonably or unfairly discriminatory." n31 The further change with regard to monthly Distributor fees is reasonable, equitable, and not unfairly discriminatory because it addresses a use case in which a Distributor is receiving two or three products that contain last sale information--NLS, NLS Plus and/or Nasdaq Basic--and will specify that the Distributor is not required to pay a duplicative Distributor fee in that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7019 (Market Data Distributor Fees); 7022(c) (Short Interest Report); 7023(c) (Enterprise License Fees for Depth-of-Book Data); 7047(c) (Nasdaq Basic); and 7052(c) (Distributor Fees for Nasdaq Daily Short Volume and Monthly Short Sale Transaction Files).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59039 (December 2, 2008), </w:t>
      </w:r>
      <w:hyperlink r:id="rId22" w:history="1">
        <w:r>
          <w:rPr>
            <w:rFonts w:ascii="arial" w:eastAsia="arial" w:hAnsi="arial" w:cs="arial"/>
            <w:b w:val="0"/>
            <w:i/>
            <w:strike w:val="0"/>
            <w:noProof w:val="0"/>
            <w:color w:val="0077CC"/>
            <w:position w:val="0"/>
            <w:sz w:val="20"/>
            <w:u w:val="single"/>
            <w:vertAlign w:val="baseline"/>
          </w:rPr>
          <w:t>73 FR 74770</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("SROs") and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5"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was speaking to the question of whether BDs should be subject to a regulatory requirement to purchase data, such as depth-of-book data, that is </w:t>
      </w:r>
      <w:r>
        <w:rPr>
          <w:rFonts w:ascii="arial" w:eastAsia="arial" w:hAnsi="arial" w:cs="arial"/>
          <w:b w:val="0"/>
          <w:i/>
          <w:strike w:val="0"/>
          <w:noProof w:val="0"/>
          <w:color w:val="000000"/>
          <w:position w:val="0"/>
          <w:sz w:val="20"/>
          <w:u w:val="none"/>
          <w:vertAlign w:val="baseline"/>
        </w:rPr>
        <w:t>in excess of</w:t>
      </w:r>
      <w:r>
        <w:rPr>
          <w:rFonts w:ascii="arial" w:eastAsia="arial" w:hAnsi="arial" w:cs="arial"/>
          <w:b w:val="0"/>
          <w:i w:val="0"/>
          <w:strike w:val="0"/>
          <w:noProof w:val="0"/>
          <w:color w:val="000000"/>
          <w:position w:val="0"/>
          <w:sz w:val="20"/>
          <w:u w:val="none"/>
          <w:vertAlign w:val="baseline"/>
        </w:rPr>
        <w:t xml:space="preserve"> the data provided through the consolidated tape feeds, and the Commission concluded that the choice should be left to them. Accordingly,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removed unnecessary regulatory restrictions on the ability of exchanges to sell their own data, thereby advancing the goals of the Act and the principles reflected in its legislative history. If the free market should determine whether proprietary data is sold to BDs at all, it follows that </w:t>
      </w:r>
      <w:r>
        <w:rPr>
          <w:rFonts w:ascii="arial" w:eastAsia="arial" w:hAnsi="arial" w:cs="arial"/>
          <w:b/>
          <w:i w:val="0"/>
          <w:strike w:val="0"/>
          <w:noProof w:val="0"/>
          <w:color w:val="000000"/>
          <w:position w:val="0"/>
          <w:sz w:val="20"/>
          <w:u w:val="none"/>
          <w:vertAlign w:val="baseline"/>
        </w:rPr>
        <w:t> [*7818] </w:t>
      </w:r>
      <w:r>
        <w:rPr>
          <w:rFonts w:ascii="arial" w:eastAsia="arial" w:hAnsi="arial" w:cs="arial"/>
          <w:b w:val="0"/>
          <w:i w:val="0"/>
          <w:strike w:val="0"/>
          <w:noProof w:val="0"/>
          <w:color w:val="000000"/>
          <w:position w:val="0"/>
          <w:sz w:val="20"/>
          <w:u w:val="none"/>
          <w:vertAlign w:val="baseline"/>
        </w:rPr>
        <w:t xml:space="preserve">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such as NLS provide additional choices to BDs and other data consumers, in that they provide </w:t>
      </w:r>
      <w:r>
        <w:rPr>
          <w:rFonts w:ascii="arial" w:eastAsia="arial" w:hAnsi="arial" w:cs="arial"/>
          <w:b w:val="0"/>
          <w:i/>
          <w:strike w:val="0"/>
          <w:noProof w:val="0"/>
          <w:color w:val="000000"/>
          <w:position w:val="0"/>
          <w:sz w:val="20"/>
          <w:u w:val="none"/>
          <w:vertAlign w:val="baseline"/>
        </w:rPr>
        <w:t>less than</w:t>
      </w:r>
      <w:r>
        <w:rPr>
          <w:rFonts w:ascii="arial" w:eastAsia="arial" w:hAnsi="arial" w:cs="arial"/>
          <w:b w:val="0"/>
          <w:i w:val="0"/>
          <w:strike w:val="0"/>
          <w:noProof w:val="0"/>
          <w:color w:val="000000"/>
          <w:position w:val="0"/>
          <w:sz w:val="20"/>
          <w:u w:val="none"/>
          <w:vertAlign w:val="baseline"/>
        </w:rPr>
        <w:t xml:space="preserve"> the quantum of data provided through the consolidated tape feeds but at a lower price. Thus, they provide BDs and others with an option to use a lesser amount of data in circumstances where SEC Rule 603(c) does not require a BD to provide a consolidated display. n33 They are all, however, voluntary products for which market participants can readily substitute the consolidated data feeds. Accordingly, Nasdaq is constrained from pricing the product in a manner that would be inequitable or unfairly discriminatory. Moreover, the fees for these products, like all proprietary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4"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defined terms being adopted in this proposed rule change are consistent with the provisions of Section 6 of the Act, n34 in general, and with Section 6(b)(5) of the Act, n35 in particular, in that they are designed to promote just and equitable principles of trade, to remove impediments to and perfect the mechanism of a free and open market and a national market system, and, in general to protect investors and the public interest. Specifically, the defined terms are designed to promote the clear and consistent interpretation of Rule 7039, and are intended to serve as the model for a future filing that will propose consistent terminology throughout the rules governing the Exchange's Information products. As detailed above, the terms "Derived Data", "Display Usage", "Distributor", "Non-Professional", "Professional", "Subscriber", and "Device" are either substantively identical to, or are intended to be construed in a manner consistent with, terms already existing in the Exchange's rules, but are intended to be drafted in a clearer manner. Similarly, the terms "Information", "Recipient", and "User" are new, but are designed to provide convenient means of referring to concepts relevant to the application of Rule 7039 that are currently covered by undefined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2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1"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notes that the housekeeping changes made by this filing--clarifying the scope of Tape B data included in NLS and the monthly nature of the administrative fee--are non-substantive in nature and do not affect the equitable allocation of reasonable dues, fees, and other charges. Rather, these changes will make affected rules clearer, more succinct, and easier to use. Accordingly, the Exchange believes that these changes are consistent with Section 6(b)(5) of the Act, n36 in that they are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1"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 In particular, the proposal with respect to existing fees and associated standards for Per User, Per Query, and Per Device fee models, as well as the fee for television distribution, are designed to promote wide distribution to investors by placing less emphasis on the distinction between Professionals and Non-Professionals than is the case with respect to other data products. Nasdaq believes that this approach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reducing administrative burdens on Distributors. The addition of a fee schedule for targeted Professional or Non-Display usage will not place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Nasdaq believes that the demand for such usage is limited, but adopting the applicable fee schedule will ensure that the product is available in cases where such demand exists. n37 The other proposed changes are designed to keep industry professionals and investors better informed about NLS and NLS Plus and associated fees through changes that will provide greater clarity and precision in affected rules. These changes include the adoption of definitions that are not intended to vary substantively from definitions and concepts already reflected in Exchange rules, but are intended to promote the reader's understanding of the principles used to construe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Similarly, the external Distributor fee applicable to usage under that model will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external Distributors typically charge fees for external distribution, and thereby usually derive greater value from such distribution than internal Distributors, which typically do not charge fees, and that greater value supports higher external distribution fees. The distinction between external and internal distribution fees is common in the financial services industry, and has been applied to other products without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This rule proposal does not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since other SROs and data vendors continue to offer alternative data products and, like the Exchange, set fees, but rather reflects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data feed vendors and will further enhance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NLS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existing similar products and potential products of market data vendors. The product is part of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the product,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w:t>
      </w:r>
      <w:r>
        <w:rPr>
          <w:rFonts w:ascii="arial" w:eastAsia="arial" w:hAnsi="arial" w:cs="arial"/>
          <w:b/>
          <w:i w:val="0"/>
          <w:strike w:val="0"/>
          <w:noProof w:val="0"/>
          <w:color w:val="000000"/>
          <w:position w:val="0"/>
          <w:sz w:val="20"/>
          <w:u w:val="none"/>
          <w:vertAlign w:val="baseline"/>
        </w:rPr>
        <w:t> [*7819] </w:t>
      </w:r>
      <w:r>
        <w:rPr>
          <w:rFonts w:ascii="arial" w:eastAsia="arial" w:hAnsi="arial" w:cs="arial"/>
          <w:b w:val="0"/>
          <w:i w:val="0"/>
          <w:strike w:val="0"/>
          <w:noProof w:val="0"/>
          <w:color w:val="000000"/>
          <w:position w:val="0"/>
          <w:sz w:val="20"/>
          <w:u w:val="none"/>
          <w:vertAlign w:val="baseline"/>
        </w:rPr>
        <w:t xml:space="preserve">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Journal,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n39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disfavor a particular exchange if the expected revenues from executing trades on the exchange do not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more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case of products such as NLS that may be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retail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TRFs, and other producers of proprietary data products must understand and respond to these varying business models and pricing disciplines in order to market proprietary data products successfully. Moreover, Nasdaq believes that products such as NLS can enhance order flow to Nasdaq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Moreover,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American, NYSE Arca, IEX, and BATS/Direct Edge. </w:t>
      </w:r>
      <w:r>
        <w:rPr>
          <w:rFonts w:ascii="arial" w:eastAsia="arial" w:hAnsi="arial" w:cs="arial"/>
          <w:b/>
          <w:i w:val="0"/>
          <w:strike w:val="0"/>
          <w:noProof w:val="0"/>
          <w:color w:val="000000"/>
          <w:position w:val="0"/>
          <w:sz w:val="20"/>
          <w:u w:val="none"/>
          <w:vertAlign w:val="baseline"/>
        </w:rPr>
        <w:t> [*7820]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(iii) become operative for 30 days from the date on which it was filed, or such shorter time as the Commission may designate, it has become effective pursuant to Section 19(b)(3)(A)(iii) of the Act n41 and subparagraph (f)(6) of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9" w:history="1">
        <w:r>
          <w:rPr>
            <w:rFonts w:ascii="arial" w:eastAsia="arial" w:hAnsi="arial" w:cs="arial"/>
            <w:b w:val="0"/>
            <w:i/>
            <w:strike w:val="0"/>
            <w:noProof w:val="0"/>
            <w:color w:val="0077CC"/>
            <w:position w:val="0"/>
            <w:sz w:val="20"/>
            <w:u w:val="single"/>
            <w:vertAlign w:val="baseline"/>
          </w:rPr>
          <w:t>15 U.S.C. 78s(b)(3)(A)(iii)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8"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 xml:space="preserve">. In addition,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(f)(6) requires a self-regulatory organization to give the Commission written notice of its intent to file the proposed rule change at least five business days prior to the date of filing of the proposed rule change, or such shorter time as designated by the Commission. The Exchange has satisfied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SR-NASDAQ-2018-010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SR-NASDAQ-2018-010. This file number should be included on the subject line if email is used. To help the Commission process and review your comments more efficiently, please use only one method. The Commission will post all comments on the Commission's internet website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SR-NASDAQ-2018-010 and should be submitted on or before March 15,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2018-03568 Filed 2-21-18;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7812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BC0-G1V0-006W-844C-00000-00&amp;context=" TargetMode="External" /><Relationship Id="rId12" Type="http://schemas.openxmlformats.org/officeDocument/2006/relationships/hyperlink" Target="http://nasdaq.cchwallstreet.com/NASDAQ/pdf/nasdaq-filings/2006/SR-NASDAQ-2006-060_Amendment_2.pdf" TargetMode="External" /><Relationship Id="rId13" Type="http://schemas.openxmlformats.org/officeDocument/2006/relationships/hyperlink" Target="https://advance.lexis.com/api/document?collection=administrative-codes&amp;id=urn:contentItem:4ST3-7660-006W-855B-00000-00&amp;context=" TargetMode="External" /><Relationship Id="rId14" Type="http://schemas.openxmlformats.org/officeDocument/2006/relationships/hyperlink" Target="https://advance.lexis.com/api/document?collection=administrative-codes&amp;id=urn:contentItem:5MJ8-4SN0-008G-Y35P-00000-00&amp;context=" TargetMode="External" /><Relationship Id="rId15" Type="http://schemas.openxmlformats.org/officeDocument/2006/relationships/hyperlink" Target="https://advance.lexis.com/api/document?collection=administrative-codes&amp;id=urn:contentItem:4GH9-4PB0-014W-D1VJ-00000-00&amp;context=" TargetMode="External" /><Relationship Id="rId16" Type="http://schemas.openxmlformats.org/officeDocument/2006/relationships/hyperlink" Target="http://www.utpplan.com/utp_plan" TargetMode="External" /><Relationship Id="rId17" Type="http://schemas.openxmlformats.org/officeDocument/2006/relationships/hyperlink" Target="https://advance.lexis.com/api/document?collection=administrative-codes&amp;id=urn:contentItem:46VS-T4B0-006W-8422-00000-00&amp;context=" TargetMode="External" /><Relationship Id="rId18" Type="http://schemas.openxmlformats.org/officeDocument/2006/relationships/hyperlink" Target="https://advance.lexis.com/api/document?collection=administrative-codes&amp;id=urn:contentItem:5420-94W0-006W-82J7-00000-00&amp;context=" TargetMode="External" /><Relationship Id="rId19" Type="http://schemas.openxmlformats.org/officeDocument/2006/relationships/hyperlink" Target="https://advance.lexis.com/api/document?collection=administrative-codes&amp;id=urn:contentItem:5CR5-24H0-006W-82W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7FY-MCY0-006W-84JP-00000-00&amp;context=" TargetMode="External" /><Relationship Id="rId21" Type="http://schemas.openxmlformats.org/officeDocument/2006/relationships/hyperlink" Target="https://advance.lexis.com/api/document?collection=statutes-legislation&amp;id=urn:contentItem:4YF7-GPC1-NRF4-4309-00000-00&amp;context=" TargetMode="External" /><Relationship Id="rId22" Type="http://schemas.openxmlformats.org/officeDocument/2006/relationships/hyperlink" Target="https://advance.lexis.com/api/document?collection=administrative-codes&amp;id=urn:contentItem:4V3T-8BP0-006W-834G-00000-00&amp;context=" TargetMode="External" /><Relationship Id="rId23" Type="http://schemas.openxmlformats.org/officeDocument/2006/relationships/hyperlink" Target="http://www.sec.gov/rules/sro.shtml" TargetMode="External" /><Relationship Id="rId24" Type="http://schemas.openxmlformats.org/officeDocument/2006/relationships/hyperlink" Target="mailto:rule-comments@sec.gov" TargetMode="External" /><Relationship Id="rId25" Type="http://schemas.openxmlformats.org/officeDocument/2006/relationships/hyperlink" Target="https://advance.lexis.com/api/document?collection=administrative-codes&amp;id=urn:contentItem:5SPP-2120-008G-Y2ND-00000-00&amp;context="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PP-PGC0-006W-808J-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