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06 noviembre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revisar los avances y tareas finalizadas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preparar informe de entrega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informe de segunda entrega de proyecto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durante esta reunion se trabajaron los aspectos relativos a la integración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ya que a pesar de los multiples intentos las conexion completa entre backend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 frontend no esta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610"/>
        <w:gridCol w:w="1890"/>
        <w:gridCol w:w="930"/>
        <w:tblGridChange w:id="0">
          <w:tblGrid>
            <w:gridCol w:w="3693"/>
            <w:gridCol w:w="2610"/>
            <w:gridCol w:w="1890"/>
            <w:gridCol w:w="930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backend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frontend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de software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 noviembre 2019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10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927100</wp:posOffset>
              </wp:positionH>
              <wp:positionV relativeFrom="paragraph">
                <wp:posOffset>-165099</wp:posOffset>
              </wp:positionV>
              <wp:extent cx="3400425" cy="73342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927100</wp:posOffset>
              </wp:positionH>
              <wp:positionV relativeFrom="paragraph">
                <wp:posOffset>-165099</wp:posOffset>
              </wp:positionV>
              <wp:extent cx="3400425" cy="733425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VuRjDVPFra7FcKcE07Ub6/T0uQ==">AMUW2mV3bn8T8Y4D+GHfkYGISTeWwMMfZ+5OIMEmm6dyw9KXtXuM4P+FwPuaRKvFc4u7sm2G0d1gT6XKc5sV/rUozZxdPs/358jLda4ECY0XWckIcCy8UpjOs03FRFSmcaoLrcvOsMAx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