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5528FA">
        <w:rPr>
          <w:rFonts w:ascii="Verdana" w:hAnsi="Verdana"/>
          <w:sz w:val="32"/>
          <w:szCs w:val="40"/>
          <w:lang w:val="nl-NL"/>
        </w:rPr>
        <w:br/>
        <w:t>rev. 0.05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77081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31638616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31638617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31638618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31638619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agreed</w:t>
      </w:r>
      <w:proofErr w:type="gramEnd"/>
      <w:r>
        <w:rPr>
          <w:lang w:val="en-GB"/>
        </w:rPr>
        <w:t xml:space="preserve">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5646B1" w:rsidRDefault="006C5CFC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  <w:t>To select the TTL/RS485 port the possible choices are</w:t>
      </w:r>
    </w:p>
    <w:p w:rsidR="006C5CFC" w:rsidRPr="005646B1" w:rsidRDefault="00E31084" w:rsidP="006C5CFC">
      <w:pPr>
        <w:pStyle w:val="NormaleRS"/>
        <w:numPr>
          <w:ilvl w:val="1"/>
          <w:numId w:val="21"/>
        </w:numPr>
        <w:jc w:val="left"/>
        <w:rPr>
          <w:lang w:val="en-GB"/>
        </w:rPr>
      </w:pPr>
      <w:r w:rsidRPr="005646B1">
        <w:rPr>
          <w:lang w:val="en-US"/>
        </w:rPr>
        <w:t>through</w:t>
      </w:r>
      <w:r w:rsidR="00A721F2" w:rsidRPr="005646B1">
        <w:rPr>
          <w:lang w:val="en-US"/>
        </w:rPr>
        <w:t xml:space="preserve"> SW, via an MQTT message or via configuration pages</w:t>
      </w:r>
    </w:p>
    <w:p w:rsidR="006C5CFC" w:rsidRPr="006C5CFC" w:rsidRDefault="006C5CFC" w:rsidP="006C5CFC">
      <w:pPr>
        <w:pStyle w:val="NormaleRS"/>
        <w:ind w:left="720"/>
        <w:jc w:val="left"/>
        <w:rPr>
          <w:lang w:val="en-GB"/>
        </w:rPr>
      </w:pP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proofErr w:type="spellStart"/>
      <w:r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proofErr w:type="spellStart"/>
      <w:r w:rsidR="002D7CFC"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proofErr w:type="spellStart"/>
      <w:r w:rsidR="002D7CFC"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proofErr w:type="spellStart"/>
      <w:r w:rsidR="00A721F2">
        <w:rPr>
          <w:lang w:val="en-GB"/>
        </w:rPr>
        <w:t>corrispondence</w:t>
      </w:r>
      <w:proofErr w:type="spellEnd"/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pin </w:t>
      </w:r>
      <w:r w:rsidR="00095AFC" w:rsidRPr="003D3F95">
        <w:rPr>
          <w:highlight w:val="red"/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5646B1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color w:val="FF0000"/>
                <w:lang w:val="en-GB"/>
              </w:rPr>
              <w:t>TDB one of the available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5646B1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color w:val="FF0000"/>
                <w:lang w:val="en-GB"/>
              </w:rPr>
              <w:t>TDB one of the available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</w:p>
        </w:tc>
      </w:tr>
    </w:tbl>
    <w:p w:rsidR="001A7D46" w:rsidRPr="002D7CFC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635C5C" w:rsidRPr="0087593F" w:rsidRDefault="00635C5C" w:rsidP="00635C5C">
      <w:pPr>
        <w:pStyle w:val="NormaleRS"/>
        <w:numPr>
          <w:ilvl w:val="0"/>
          <w:numId w:val="21"/>
        </w:numPr>
        <w:jc w:val="left"/>
        <w:rPr>
          <w:color w:val="FF0000"/>
          <w:lang w:val="en-GB"/>
        </w:rPr>
      </w:pPr>
      <w:r>
        <w:rPr>
          <w:lang w:val="en-GB"/>
        </w:rPr>
        <w:t xml:space="preserve">The factory reset button </w:t>
      </w:r>
      <w:proofErr w:type="gramStart"/>
      <w:r>
        <w:rPr>
          <w:lang w:val="en-GB"/>
        </w:rPr>
        <w:t>is connected</w:t>
      </w:r>
      <w:proofErr w:type="gramEnd"/>
      <w:r>
        <w:rPr>
          <w:lang w:val="en-GB"/>
        </w:rPr>
        <w:t xml:space="preserve"> to th</w:t>
      </w:r>
      <w:r w:rsidR="003D3F95">
        <w:rPr>
          <w:lang w:val="en-GB"/>
        </w:rPr>
        <w:t xml:space="preserve">e ESP32-WROVER chip to the </w:t>
      </w:r>
      <w:r w:rsidR="003D3F95" w:rsidRPr="0087593F">
        <w:rPr>
          <w:color w:val="FF0000"/>
          <w:lang w:val="en-GB"/>
        </w:rPr>
        <w:t>pin 25 (IO0)</w:t>
      </w:r>
      <w:r w:rsidR="00A721F2">
        <w:rPr>
          <w:color w:val="FF0000"/>
          <w:lang w:val="en-GB"/>
        </w:rPr>
        <w:t xml:space="preserve">. </w:t>
      </w:r>
      <w:proofErr w:type="gramStart"/>
      <w:r w:rsidR="00A721F2">
        <w:rPr>
          <w:color w:val="FF0000"/>
          <w:lang w:val="en-GB"/>
        </w:rPr>
        <w:t>The reset of the M95 will be performed by an IO pin of the ESP32</w:t>
      </w:r>
      <w:proofErr w:type="gramEnd"/>
      <w:r w:rsidR="00B946C4">
        <w:rPr>
          <w:color w:val="FF0000"/>
          <w:lang w:val="en-GB"/>
        </w:rPr>
        <w:t>, pin XXX TBD</w:t>
      </w:r>
      <w:r w:rsidR="00A721F2">
        <w:rPr>
          <w:color w:val="FF0000"/>
          <w:lang w:val="en-GB"/>
        </w:rPr>
        <w:t>.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lastRenderedPageBreak/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31638620"/>
      <w:proofErr w:type="spellStart"/>
      <w:r w:rsidRPr="00E22D52">
        <w:t>WiFi</w:t>
      </w:r>
      <w:proofErr w:type="spellEnd"/>
      <w:r w:rsidRPr="00E22D52">
        <w:t xml:space="preserve">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</w:p>
    <w:p w:rsidR="00635C5C" w:rsidRDefault="00635C5C" w:rsidP="00635C5C">
      <w:pPr>
        <w:pStyle w:val="NormaleRS"/>
        <w:numPr>
          <w:ilvl w:val="0"/>
          <w:numId w:val="28"/>
        </w:numPr>
        <w:jc w:val="left"/>
        <w:rPr>
          <w:lang w:val="en-GB"/>
        </w:rPr>
      </w:pPr>
      <w:r>
        <w:rPr>
          <w:lang w:val="en-GB"/>
        </w:rPr>
        <w:t>LINK : is connected to the ESP32-WROVER chip to the pin</w:t>
      </w:r>
      <w:r w:rsidRPr="0087593F">
        <w:rPr>
          <w:color w:val="FF0000"/>
          <w:lang w:val="en-GB"/>
        </w:rPr>
        <w:t xml:space="preserve"> </w:t>
      </w:r>
      <w:r w:rsidR="0087593F" w:rsidRPr="0087593F">
        <w:rPr>
          <w:color w:val="FF0000"/>
          <w:lang w:val="en-GB"/>
        </w:rPr>
        <w:t xml:space="preserve">12 (IO27) </w:t>
      </w:r>
      <w:r w:rsidRPr="0087593F">
        <w:rPr>
          <w:color w:val="FF0000"/>
          <w:lang w:val="en-GB"/>
        </w:rPr>
        <w:t xml:space="preserve"> 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87593F" w:rsidRPr="0087593F" w:rsidRDefault="00635C5C" w:rsidP="0087593F">
      <w:pPr>
        <w:pStyle w:val="Paragrafoelenco"/>
        <w:numPr>
          <w:ilvl w:val="0"/>
          <w:numId w:val="22"/>
        </w:numPr>
        <w:rPr>
          <w:rFonts w:ascii="Verdana" w:hAnsi="Verdana"/>
          <w:sz w:val="20"/>
          <w:szCs w:val="20"/>
          <w:lang w:val="en-GB" w:eastAsia="it-IT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Pr="0087593F">
        <w:rPr>
          <w:rFonts w:ascii="Verdana" w:hAnsi="Verdana"/>
          <w:sz w:val="20"/>
          <w:szCs w:val="20"/>
          <w:lang w:val="en-GB" w:eastAsia="it-IT"/>
        </w:rPr>
        <w:t>XXXX</w:t>
      </w:r>
      <w:r w:rsidR="0087593F" w:rsidRPr="0087593F">
        <w:rPr>
          <w:rFonts w:ascii="Verdana" w:hAnsi="Verdana"/>
          <w:sz w:val="20"/>
          <w:szCs w:val="20"/>
          <w:lang w:val="en-GB" w:eastAsia="it-IT"/>
        </w:rPr>
        <w:t xml:space="preserve">   pin 25 (IO0)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0688A" w:rsidRPr="000068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 xml:space="preserve">The </w:t>
      </w:r>
      <w:r w:rsidR="00180DC3">
        <w:rPr>
          <w:lang w:val="en-GB"/>
        </w:rPr>
        <w:t xml:space="preserve">ESP32-WROVER module already certified but we need to do the delta test </w:t>
      </w:r>
      <w:proofErr w:type="gramStart"/>
      <w:r w:rsidR="00180DC3">
        <w:rPr>
          <w:lang w:val="en-GB"/>
        </w:rPr>
        <w:t xml:space="preserve">so </w:t>
      </w:r>
      <w:r>
        <w:rPr>
          <w:lang w:val="en-GB"/>
        </w:rPr>
        <w:t xml:space="preserve"> </w:t>
      </w:r>
      <w:r w:rsidR="00180DC3">
        <w:rPr>
          <w:lang w:val="en-GB"/>
        </w:rPr>
        <w:t>we</w:t>
      </w:r>
      <w:proofErr w:type="gramEnd"/>
      <w:r w:rsidR="00180DC3">
        <w:rPr>
          <w:lang w:val="en-GB"/>
        </w:rPr>
        <w:t xml:space="preserve"> need to be c</w:t>
      </w:r>
      <w:r>
        <w:rPr>
          <w:lang w:val="en-GB"/>
        </w:rPr>
        <w:t>ertified</w:t>
      </w:r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 w:rsidR="00180DC3">
        <w:rPr>
          <w:lang w:val="en-GB"/>
        </w:rPr>
        <w:t>.</w:t>
      </w:r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19" w:name="_Toc31638621"/>
      <w:r w:rsidRPr="00121838">
        <w:lastRenderedPageBreak/>
        <w:t>Production</w:t>
      </w:r>
      <w:bookmarkEnd w:id="19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31638622"/>
      <w:r>
        <w:t>Labels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3"/>
      <w:r w:rsidRPr="00121838">
        <w:t>Packaging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</w:r>
      <w:r w:rsidR="00CF4342" w:rsidRPr="00CF4342">
        <w:rPr>
          <w:lang w:val="en-GB"/>
        </w:rPr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2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2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  <w:bookmarkStart w:id="23" w:name="_GoBack"/>
      <w:bookmarkEnd w:id="23"/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B5078B" w:rsidRPr="00B5078B">
        <w:rPr>
          <w:highlight w:val="red"/>
          <w:lang w:val="en-GB"/>
        </w:rPr>
        <w:t>XX</w:t>
      </w:r>
      <w:r w:rsidR="00CF4342">
        <w:rPr>
          <w:lang w:val="en-GB"/>
        </w:rPr>
        <w:t xml:space="preserve"> (depend on your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  <w:t>(</w:t>
      </w:r>
      <w:r w:rsidR="008C7E05" w:rsidRPr="008C7E05">
        <w:rPr>
          <w:color w:val="FF0000"/>
          <w:lang w:val="en-GB"/>
        </w:rPr>
        <w:t>NOTE : the CAREL SIM use the 2G cellular network please be sure that the USR production line is covered by this type of cellular network)</w:t>
      </w:r>
      <w:r w:rsidR="00067C65" w:rsidRPr="008C7E05">
        <w:rPr>
          <w:color w:val="FF0000"/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31638625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sectPr w:rsidR="00AE6E0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81" w:rsidRDefault="00A77081">
      <w:r>
        <w:separator/>
      </w:r>
    </w:p>
  </w:endnote>
  <w:endnote w:type="continuationSeparator" w:id="0">
    <w:p w:rsidR="00A77081" w:rsidRDefault="00A7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65D03">
            <w:rPr>
              <w:rStyle w:val="Numeropagina"/>
              <w:noProof/>
              <w:sz w:val="16"/>
              <w:lang w:val="en-GB"/>
            </w:rPr>
            <w:t>10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65D03">
            <w:rPr>
              <w:rStyle w:val="Numeropagina"/>
              <w:noProof/>
              <w:sz w:val="16"/>
              <w:lang w:val="en-GB"/>
            </w:rPr>
            <w:t>10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81" w:rsidRDefault="00A77081">
      <w:r>
        <w:separator/>
      </w:r>
    </w:p>
  </w:footnote>
  <w:footnote w:type="continuationSeparator" w:id="0">
    <w:p w:rsidR="00A77081" w:rsidRDefault="00A77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4530"/>
    <w:rsid w:val="0041505E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A292F"/>
    <w:rsid w:val="008B00A9"/>
    <w:rsid w:val="008B68A7"/>
    <w:rsid w:val="008C04F5"/>
    <w:rsid w:val="008C7E05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4FF9"/>
    <w:rsid w:val="00AE5D25"/>
    <w:rsid w:val="00AE64BD"/>
    <w:rsid w:val="00AE6E09"/>
    <w:rsid w:val="00AF112B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34B8"/>
    <w:rsid w:val="00C84B52"/>
    <w:rsid w:val="00C94E4A"/>
    <w:rsid w:val="00C96252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26D35-B688-468B-9769-D97D2E93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10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8848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245</cp:revision>
  <cp:lastPrinted>2009-11-26T11:58:00Z</cp:lastPrinted>
  <dcterms:created xsi:type="dcterms:W3CDTF">2018-09-28T09:59:00Z</dcterms:created>
  <dcterms:modified xsi:type="dcterms:W3CDTF">2020-02-05T13:22:00Z</dcterms:modified>
</cp:coreProperties>
</file>