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62E60A" w14:textId="77777777" w:rsidR="00873049" w:rsidRPr="00A16919" w:rsidRDefault="00873049" w:rsidP="00873049">
      <w:pPr>
        <w:rPr>
          <w:lang w:val="en-US"/>
        </w:rPr>
      </w:pPr>
      <w:r w:rsidRPr="00A16919">
        <w:rPr>
          <w:noProof/>
          <w:color w:val="000000"/>
          <w:sz w:val="22"/>
          <w:lang w:val="en-US" w:eastAsia="en-US"/>
        </w:rPr>
        <w:drawing>
          <wp:anchor distT="0" distB="0" distL="114300" distR="114300" simplePos="0" relativeHeight="251659264" behindDoc="0" locked="0" layoutInCell="1" allowOverlap="1" wp14:anchorId="781B2A15" wp14:editId="452A6B94">
            <wp:simplePos x="0" y="0"/>
            <wp:positionH relativeFrom="column">
              <wp:posOffset>-21844</wp:posOffset>
            </wp:positionH>
            <wp:positionV relativeFrom="paragraph">
              <wp:posOffset>-123825</wp:posOffset>
            </wp:positionV>
            <wp:extent cx="5998464" cy="343038"/>
            <wp:effectExtent l="0" t="0" r="2540" b="0"/>
            <wp:wrapNone/>
            <wp:docPr id="1" name="Picture 1" descr="Logo CSA_AC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SA_ACV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98464" cy="34303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1FC707" w14:textId="77777777" w:rsidR="00873049" w:rsidRPr="00A96A2B" w:rsidRDefault="00873049" w:rsidP="00A96A2B">
      <w:pPr>
        <w:spacing w:after="0"/>
        <w:rPr>
          <w:sz w:val="12"/>
          <w:szCs w:val="12"/>
          <w:lang w:val="en-US"/>
        </w:rPr>
      </w:pPr>
    </w:p>
    <w:tbl>
      <w:tblPr>
        <w:tblW w:w="9599"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C5E9F"/>
        <w:tblLook w:val="04A0" w:firstRow="1" w:lastRow="0" w:firstColumn="1" w:lastColumn="0" w:noHBand="0" w:noVBand="1"/>
      </w:tblPr>
      <w:tblGrid>
        <w:gridCol w:w="9599"/>
      </w:tblGrid>
      <w:tr w:rsidR="00873049" w:rsidRPr="00A16919" w14:paraId="074AA12B" w14:textId="77777777" w:rsidTr="00A96A2B">
        <w:trPr>
          <w:trHeight w:val="1007"/>
        </w:trPr>
        <w:tc>
          <w:tcPr>
            <w:tcW w:w="9599" w:type="dxa"/>
            <w:shd w:val="clear" w:color="auto" w:fill="2C5E9F"/>
            <w:vAlign w:val="center"/>
          </w:tcPr>
          <w:p w14:paraId="292336A1" w14:textId="77777777" w:rsidR="00F60A50" w:rsidRDefault="00873049" w:rsidP="00443169">
            <w:pPr>
              <w:autoSpaceDE w:val="0"/>
              <w:autoSpaceDN w:val="0"/>
              <w:adjustRightInd w:val="0"/>
              <w:spacing w:after="0"/>
              <w:jc w:val="center"/>
              <w:rPr>
                <w:b/>
                <w:color w:val="AFB586"/>
                <w:sz w:val="28"/>
                <w:szCs w:val="28"/>
                <w:lang w:eastAsia="fr-CA"/>
              </w:rPr>
            </w:pPr>
            <w:r w:rsidRPr="00A16919">
              <w:rPr>
                <w:b/>
                <w:color w:val="AFB586"/>
                <w:sz w:val="28"/>
                <w:szCs w:val="28"/>
                <w:lang w:eastAsia="fr-CA"/>
              </w:rPr>
              <w:t xml:space="preserve">CSA Notice </w:t>
            </w:r>
            <w:r w:rsidR="00596B7F">
              <w:rPr>
                <w:b/>
                <w:color w:val="AFB586"/>
                <w:sz w:val="28"/>
                <w:szCs w:val="28"/>
                <w:lang w:eastAsia="fr-CA"/>
              </w:rPr>
              <w:t>and Request for Comment</w:t>
            </w:r>
          </w:p>
          <w:p w14:paraId="7DEEB5C6" w14:textId="6A435BE8" w:rsidR="00F003BF" w:rsidRDefault="00827A3D" w:rsidP="00F003BF">
            <w:pPr>
              <w:autoSpaceDE w:val="0"/>
              <w:autoSpaceDN w:val="0"/>
              <w:adjustRightInd w:val="0"/>
              <w:spacing w:after="0"/>
              <w:jc w:val="center"/>
              <w:rPr>
                <w:b/>
                <w:color w:val="AFB586"/>
                <w:sz w:val="28"/>
                <w:szCs w:val="28"/>
                <w:lang w:eastAsia="fr-CA"/>
              </w:rPr>
            </w:pPr>
            <w:r>
              <w:rPr>
                <w:b/>
                <w:color w:val="AFB586"/>
                <w:sz w:val="28"/>
                <w:szCs w:val="28"/>
                <w:lang w:eastAsia="fr-CA"/>
              </w:rPr>
              <w:t xml:space="preserve">Proposed Amendments </w:t>
            </w:r>
            <w:r w:rsidR="00DE1AAC">
              <w:rPr>
                <w:b/>
                <w:color w:val="AFB586"/>
                <w:sz w:val="28"/>
                <w:szCs w:val="28"/>
                <w:lang w:eastAsia="fr-CA"/>
              </w:rPr>
              <w:t xml:space="preserve">to National Instrument 14-101 </w:t>
            </w:r>
            <w:r w:rsidR="00DE1AAC" w:rsidRPr="00DE1AAC">
              <w:rPr>
                <w:b/>
                <w:i/>
                <w:color w:val="AFB586"/>
                <w:sz w:val="28"/>
                <w:szCs w:val="28"/>
                <w:lang w:eastAsia="fr-CA"/>
              </w:rPr>
              <w:t>Defin</w:t>
            </w:r>
            <w:r w:rsidR="00DE1AAC">
              <w:rPr>
                <w:b/>
                <w:i/>
                <w:color w:val="AFB586"/>
                <w:sz w:val="28"/>
                <w:szCs w:val="28"/>
                <w:lang w:eastAsia="fr-CA"/>
              </w:rPr>
              <w:t>i</w:t>
            </w:r>
            <w:r w:rsidR="00DE1AAC" w:rsidRPr="00DE1AAC">
              <w:rPr>
                <w:b/>
                <w:i/>
                <w:color w:val="AFB586"/>
                <w:sz w:val="28"/>
                <w:szCs w:val="28"/>
                <w:lang w:eastAsia="fr-CA"/>
              </w:rPr>
              <w:t>tions</w:t>
            </w:r>
          </w:p>
          <w:p w14:paraId="46F38538" w14:textId="1393D599" w:rsidR="00873049" w:rsidRPr="00DE1AAC" w:rsidRDefault="00126B4E" w:rsidP="00126B4E">
            <w:pPr>
              <w:autoSpaceDE w:val="0"/>
              <w:autoSpaceDN w:val="0"/>
              <w:adjustRightInd w:val="0"/>
              <w:spacing w:after="0"/>
              <w:jc w:val="center"/>
              <w:rPr>
                <w:b/>
                <w:color w:val="AFB586"/>
                <w:sz w:val="28"/>
                <w:szCs w:val="28"/>
                <w:lang w:eastAsia="fr-CA"/>
              </w:rPr>
            </w:pPr>
            <w:r>
              <w:rPr>
                <w:b/>
                <w:color w:val="AFB586"/>
                <w:sz w:val="28"/>
                <w:szCs w:val="28"/>
                <w:lang w:eastAsia="fr-CA"/>
              </w:rPr>
              <w:t xml:space="preserve">and </w:t>
            </w:r>
            <w:r w:rsidR="00DE1AAC">
              <w:rPr>
                <w:b/>
                <w:color w:val="AFB586"/>
                <w:sz w:val="28"/>
                <w:szCs w:val="28"/>
                <w:lang w:eastAsia="fr-CA"/>
              </w:rPr>
              <w:t>Consequential Amendments</w:t>
            </w:r>
            <w:r w:rsidR="00F003BF">
              <w:rPr>
                <w:b/>
                <w:color w:val="AFB586"/>
                <w:sz w:val="28"/>
                <w:szCs w:val="28"/>
                <w:lang w:eastAsia="fr-CA"/>
              </w:rPr>
              <w:t xml:space="preserve"> </w:t>
            </w:r>
          </w:p>
        </w:tc>
      </w:tr>
    </w:tbl>
    <w:p w14:paraId="120C1D74" w14:textId="1A4EC972" w:rsidR="00A96A2B" w:rsidRDefault="00A96A2B" w:rsidP="008A3984">
      <w:pPr>
        <w:contextualSpacing/>
        <w:rPr>
          <w:b/>
        </w:rPr>
      </w:pPr>
    </w:p>
    <w:p w14:paraId="5B92D562" w14:textId="77777777" w:rsidR="00D20D79" w:rsidRDefault="00D20D79" w:rsidP="008A3984">
      <w:pPr>
        <w:contextualSpacing/>
        <w:rPr>
          <w:b/>
        </w:rPr>
      </w:pPr>
    </w:p>
    <w:p w14:paraId="5515B0B5" w14:textId="60CEF3BE" w:rsidR="00873049" w:rsidRPr="00A16919" w:rsidRDefault="006629A8" w:rsidP="008A3984">
      <w:pPr>
        <w:contextualSpacing/>
        <w:rPr>
          <w:b/>
        </w:rPr>
      </w:pPr>
      <w:r>
        <w:rPr>
          <w:b/>
        </w:rPr>
        <w:t>April 22</w:t>
      </w:r>
      <w:r w:rsidR="00663FA7">
        <w:rPr>
          <w:b/>
        </w:rPr>
        <w:t xml:space="preserve">, 2021 </w:t>
      </w:r>
    </w:p>
    <w:p w14:paraId="09C6F030" w14:textId="77777777" w:rsidR="007C37AA" w:rsidRDefault="007C37AA" w:rsidP="008A3984">
      <w:pPr>
        <w:spacing w:after="0"/>
        <w:contextualSpacing/>
        <w:rPr>
          <w:rFonts w:cs="Times New Roman"/>
          <w:szCs w:val="24"/>
          <w:lang w:val="en-US"/>
        </w:rPr>
      </w:pPr>
    </w:p>
    <w:tbl>
      <w:tblPr>
        <w:tblStyle w:val="TableGrid"/>
        <w:tblW w:w="9563" w:type="dxa"/>
        <w:tblInd w:w="-5" w:type="dxa"/>
        <w:shd w:val="clear" w:color="auto" w:fill="D4D8C2"/>
        <w:tblLook w:val="04A0" w:firstRow="1" w:lastRow="0" w:firstColumn="1" w:lastColumn="0" w:noHBand="0" w:noVBand="1"/>
      </w:tblPr>
      <w:tblGrid>
        <w:gridCol w:w="9563"/>
      </w:tblGrid>
      <w:tr w:rsidR="006D7B47" w:rsidRPr="000E6624" w14:paraId="7F59C10F" w14:textId="77777777" w:rsidTr="00A96A2B">
        <w:trPr>
          <w:trHeight w:val="431"/>
        </w:trPr>
        <w:tc>
          <w:tcPr>
            <w:tcW w:w="9563" w:type="dxa"/>
            <w:tcBorders>
              <w:top w:val="single" w:sz="4" w:space="0" w:color="auto"/>
              <w:left w:val="single" w:sz="4" w:space="0" w:color="auto"/>
              <w:bottom w:val="single" w:sz="4" w:space="0" w:color="auto"/>
              <w:right w:val="single" w:sz="4" w:space="0" w:color="auto"/>
            </w:tcBorders>
            <w:shd w:val="clear" w:color="auto" w:fill="D4D8C2"/>
            <w:hideMark/>
          </w:tcPr>
          <w:p w14:paraId="2FF905A1" w14:textId="40085B25" w:rsidR="006D7B47" w:rsidRPr="000E6624" w:rsidRDefault="00177645" w:rsidP="005645D8">
            <w:pPr>
              <w:keepNext/>
              <w:spacing w:before="120"/>
              <w:ind w:right="-86"/>
              <w:rPr>
                <w:rFonts w:cs="Times New Roman"/>
                <w:b/>
                <w:szCs w:val="24"/>
                <w:lang w:val="en-US"/>
              </w:rPr>
            </w:pPr>
            <w:r>
              <w:rPr>
                <w:rFonts w:cs="Times New Roman"/>
                <w:b/>
                <w:szCs w:val="24"/>
                <w:lang w:val="en-US"/>
              </w:rPr>
              <w:t xml:space="preserve">PART 1 – </w:t>
            </w:r>
            <w:r w:rsidR="006D7B47" w:rsidRPr="000E6624">
              <w:rPr>
                <w:rFonts w:cs="Times New Roman"/>
                <w:b/>
                <w:szCs w:val="24"/>
                <w:lang w:val="en-US"/>
              </w:rPr>
              <w:t xml:space="preserve">Introduction </w:t>
            </w:r>
          </w:p>
        </w:tc>
      </w:tr>
    </w:tbl>
    <w:p w14:paraId="315058E8" w14:textId="77777777" w:rsidR="006D7B47" w:rsidRPr="000E6624" w:rsidRDefault="006D7B47" w:rsidP="006D7B47">
      <w:pPr>
        <w:keepNext/>
        <w:spacing w:after="0"/>
        <w:ind w:right="-90"/>
        <w:rPr>
          <w:rFonts w:cs="Times New Roman"/>
          <w:szCs w:val="24"/>
          <w:lang w:val="en-US"/>
        </w:rPr>
      </w:pPr>
    </w:p>
    <w:p w14:paraId="726F8AE1" w14:textId="2DB02EAB" w:rsidR="008A3984" w:rsidRDefault="00827A3D" w:rsidP="00893C11">
      <w:pPr>
        <w:spacing w:after="0"/>
        <w:contextualSpacing/>
        <w:rPr>
          <w:rFonts w:cs="Times New Roman"/>
          <w:szCs w:val="24"/>
          <w:lang w:val="en-US"/>
        </w:rPr>
      </w:pPr>
      <w:r>
        <w:rPr>
          <w:rFonts w:cs="Times New Roman"/>
          <w:szCs w:val="24"/>
          <w:lang w:val="en-US"/>
        </w:rPr>
        <w:t>T</w:t>
      </w:r>
      <w:r w:rsidR="007C37AA" w:rsidRPr="007C37AA">
        <w:rPr>
          <w:rFonts w:cs="Times New Roman"/>
          <w:szCs w:val="24"/>
          <w:lang w:val="en-US"/>
        </w:rPr>
        <w:t>he Canadian Securities Administrators (</w:t>
      </w:r>
      <w:r w:rsidR="007C37AA" w:rsidRPr="00EB25C8">
        <w:rPr>
          <w:rFonts w:cs="Times New Roman"/>
          <w:b/>
          <w:szCs w:val="24"/>
          <w:lang w:val="en-US"/>
        </w:rPr>
        <w:t>CSA</w:t>
      </w:r>
      <w:r w:rsidR="007C37AA" w:rsidRPr="007C37AA">
        <w:rPr>
          <w:rFonts w:cs="Times New Roman"/>
          <w:szCs w:val="24"/>
          <w:lang w:val="en-US"/>
        </w:rPr>
        <w:t xml:space="preserve"> or </w:t>
      </w:r>
      <w:r w:rsidR="007C37AA" w:rsidRPr="00EB25C8">
        <w:rPr>
          <w:rFonts w:cs="Times New Roman"/>
          <w:b/>
          <w:szCs w:val="24"/>
          <w:lang w:val="en-US"/>
        </w:rPr>
        <w:t>we</w:t>
      </w:r>
      <w:r w:rsidR="007C37AA" w:rsidRPr="007C37AA">
        <w:rPr>
          <w:rFonts w:cs="Times New Roman"/>
          <w:szCs w:val="24"/>
          <w:lang w:val="en-US"/>
        </w:rPr>
        <w:t xml:space="preserve">) </w:t>
      </w:r>
      <w:r>
        <w:rPr>
          <w:rFonts w:cs="Times New Roman"/>
          <w:szCs w:val="24"/>
          <w:lang w:val="en-US"/>
        </w:rPr>
        <w:t xml:space="preserve">are </w:t>
      </w:r>
      <w:r w:rsidR="007C37AA" w:rsidRPr="007C37AA">
        <w:rPr>
          <w:rFonts w:cs="Times New Roman"/>
          <w:szCs w:val="24"/>
          <w:lang w:val="en-US"/>
        </w:rPr>
        <w:t>publish</w:t>
      </w:r>
      <w:r>
        <w:rPr>
          <w:rFonts w:cs="Times New Roman"/>
          <w:szCs w:val="24"/>
          <w:lang w:val="en-US"/>
        </w:rPr>
        <w:t>ing</w:t>
      </w:r>
      <w:r w:rsidR="00C6309F">
        <w:rPr>
          <w:rFonts w:cs="Times New Roman"/>
          <w:szCs w:val="24"/>
          <w:lang w:val="en-US"/>
        </w:rPr>
        <w:t>,</w:t>
      </w:r>
      <w:r w:rsidR="007C37AA" w:rsidRPr="007C37AA">
        <w:rPr>
          <w:rFonts w:cs="Times New Roman"/>
          <w:szCs w:val="24"/>
          <w:lang w:val="en-US"/>
        </w:rPr>
        <w:t xml:space="preserve"> f</w:t>
      </w:r>
      <w:r w:rsidR="003F5000">
        <w:rPr>
          <w:rFonts w:cs="Times New Roman"/>
          <w:szCs w:val="24"/>
          <w:lang w:val="en-US"/>
        </w:rPr>
        <w:t xml:space="preserve">or </w:t>
      </w:r>
      <w:r w:rsidR="00E83460">
        <w:rPr>
          <w:rFonts w:cs="Times New Roman"/>
          <w:szCs w:val="24"/>
          <w:lang w:val="en-US"/>
        </w:rPr>
        <w:t>a 90-day comment period</w:t>
      </w:r>
      <w:r w:rsidR="007B126C">
        <w:rPr>
          <w:rFonts w:cs="Times New Roman"/>
          <w:szCs w:val="24"/>
          <w:lang w:val="en-US"/>
        </w:rPr>
        <w:t>,</w:t>
      </w:r>
      <w:r w:rsidR="00E83460">
        <w:rPr>
          <w:rFonts w:cs="Times New Roman"/>
          <w:szCs w:val="24"/>
          <w:lang w:val="en-US"/>
        </w:rPr>
        <w:t xml:space="preserve"> proposed amendments</w:t>
      </w:r>
      <w:r w:rsidR="00DE1AAC">
        <w:rPr>
          <w:rFonts w:cs="Times New Roman"/>
          <w:szCs w:val="24"/>
          <w:lang w:val="en-US"/>
        </w:rPr>
        <w:t xml:space="preserve"> </w:t>
      </w:r>
      <w:r w:rsidR="007C39F0">
        <w:rPr>
          <w:rFonts w:cs="Times New Roman"/>
          <w:szCs w:val="24"/>
          <w:lang w:val="en-US"/>
        </w:rPr>
        <w:t>to:</w:t>
      </w:r>
      <w:r w:rsidR="003F5000">
        <w:rPr>
          <w:rFonts w:cs="Times New Roman"/>
          <w:szCs w:val="24"/>
          <w:lang w:val="en-US"/>
        </w:rPr>
        <w:t xml:space="preserve"> </w:t>
      </w:r>
    </w:p>
    <w:p w14:paraId="007963CB" w14:textId="072E2092" w:rsidR="00871D10" w:rsidRDefault="00BC3720" w:rsidP="00AC545C">
      <w:pPr>
        <w:pStyle w:val="ListParagraph"/>
        <w:numPr>
          <w:ilvl w:val="0"/>
          <w:numId w:val="2"/>
        </w:numPr>
        <w:spacing w:after="0"/>
        <w:jc w:val="both"/>
        <w:rPr>
          <w:rFonts w:cs="Times New Roman"/>
          <w:szCs w:val="24"/>
          <w:lang w:val="en-US"/>
        </w:rPr>
      </w:pPr>
      <w:r>
        <w:rPr>
          <w:rFonts w:cs="Times New Roman"/>
          <w:szCs w:val="24"/>
          <w:lang w:val="en-US"/>
        </w:rPr>
        <w:t xml:space="preserve">National Instrument 14-101 </w:t>
      </w:r>
      <w:r w:rsidRPr="00BC3720">
        <w:rPr>
          <w:rFonts w:cs="Times New Roman"/>
          <w:i/>
          <w:szCs w:val="24"/>
          <w:lang w:val="en-US"/>
        </w:rPr>
        <w:t>Definitions</w:t>
      </w:r>
      <w:r w:rsidR="00367599">
        <w:rPr>
          <w:rFonts w:cs="Times New Roman"/>
          <w:szCs w:val="24"/>
          <w:lang w:val="en-US"/>
        </w:rPr>
        <w:t xml:space="preserve"> (</w:t>
      </w:r>
      <w:r w:rsidR="00367599" w:rsidRPr="00DD4F89">
        <w:rPr>
          <w:rFonts w:cs="Times New Roman"/>
          <w:b/>
          <w:szCs w:val="24"/>
          <w:lang w:val="en-US"/>
        </w:rPr>
        <w:t>NI 14-101</w:t>
      </w:r>
      <w:r w:rsidR="00367599">
        <w:rPr>
          <w:rFonts w:cs="Times New Roman"/>
          <w:szCs w:val="24"/>
          <w:lang w:val="en-US"/>
        </w:rPr>
        <w:t>)</w:t>
      </w:r>
      <w:r>
        <w:rPr>
          <w:rFonts w:cs="Times New Roman"/>
          <w:szCs w:val="24"/>
          <w:lang w:val="en-US"/>
        </w:rPr>
        <w:t>;</w:t>
      </w:r>
    </w:p>
    <w:p w14:paraId="7C722F85" w14:textId="77777777" w:rsidR="00573C73" w:rsidRPr="00573C73" w:rsidRDefault="00BC3720" w:rsidP="00893C11">
      <w:pPr>
        <w:pStyle w:val="ListParagraph"/>
        <w:numPr>
          <w:ilvl w:val="0"/>
          <w:numId w:val="2"/>
        </w:numPr>
        <w:spacing w:after="0"/>
        <w:rPr>
          <w:i/>
          <w:lang w:val="en-US"/>
        </w:rPr>
      </w:pPr>
      <w:r w:rsidRPr="00573C73">
        <w:rPr>
          <w:rFonts w:cs="Times New Roman"/>
          <w:szCs w:val="24"/>
          <w:lang w:val="en-US"/>
        </w:rPr>
        <w:t>National Instrument</w:t>
      </w:r>
      <w:r w:rsidR="0059794C" w:rsidRPr="00573C73">
        <w:rPr>
          <w:rFonts w:cs="Times New Roman"/>
          <w:szCs w:val="24"/>
          <w:lang w:val="en-US"/>
        </w:rPr>
        <w:t xml:space="preserve"> </w:t>
      </w:r>
      <w:r w:rsidRPr="00573C73">
        <w:rPr>
          <w:rFonts w:cs="Times New Roman"/>
          <w:szCs w:val="24"/>
          <w:lang w:val="en-US"/>
        </w:rPr>
        <w:t xml:space="preserve">31-103 </w:t>
      </w:r>
      <w:r w:rsidRPr="00573C73">
        <w:rPr>
          <w:rFonts w:cs="Times New Roman"/>
          <w:i/>
          <w:szCs w:val="24"/>
          <w:lang w:val="en-US"/>
        </w:rPr>
        <w:t>Registration Requirements, Exemptions and Ongoing Registrant Obligations</w:t>
      </w:r>
      <w:r w:rsidR="00367599" w:rsidRPr="00573C73">
        <w:rPr>
          <w:rFonts w:cs="Times New Roman"/>
          <w:szCs w:val="24"/>
          <w:lang w:val="en-US"/>
        </w:rPr>
        <w:t xml:space="preserve"> (</w:t>
      </w:r>
      <w:r w:rsidR="00367599" w:rsidRPr="00573C73">
        <w:rPr>
          <w:rFonts w:cs="Times New Roman"/>
          <w:b/>
          <w:szCs w:val="24"/>
          <w:lang w:val="en-US"/>
        </w:rPr>
        <w:t>NI 31-103</w:t>
      </w:r>
      <w:r w:rsidR="00367599" w:rsidRPr="00573C73">
        <w:rPr>
          <w:rFonts w:cs="Times New Roman"/>
          <w:szCs w:val="24"/>
          <w:lang w:val="en-US"/>
        </w:rPr>
        <w:t>)</w:t>
      </w:r>
      <w:r w:rsidRPr="00573C73">
        <w:rPr>
          <w:rFonts w:cs="Times New Roman"/>
          <w:szCs w:val="24"/>
          <w:lang w:val="en-US"/>
        </w:rPr>
        <w:t>;</w:t>
      </w:r>
    </w:p>
    <w:p w14:paraId="4C948B56" w14:textId="48AA221C" w:rsidR="00573C73" w:rsidRPr="00512F76" w:rsidRDefault="00BC3720" w:rsidP="00893C11">
      <w:pPr>
        <w:pStyle w:val="ListParagraph"/>
        <w:numPr>
          <w:ilvl w:val="0"/>
          <w:numId w:val="2"/>
        </w:numPr>
        <w:spacing w:after="0"/>
        <w:rPr>
          <w:rFonts w:cs="Times New Roman"/>
          <w:szCs w:val="24"/>
          <w:lang w:val="fr-CA"/>
        </w:rPr>
      </w:pPr>
      <w:r w:rsidRPr="00A96A2B">
        <w:rPr>
          <w:rFonts w:cs="Times New Roman"/>
          <w:szCs w:val="24"/>
          <w:lang w:val="fr-CA"/>
        </w:rPr>
        <w:t xml:space="preserve">National Instrument 45-106 </w:t>
      </w:r>
      <w:r w:rsidRPr="00A96A2B">
        <w:rPr>
          <w:rFonts w:cs="Times New Roman"/>
          <w:i/>
          <w:szCs w:val="24"/>
          <w:lang w:val="fr-CA"/>
        </w:rPr>
        <w:t>Prospectus Exemptions</w:t>
      </w:r>
      <w:r w:rsidR="00367599" w:rsidRPr="00A96A2B">
        <w:rPr>
          <w:rFonts w:cs="Times New Roman"/>
          <w:szCs w:val="24"/>
          <w:lang w:val="fr-CA"/>
        </w:rPr>
        <w:t xml:space="preserve"> (</w:t>
      </w:r>
      <w:r w:rsidR="00367599" w:rsidRPr="00A96A2B">
        <w:rPr>
          <w:rFonts w:cs="Times New Roman"/>
          <w:b/>
          <w:szCs w:val="24"/>
          <w:lang w:val="fr-CA"/>
        </w:rPr>
        <w:t>NI 45-106</w:t>
      </w:r>
      <w:r w:rsidR="00367599" w:rsidRPr="00A96A2B">
        <w:rPr>
          <w:rFonts w:cs="Times New Roman"/>
          <w:szCs w:val="24"/>
          <w:lang w:val="fr-CA"/>
        </w:rPr>
        <w:t>)</w:t>
      </w:r>
      <w:r w:rsidRPr="00A96A2B">
        <w:rPr>
          <w:rFonts w:cs="Times New Roman"/>
          <w:szCs w:val="24"/>
          <w:lang w:val="fr-CA"/>
        </w:rPr>
        <w:t>;</w:t>
      </w:r>
    </w:p>
    <w:p w14:paraId="436309AE" w14:textId="20810381" w:rsidR="002B6279" w:rsidRPr="0022695A" w:rsidRDefault="002B6279" w:rsidP="00893C11">
      <w:pPr>
        <w:pStyle w:val="ListParagraph"/>
        <w:numPr>
          <w:ilvl w:val="0"/>
          <w:numId w:val="2"/>
        </w:numPr>
        <w:spacing w:after="0"/>
        <w:rPr>
          <w:rFonts w:cs="Times New Roman"/>
          <w:szCs w:val="24"/>
          <w:lang w:val="en-US"/>
        </w:rPr>
      </w:pPr>
      <w:r w:rsidRPr="0022695A">
        <w:rPr>
          <w:rFonts w:cs="Times New Roman"/>
          <w:szCs w:val="24"/>
          <w:lang w:val="en-US"/>
        </w:rPr>
        <w:t xml:space="preserve">National Instrument </w:t>
      </w:r>
      <w:r w:rsidRPr="00D359FA">
        <w:rPr>
          <w:rFonts w:cs="Times New Roman"/>
          <w:szCs w:val="24"/>
          <w:lang w:val="en-US"/>
        </w:rPr>
        <w:t>62-103</w:t>
      </w:r>
      <w:r w:rsidRPr="00D359FA">
        <w:rPr>
          <w:rFonts w:cs="Times New Roman"/>
          <w:i/>
          <w:szCs w:val="24"/>
          <w:lang w:val="en-US"/>
        </w:rPr>
        <w:t xml:space="preserve"> </w:t>
      </w:r>
      <w:r w:rsidR="00954C2B">
        <w:rPr>
          <w:rFonts w:cs="Times New Roman"/>
          <w:i/>
          <w:szCs w:val="24"/>
          <w:lang w:val="en-US"/>
        </w:rPr>
        <w:t xml:space="preserve">The </w:t>
      </w:r>
      <w:r w:rsidRPr="00D359FA">
        <w:rPr>
          <w:rFonts w:cs="Times New Roman"/>
          <w:i/>
          <w:szCs w:val="24"/>
          <w:lang w:val="en-US"/>
        </w:rPr>
        <w:t>Early Warning System and Related Take-Over Bid and Inside</w:t>
      </w:r>
      <w:r w:rsidR="00954C2B">
        <w:rPr>
          <w:rFonts w:cs="Times New Roman"/>
          <w:i/>
          <w:szCs w:val="24"/>
          <w:lang w:val="en-US"/>
        </w:rPr>
        <w:t>r</w:t>
      </w:r>
      <w:r w:rsidRPr="00D359FA">
        <w:rPr>
          <w:rFonts w:cs="Times New Roman"/>
          <w:i/>
          <w:szCs w:val="24"/>
          <w:lang w:val="en-US"/>
        </w:rPr>
        <w:t xml:space="preserve"> Reporting Issues</w:t>
      </w:r>
      <w:r w:rsidR="0022695A">
        <w:rPr>
          <w:rFonts w:cs="Times New Roman"/>
          <w:szCs w:val="24"/>
          <w:lang w:val="en-US"/>
        </w:rPr>
        <w:t xml:space="preserve"> (</w:t>
      </w:r>
      <w:r w:rsidR="0022695A" w:rsidRPr="00D359FA">
        <w:rPr>
          <w:rFonts w:cs="Times New Roman"/>
          <w:b/>
          <w:szCs w:val="24"/>
          <w:lang w:val="en-US"/>
        </w:rPr>
        <w:t>NI 62-103</w:t>
      </w:r>
      <w:r w:rsidR="0022695A">
        <w:rPr>
          <w:rFonts w:cs="Times New Roman"/>
          <w:szCs w:val="24"/>
          <w:lang w:val="en-US"/>
        </w:rPr>
        <w:t>);</w:t>
      </w:r>
    </w:p>
    <w:p w14:paraId="2C80CDAA" w14:textId="01018EA2" w:rsidR="00BC3720" w:rsidRDefault="000A0E88" w:rsidP="00893C11">
      <w:pPr>
        <w:pStyle w:val="ListParagraph"/>
        <w:numPr>
          <w:ilvl w:val="0"/>
          <w:numId w:val="2"/>
        </w:numPr>
        <w:spacing w:after="0"/>
        <w:rPr>
          <w:rFonts w:cs="Times New Roman"/>
          <w:szCs w:val="24"/>
          <w:lang w:val="en-US"/>
        </w:rPr>
      </w:pPr>
      <w:r>
        <w:rPr>
          <w:rFonts w:cs="Times New Roman"/>
          <w:szCs w:val="24"/>
          <w:lang w:val="en-US"/>
        </w:rPr>
        <w:t xml:space="preserve">National Instrument 94-102 </w:t>
      </w:r>
      <w:r w:rsidRPr="000A0E88">
        <w:rPr>
          <w:rFonts w:cs="Times New Roman"/>
          <w:i/>
          <w:szCs w:val="24"/>
          <w:lang w:val="en-US"/>
        </w:rPr>
        <w:t>Derivatives: Customer Clearing and Protection of Customer Collateral and Positions</w:t>
      </w:r>
      <w:r w:rsidR="003D6BCF">
        <w:rPr>
          <w:rFonts w:cs="Times New Roman"/>
          <w:szCs w:val="24"/>
          <w:lang w:val="en-US"/>
        </w:rPr>
        <w:t xml:space="preserve"> (</w:t>
      </w:r>
      <w:r w:rsidR="003D6BCF" w:rsidRPr="003D6BCF">
        <w:rPr>
          <w:rFonts w:cs="Times New Roman"/>
          <w:b/>
          <w:szCs w:val="24"/>
          <w:lang w:val="en-US"/>
        </w:rPr>
        <w:t>NI 94-102</w:t>
      </w:r>
      <w:r w:rsidR="003D6BCF">
        <w:rPr>
          <w:rFonts w:cs="Times New Roman"/>
          <w:szCs w:val="24"/>
          <w:lang w:val="en-US"/>
        </w:rPr>
        <w:t>)</w:t>
      </w:r>
    </w:p>
    <w:p w14:paraId="4BF625A8" w14:textId="219F4DB6" w:rsidR="00E83460" w:rsidRDefault="00D83A92" w:rsidP="006E71E9">
      <w:pPr>
        <w:spacing w:after="0"/>
        <w:jc w:val="both"/>
        <w:rPr>
          <w:rFonts w:cs="Times New Roman"/>
          <w:szCs w:val="24"/>
          <w:lang w:val="en-US"/>
        </w:rPr>
      </w:pPr>
      <w:r>
        <w:rPr>
          <w:rFonts w:cs="Times New Roman"/>
          <w:szCs w:val="24"/>
          <w:lang w:val="en-US"/>
        </w:rPr>
        <w:t xml:space="preserve"> </w:t>
      </w:r>
      <w:r w:rsidR="00FA7389">
        <w:rPr>
          <w:rFonts w:cs="Times New Roman"/>
          <w:szCs w:val="24"/>
          <w:lang w:val="en-US"/>
        </w:rPr>
        <w:t>(</w:t>
      </w:r>
      <w:r w:rsidR="009319F7">
        <w:rPr>
          <w:rFonts w:cs="Times New Roman"/>
          <w:szCs w:val="24"/>
          <w:lang w:val="en-US"/>
        </w:rPr>
        <w:t xml:space="preserve">collectively, </w:t>
      </w:r>
      <w:r w:rsidR="00FA7389">
        <w:rPr>
          <w:rFonts w:cs="Times New Roman"/>
          <w:szCs w:val="24"/>
          <w:lang w:val="en-US"/>
        </w:rPr>
        <w:t xml:space="preserve">the </w:t>
      </w:r>
      <w:r w:rsidR="00FA7389">
        <w:rPr>
          <w:rFonts w:cs="Times New Roman"/>
          <w:b/>
          <w:szCs w:val="24"/>
          <w:lang w:val="en-US"/>
        </w:rPr>
        <w:t>Proposed Amendments)</w:t>
      </w:r>
      <w:r w:rsidR="00FA7389">
        <w:rPr>
          <w:rFonts w:cs="Times New Roman"/>
          <w:szCs w:val="24"/>
          <w:lang w:val="en-US"/>
        </w:rPr>
        <w:t>.</w:t>
      </w:r>
    </w:p>
    <w:p w14:paraId="65F17FCA" w14:textId="7CC0589F" w:rsidR="0059794C" w:rsidRDefault="0059794C" w:rsidP="006E71E9">
      <w:pPr>
        <w:spacing w:after="0"/>
        <w:jc w:val="both"/>
        <w:rPr>
          <w:rFonts w:cs="Times New Roman"/>
          <w:szCs w:val="24"/>
          <w:lang w:val="en-US"/>
        </w:rPr>
      </w:pPr>
    </w:p>
    <w:p w14:paraId="3D0F7FBD" w14:textId="751F7253" w:rsidR="00E83460" w:rsidRPr="00E83460" w:rsidRDefault="00E83460" w:rsidP="006E71E9">
      <w:pPr>
        <w:spacing w:after="0"/>
        <w:jc w:val="both"/>
        <w:rPr>
          <w:rFonts w:cs="Times New Roman"/>
          <w:szCs w:val="24"/>
        </w:rPr>
      </w:pPr>
      <w:r w:rsidRPr="00E83460">
        <w:rPr>
          <w:rFonts w:cs="Times New Roman"/>
          <w:szCs w:val="24"/>
        </w:rPr>
        <w:t xml:space="preserve">We are issuing this Notice to solicit </w:t>
      </w:r>
      <w:r>
        <w:rPr>
          <w:rFonts w:cs="Times New Roman"/>
          <w:szCs w:val="24"/>
        </w:rPr>
        <w:t xml:space="preserve">your </w:t>
      </w:r>
      <w:r w:rsidRPr="00E83460">
        <w:rPr>
          <w:rFonts w:cs="Times New Roman"/>
          <w:szCs w:val="24"/>
        </w:rPr>
        <w:t>comments on the P</w:t>
      </w:r>
      <w:r>
        <w:rPr>
          <w:rFonts w:cs="Times New Roman"/>
          <w:szCs w:val="24"/>
        </w:rPr>
        <w:t>roposed Amendments</w:t>
      </w:r>
      <w:r w:rsidR="00031B59">
        <w:rPr>
          <w:rFonts w:cs="Times New Roman"/>
          <w:szCs w:val="24"/>
        </w:rPr>
        <w:t>.</w:t>
      </w:r>
      <w:r w:rsidRPr="00E83460">
        <w:rPr>
          <w:rFonts w:cs="Times New Roman"/>
          <w:szCs w:val="24"/>
        </w:rPr>
        <w:t xml:space="preserve"> </w:t>
      </w:r>
    </w:p>
    <w:p w14:paraId="16A45592" w14:textId="187CC92D" w:rsidR="00E83460" w:rsidRPr="00E83460" w:rsidRDefault="00505827" w:rsidP="006E71E9">
      <w:pPr>
        <w:spacing w:after="0"/>
        <w:jc w:val="both"/>
        <w:rPr>
          <w:rFonts w:cs="Times New Roman"/>
          <w:szCs w:val="24"/>
        </w:rPr>
      </w:pPr>
      <w:r>
        <w:rPr>
          <w:rFonts w:cs="Times New Roman"/>
          <w:szCs w:val="24"/>
        </w:rPr>
        <w:t xml:space="preserve"> </w:t>
      </w:r>
    </w:p>
    <w:p w14:paraId="397388B2" w14:textId="3E0B4D5A" w:rsidR="00E83460" w:rsidRPr="00E83460" w:rsidRDefault="00E83460" w:rsidP="006E71E9">
      <w:pPr>
        <w:spacing w:after="0"/>
        <w:jc w:val="both"/>
        <w:rPr>
          <w:rFonts w:cs="Times New Roman"/>
          <w:szCs w:val="24"/>
        </w:rPr>
      </w:pPr>
      <w:r w:rsidRPr="00E83460">
        <w:rPr>
          <w:rFonts w:cs="Times New Roman"/>
          <w:szCs w:val="24"/>
        </w:rPr>
        <w:t>The pu</w:t>
      </w:r>
      <w:r w:rsidR="006F4B54">
        <w:rPr>
          <w:rFonts w:cs="Times New Roman"/>
          <w:szCs w:val="24"/>
        </w:rPr>
        <w:t xml:space="preserve">blic comment period expires </w:t>
      </w:r>
      <w:r w:rsidR="003677B2">
        <w:rPr>
          <w:rFonts w:cs="Times New Roman"/>
          <w:szCs w:val="24"/>
        </w:rPr>
        <w:t>on July</w:t>
      </w:r>
      <w:r w:rsidR="00887920">
        <w:rPr>
          <w:rFonts w:cs="Times New Roman"/>
          <w:szCs w:val="24"/>
        </w:rPr>
        <w:t xml:space="preserve"> 21</w:t>
      </w:r>
      <w:r w:rsidR="008F3DC9" w:rsidRPr="00973AF0">
        <w:rPr>
          <w:rFonts w:cs="Times New Roman"/>
          <w:szCs w:val="24"/>
        </w:rPr>
        <w:t>,</w:t>
      </w:r>
      <w:r w:rsidR="008F3DC9">
        <w:rPr>
          <w:rFonts w:cs="Times New Roman"/>
          <w:szCs w:val="24"/>
        </w:rPr>
        <w:t xml:space="preserve"> 2021</w:t>
      </w:r>
      <w:r w:rsidRPr="00E83460">
        <w:rPr>
          <w:rFonts w:cs="Times New Roman"/>
          <w:szCs w:val="24"/>
        </w:rPr>
        <w:t xml:space="preserve">. </w:t>
      </w:r>
    </w:p>
    <w:p w14:paraId="204FF985" w14:textId="77777777" w:rsidR="00E83460" w:rsidRPr="00E83460" w:rsidRDefault="00E83460" w:rsidP="006E71E9">
      <w:pPr>
        <w:spacing w:after="0"/>
        <w:jc w:val="both"/>
        <w:rPr>
          <w:rFonts w:cs="Times New Roman"/>
          <w:szCs w:val="24"/>
        </w:rPr>
      </w:pPr>
    </w:p>
    <w:p w14:paraId="4AEB5B91" w14:textId="53976E8E" w:rsidR="00B71A35" w:rsidRDefault="00E83460" w:rsidP="00893C11">
      <w:pPr>
        <w:spacing w:after="0"/>
        <w:rPr>
          <w:rFonts w:cs="Times New Roman"/>
          <w:szCs w:val="24"/>
        </w:rPr>
      </w:pPr>
      <w:r w:rsidRPr="00E83460">
        <w:rPr>
          <w:rFonts w:cs="Times New Roman"/>
          <w:szCs w:val="24"/>
        </w:rPr>
        <w:t>The text of the P</w:t>
      </w:r>
      <w:r>
        <w:rPr>
          <w:rFonts w:cs="Times New Roman"/>
          <w:szCs w:val="24"/>
        </w:rPr>
        <w:t>roposed Amendments</w:t>
      </w:r>
      <w:r w:rsidRPr="00E83460">
        <w:rPr>
          <w:rFonts w:cs="Times New Roman"/>
          <w:szCs w:val="24"/>
        </w:rPr>
        <w:t xml:space="preserve"> </w:t>
      </w:r>
      <w:r w:rsidR="0061039B">
        <w:rPr>
          <w:rFonts w:cs="Times New Roman"/>
          <w:szCs w:val="24"/>
        </w:rPr>
        <w:t xml:space="preserve">is </w:t>
      </w:r>
      <w:r w:rsidRPr="00E83460">
        <w:rPr>
          <w:rFonts w:cs="Times New Roman"/>
          <w:szCs w:val="24"/>
        </w:rPr>
        <w:t xml:space="preserve">published with this </w:t>
      </w:r>
      <w:r w:rsidR="008158C7">
        <w:rPr>
          <w:rFonts w:cs="Times New Roman"/>
          <w:szCs w:val="24"/>
        </w:rPr>
        <w:t>N</w:t>
      </w:r>
      <w:r w:rsidR="008158C7" w:rsidRPr="00E83460">
        <w:rPr>
          <w:rFonts w:cs="Times New Roman"/>
          <w:szCs w:val="24"/>
        </w:rPr>
        <w:t>otice</w:t>
      </w:r>
      <w:r w:rsidR="008158C7" w:rsidRPr="00B71A35">
        <w:rPr>
          <w:rFonts w:cs="Times New Roman"/>
          <w:szCs w:val="24"/>
        </w:rPr>
        <w:t xml:space="preserve"> </w:t>
      </w:r>
      <w:r w:rsidR="00B71A35">
        <w:rPr>
          <w:rFonts w:cs="Times New Roman"/>
          <w:szCs w:val="24"/>
        </w:rPr>
        <w:t>in the following annexes:</w:t>
      </w:r>
    </w:p>
    <w:p w14:paraId="4224AEFB" w14:textId="77777777" w:rsidR="00B71A35" w:rsidRDefault="00B71A35" w:rsidP="00B71A35">
      <w:pPr>
        <w:spacing w:after="0"/>
        <w:jc w:val="both"/>
        <w:rPr>
          <w:rFonts w:cs="Times New Roman"/>
          <w:szCs w:val="24"/>
        </w:rPr>
      </w:pPr>
    </w:p>
    <w:p w14:paraId="14599CD7" w14:textId="62CD17D8" w:rsidR="00B71A35" w:rsidRDefault="000A0E88" w:rsidP="00615DDA">
      <w:pPr>
        <w:pStyle w:val="ListParagraph"/>
        <w:numPr>
          <w:ilvl w:val="0"/>
          <w:numId w:val="3"/>
        </w:numPr>
        <w:spacing w:after="0"/>
        <w:jc w:val="both"/>
        <w:rPr>
          <w:rFonts w:cs="Times New Roman"/>
          <w:szCs w:val="24"/>
        </w:rPr>
      </w:pPr>
      <w:r>
        <w:rPr>
          <w:rFonts w:cs="Times New Roman"/>
          <w:szCs w:val="24"/>
        </w:rPr>
        <w:t>A</w:t>
      </w:r>
      <w:r w:rsidR="00B71A35">
        <w:rPr>
          <w:rFonts w:cs="Times New Roman"/>
          <w:szCs w:val="24"/>
        </w:rPr>
        <w:t xml:space="preserve">nnex A – </w:t>
      </w:r>
      <w:r>
        <w:rPr>
          <w:rFonts w:cs="Times New Roman"/>
          <w:szCs w:val="24"/>
        </w:rPr>
        <w:t xml:space="preserve">Proposed Amendments to </w:t>
      </w:r>
      <w:r w:rsidR="00367599">
        <w:rPr>
          <w:rFonts w:cs="Times New Roman"/>
          <w:szCs w:val="24"/>
        </w:rPr>
        <w:t>NI 14-101</w:t>
      </w:r>
      <w:r w:rsidR="0080096D">
        <w:rPr>
          <w:rFonts w:cs="Times New Roman"/>
          <w:szCs w:val="24"/>
          <w:lang w:val="en-US"/>
        </w:rPr>
        <w:t>;</w:t>
      </w:r>
    </w:p>
    <w:p w14:paraId="09738453" w14:textId="7700C1A2" w:rsidR="0059794C" w:rsidRPr="0059794C" w:rsidRDefault="00B71A35" w:rsidP="00615DDA">
      <w:pPr>
        <w:pStyle w:val="ListParagraph"/>
        <w:numPr>
          <w:ilvl w:val="0"/>
          <w:numId w:val="3"/>
        </w:numPr>
        <w:spacing w:after="0"/>
        <w:jc w:val="both"/>
        <w:rPr>
          <w:rFonts w:cs="Times New Roman"/>
          <w:szCs w:val="24"/>
        </w:rPr>
      </w:pPr>
      <w:r>
        <w:rPr>
          <w:rFonts w:cs="Times New Roman"/>
          <w:szCs w:val="24"/>
        </w:rPr>
        <w:t>Annex B</w:t>
      </w:r>
      <w:r w:rsidR="0059794C">
        <w:rPr>
          <w:rFonts w:cs="Times New Roman"/>
          <w:szCs w:val="24"/>
        </w:rPr>
        <w:t xml:space="preserve"> </w:t>
      </w:r>
      <w:r>
        <w:rPr>
          <w:rFonts w:cs="Times New Roman"/>
          <w:szCs w:val="24"/>
        </w:rPr>
        <w:t>–</w:t>
      </w:r>
      <w:r w:rsidR="0059794C">
        <w:rPr>
          <w:rFonts w:cs="Times New Roman"/>
          <w:szCs w:val="24"/>
        </w:rPr>
        <w:t xml:space="preserve"> </w:t>
      </w:r>
      <w:r w:rsidR="000A0E88">
        <w:rPr>
          <w:rFonts w:cs="Times New Roman"/>
          <w:szCs w:val="24"/>
        </w:rPr>
        <w:t>Proposed Amendment</w:t>
      </w:r>
      <w:r w:rsidR="0059794C">
        <w:rPr>
          <w:rFonts w:cs="Times New Roman"/>
          <w:szCs w:val="24"/>
        </w:rPr>
        <w:t>s</w:t>
      </w:r>
      <w:r w:rsidR="000A0E88">
        <w:rPr>
          <w:rFonts w:cs="Times New Roman"/>
          <w:szCs w:val="24"/>
        </w:rPr>
        <w:t xml:space="preserve"> to </w:t>
      </w:r>
      <w:r w:rsidR="00367599">
        <w:rPr>
          <w:rFonts w:cs="Times New Roman"/>
          <w:szCs w:val="24"/>
        </w:rPr>
        <w:t>NI 31-103</w:t>
      </w:r>
      <w:r w:rsidR="000A0E88">
        <w:rPr>
          <w:rFonts w:cs="Times New Roman"/>
          <w:szCs w:val="24"/>
          <w:lang w:val="en-US"/>
        </w:rPr>
        <w:t>;</w:t>
      </w:r>
    </w:p>
    <w:p w14:paraId="4CE2ACC9" w14:textId="1394E00D" w:rsidR="00B71A35" w:rsidRPr="00D0673F" w:rsidRDefault="0059794C" w:rsidP="00615DDA">
      <w:pPr>
        <w:pStyle w:val="ListParagraph"/>
        <w:numPr>
          <w:ilvl w:val="0"/>
          <w:numId w:val="3"/>
        </w:numPr>
        <w:spacing w:after="0"/>
        <w:jc w:val="both"/>
        <w:rPr>
          <w:rFonts w:cs="Times New Roman"/>
          <w:szCs w:val="24"/>
        </w:rPr>
      </w:pPr>
      <w:r>
        <w:rPr>
          <w:rFonts w:cs="Times New Roman"/>
          <w:szCs w:val="24"/>
          <w:lang w:val="en-US"/>
        </w:rPr>
        <w:t xml:space="preserve">Annex C </w:t>
      </w:r>
      <w:r w:rsidR="000A0E88">
        <w:rPr>
          <w:rFonts w:cs="Times New Roman"/>
          <w:szCs w:val="24"/>
        </w:rPr>
        <w:t xml:space="preserve"> </w:t>
      </w:r>
      <w:r>
        <w:rPr>
          <w:rFonts w:cs="Times New Roman"/>
          <w:szCs w:val="24"/>
        </w:rPr>
        <w:t xml:space="preserve">– </w:t>
      </w:r>
      <w:r w:rsidR="00512F76" w:rsidRPr="00A10464">
        <w:rPr>
          <w:rFonts w:cs="Times New Roman"/>
          <w:szCs w:val="24"/>
        </w:rPr>
        <w:t>Proposed Amendment</w:t>
      </w:r>
      <w:r w:rsidR="00512F76">
        <w:rPr>
          <w:rFonts w:cs="Times New Roman"/>
          <w:szCs w:val="24"/>
        </w:rPr>
        <w:t>s</w:t>
      </w:r>
      <w:r w:rsidR="00512F76" w:rsidRPr="00A10464">
        <w:rPr>
          <w:rFonts w:cs="Times New Roman"/>
          <w:szCs w:val="24"/>
        </w:rPr>
        <w:t xml:space="preserve"> to </w:t>
      </w:r>
      <w:r w:rsidR="00512F76">
        <w:rPr>
          <w:rFonts w:cs="Times New Roman"/>
          <w:szCs w:val="24"/>
        </w:rPr>
        <w:t>NI 45-106;</w:t>
      </w:r>
    </w:p>
    <w:p w14:paraId="01F898CB" w14:textId="17846157" w:rsidR="008D7409" w:rsidRDefault="00B71A35" w:rsidP="00615DDA">
      <w:pPr>
        <w:pStyle w:val="ListParagraph"/>
        <w:numPr>
          <w:ilvl w:val="0"/>
          <w:numId w:val="3"/>
        </w:numPr>
        <w:spacing w:after="0"/>
        <w:jc w:val="both"/>
        <w:rPr>
          <w:rFonts w:cs="Times New Roman"/>
          <w:szCs w:val="24"/>
          <w:lang w:val="en-US"/>
        </w:rPr>
      </w:pPr>
      <w:r w:rsidRPr="00A10464">
        <w:rPr>
          <w:rFonts w:cs="Times New Roman"/>
          <w:szCs w:val="24"/>
        </w:rPr>
        <w:t xml:space="preserve">Annex </w:t>
      </w:r>
      <w:r w:rsidR="008D7409">
        <w:rPr>
          <w:rFonts w:cs="Times New Roman"/>
          <w:szCs w:val="24"/>
        </w:rPr>
        <w:t>D</w:t>
      </w:r>
      <w:r w:rsidRPr="00A10464">
        <w:rPr>
          <w:rFonts w:cs="Times New Roman"/>
          <w:szCs w:val="24"/>
        </w:rPr>
        <w:t xml:space="preserve"> </w:t>
      </w:r>
      <w:r w:rsidR="008D7409" w:rsidRPr="00A10464">
        <w:rPr>
          <w:rFonts w:cs="Times New Roman"/>
          <w:szCs w:val="24"/>
        </w:rPr>
        <w:t>–</w:t>
      </w:r>
      <w:r w:rsidR="00512F76" w:rsidRPr="00512F76">
        <w:rPr>
          <w:rFonts w:cs="Times New Roman"/>
          <w:szCs w:val="24"/>
        </w:rPr>
        <w:t xml:space="preserve"> </w:t>
      </w:r>
      <w:r w:rsidR="00512F76">
        <w:rPr>
          <w:rFonts w:cs="Times New Roman"/>
          <w:szCs w:val="24"/>
        </w:rPr>
        <w:t>Proposed Amendment to NI 62-103;</w:t>
      </w:r>
    </w:p>
    <w:p w14:paraId="5785326A" w14:textId="28915850" w:rsidR="0022695A" w:rsidRPr="00512F76" w:rsidRDefault="008D7409" w:rsidP="00615DDA">
      <w:pPr>
        <w:pStyle w:val="ListParagraph"/>
        <w:numPr>
          <w:ilvl w:val="0"/>
          <w:numId w:val="3"/>
        </w:numPr>
        <w:spacing w:after="0"/>
        <w:jc w:val="both"/>
        <w:rPr>
          <w:rFonts w:cs="Times New Roman"/>
          <w:szCs w:val="24"/>
          <w:lang w:val="en-US"/>
        </w:rPr>
      </w:pPr>
      <w:r>
        <w:rPr>
          <w:rFonts w:cs="Times New Roman"/>
          <w:szCs w:val="24"/>
          <w:lang w:val="en-US"/>
        </w:rPr>
        <w:t xml:space="preserve">Annex E </w:t>
      </w:r>
      <w:r w:rsidR="007F70AD">
        <w:rPr>
          <w:rFonts w:cs="Times New Roman"/>
          <w:szCs w:val="24"/>
          <w:lang w:val="en-US"/>
        </w:rPr>
        <w:t xml:space="preserve">– </w:t>
      </w:r>
      <w:r w:rsidR="007F70AD" w:rsidRPr="00512F76">
        <w:rPr>
          <w:rFonts w:cs="Times New Roman"/>
          <w:szCs w:val="24"/>
        </w:rPr>
        <w:t>Proposed</w:t>
      </w:r>
      <w:r w:rsidR="0022695A" w:rsidRPr="00512F76">
        <w:rPr>
          <w:rFonts w:cs="Times New Roman"/>
          <w:szCs w:val="24"/>
        </w:rPr>
        <w:t xml:space="preserve"> Amendment to </w:t>
      </w:r>
      <w:r w:rsidR="00F20C43" w:rsidRPr="00512F76">
        <w:rPr>
          <w:rFonts w:cs="Times New Roman"/>
          <w:szCs w:val="24"/>
          <w:lang w:val="en-US"/>
        </w:rPr>
        <w:t>NI 94-102</w:t>
      </w:r>
      <w:r w:rsidR="00922E28" w:rsidRPr="00512F76">
        <w:rPr>
          <w:rFonts w:cs="Times New Roman"/>
          <w:szCs w:val="24"/>
          <w:lang w:val="en-US"/>
        </w:rPr>
        <w:t>.</w:t>
      </w:r>
    </w:p>
    <w:p w14:paraId="6DE55CE1" w14:textId="77777777" w:rsidR="0080096D" w:rsidRDefault="0080096D" w:rsidP="006E71E9">
      <w:pPr>
        <w:spacing w:after="0"/>
        <w:jc w:val="both"/>
        <w:rPr>
          <w:rFonts w:cs="Times New Roman"/>
          <w:szCs w:val="24"/>
        </w:rPr>
      </w:pPr>
    </w:p>
    <w:p w14:paraId="2F5FA429" w14:textId="652686A3" w:rsidR="008D7409" w:rsidRDefault="008D7409" w:rsidP="006E71E9">
      <w:pPr>
        <w:spacing w:after="0"/>
        <w:jc w:val="both"/>
        <w:rPr>
          <w:rFonts w:cs="Times New Roman"/>
          <w:szCs w:val="24"/>
        </w:rPr>
      </w:pPr>
      <w:r>
        <w:rPr>
          <w:rFonts w:cs="Times New Roman"/>
          <w:szCs w:val="24"/>
        </w:rPr>
        <w:t xml:space="preserve">This Notice </w:t>
      </w:r>
      <w:r w:rsidR="0080096D">
        <w:rPr>
          <w:rFonts w:cs="Times New Roman"/>
          <w:szCs w:val="24"/>
        </w:rPr>
        <w:t xml:space="preserve">also </w:t>
      </w:r>
      <w:r>
        <w:rPr>
          <w:rFonts w:cs="Times New Roman"/>
          <w:szCs w:val="24"/>
        </w:rPr>
        <w:t xml:space="preserve">includes Annex </w:t>
      </w:r>
      <w:r w:rsidR="00512F76">
        <w:rPr>
          <w:rFonts w:cs="Times New Roman"/>
          <w:szCs w:val="24"/>
        </w:rPr>
        <w:t>F</w:t>
      </w:r>
      <w:r w:rsidR="0090425E">
        <w:rPr>
          <w:rFonts w:cs="Times New Roman"/>
          <w:szCs w:val="24"/>
        </w:rPr>
        <w:t xml:space="preserve"> </w:t>
      </w:r>
      <w:r w:rsidR="0094157E">
        <w:rPr>
          <w:rFonts w:cs="Times New Roman"/>
          <w:szCs w:val="24"/>
        </w:rPr>
        <w:t>dealing</w:t>
      </w:r>
      <w:r>
        <w:rPr>
          <w:rFonts w:cs="Times New Roman"/>
          <w:szCs w:val="24"/>
        </w:rPr>
        <w:t xml:space="preserve"> with local matters</w:t>
      </w:r>
      <w:r w:rsidR="0080096D">
        <w:rPr>
          <w:rFonts w:cs="Times New Roman"/>
          <w:szCs w:val="24"/>
        </w:rPr>
        <w:t xml:space="preserve">, as applicable.  </w:t>
      </w:r>
    </w:p>
    <w:p w14:paraId="68519D1F" w14:textId="77777777" w:rsidR="008D7409" w:rsidRDefault="008D7409" w:rsidP="006E71E9">
      <w:pPr>
        <w:spacing w:after="0"/>
        <w:jc w:val="both"/>
        <w:rPr>
          <w:rFonts w:cs="Times New Roman"/>
          <w:szCs w:val="24"/>
        </w:rPr>
      </w:pPr>
    </w:p>
    <w:p w14:paraId="37242986" w14:textId="6B045017" w:rsidR="00E83460" w:rsidRPr="00E83460" w:rsidRDefault="00B71A35" w:rsidP="006E71E9">
      <w:pPr>
        <w:spacing w:after="0"/>
        <w:jc w:val="both"/>
        <w:rPr>
          <w:rFonts w:cs="Times New Roman"/>
          <w:szCs w:val="24"/>
        </w:rPr>
      </w:pPr>
      <w:r>
        <w:rPr>
          <w:rFonts w:cs="Times New Roman"/>
          <w:szCs w:val="24"/>
        </w:rPr>
        <w:t xml:space="preserve">This Notice </w:t>
      </w:r>
      <w:r w:rsidR="00DD6B3E">
        <w:rPr>
          <w:rFonts w:cs="Times New Roman"/>
          <w:szCs w:val="24"/>
        </w:rPr>
        <w:t xml:space="preserve">is </w:t>
      </w:r>
      <w:r w:rsidR="00E83460" w:rsidRPr="00E83460">
        <w:rPr>
          <w:rFonts w:cs="Times New Roman"/>
          <w:szCs w:val="24"/>
        </w:rPr>
        <w:t>also</w:t>
      </w:r>
      <w:r>
        <w:rPr>
          <w:rFonts w:cs="Times New Roman"/>
          <w:szCs w:val="24"/>
        </w:rPr>
        <w:t xml:space="preserve"> </w:t>
      </w:r>
      <w:r w:rsidR="00E83460" w:rsidRPr="00E83460">
        <w:rPr>
          <w:rFonts w:cs="Times New Roman"/>
          <w:szCs w:val="24"/>
        </w:rPr>
        <w:t>available on the following websites of CSA jurisdictions:</w:t>
      </w:r>
    </w:p>
    <w:p w14:paraId="35CB303D" w14:textId="77777777" w:rsidR="00167953" w:rsidRDefault="00167953" w:rsidP="006E71E9">
      <w:pPr>
        <w:autoSpaceDE w:val="0"/>
        <w:autoSpaceDN w:val="0"/>
        <w:adjustRightInd w:val="0"/>
        <w:spacing w:after="0"/>
        <w:jc w:val="both"/>
        <w:rPr>
          <w:rFonts w:cs="Times New Roman"/>
          <w:color w:val="000000"/>
          <w:szCs w:val="24"/>
        </w:rPr>
      </w:pPr>
    </w:p>
    <w:p w14:paraId="6F36B9EC" w14:textId="663BB945" w:rsidR="00E83460" w:rsidRPr="00DC5440" w:rsidRDefault="00DC5440" w:rsidP="006E71E9">
      <w:pPr>
        <w:autoSpaceDE w:val="0"/>
        <w:autoSpaceDN w:val="0"/>
        <w:adjustRightInd w:val="0"/>
        <w:spacing w:after="0"/>
        <w:jc w:val="both"/>
        <w:rPr>
          <w:rFonts w:cs="Times New Roman"/>
          <w:szCs w:val="24"/>
          <w:lang w:val="en-US"/>
        </w:rPr>
      </w:pPr>
      <w:r w:rsidRPr="00F57B7A">
        <w:rPr>
          <w:rFonts w:cs="Times New Roman"/>
          <w:szCs w:val="24"/>
        </w:rPr>
        <w:t>www.</w:t>
      </w:r>
      <w:r w:rsidRPr="00F57B7A">
        <w:rPr>
          <w:rFonts w:cs="Times New Roman"/>
          <w:szCs w:val="24"/>
          <w:lang w:val="en-US"/>
        </w:rPr>
        <w:t>lautorite.qc.ca</w:t>
      </w:r>
    </w:p>
    <w:p w14:paraId="6D2BD508" w14:textId="1908E623" w:rsidR="00CC6248" w:rsidRPr="00CC6248" w:rsidRDefault="00CC6248" w:rsidP="006E71E9">
      <w:pPr>
        <w:autoSpaceDE w:val="0"/>
        <w:autoSpaceDN w:val="0"/>
        <w:adjustRightInd w:val="0"/>
        <w:spacing w:after="0"/>
        <w:jc w:val="both"/>
        <w:rPr>
          <w:rFonts w:cs="Times New Roman"/>
          <w:szCs w:val="24"/>
          <w:lang w:val="en-US"/>
        </w:rPr>
      </w:pPr>
      <w:r w:rsidRPr="00CC6248">
        <w:rPr>
          <w:rFonts w:cs="Times New Roman"/>
          <w:szCs w:val="24"/>
          <w:lang w:val="en-US"/>
        </w:rPr>
        <w:t>www.bcsc.bc.ca</w:t>
      </w:r>
    </w:p>
    <w:p w14:paraId="21879843" w14:textId="4CEC6520" w:rsidR="00E83460" w:rsidRPr="00895B54" w:rsidRDefault="00895B54" w:rsidP="006E71E9">
      <w:pPr>
        <w:autoSpaceDE w:val="0"/>
        <w:autoSpaceDN w:val="0"/>
        <w:adjustRightInd w:val="0"/>
        <w:spacing w:after="0"/>
        <w:jc w:val="both"/>
        <w:rPr>
          <w:rFonts w:cs="Times New Roman"/>
          <w:szCs w:val="24"/>
          <w:lang w:val="en-US"/>
        </w:rPr>
      </w:pPr>
      <w:r w:rsidRPr="00F57B7A">
        <w:rPr>
          <w:rFonts w:cs="Times New Roman"/>
          <w:szCs w:val="24"/>
          <w:lang w:val="en-US"/>
        </w:rPr>
        <w:t>www.albertasecurities.com</w:t>
      </w:r>
    </w:p>
    <w:p w14:paraId="425B1FBD" w14:textId="4B5EAFD0" w:rsidR="00895B54" w:rsidRPr="00E83460" w:rsidRDefault="00895B54" w:rsidP="006E71E9">
      <w:pPr>
        <w:autoSpaceDE w:val="0"/>
        <w:autoSpaceDN w:val="0"/>
        <w:adjustRightInd w:val="0"/>
        <w:spacing w:after="0"/>
        <w:jc w:val="both"/>
        <w:rPr>
          <w:rFonts w:cs="Times New Roman"/>
          <w:szCs w:val="24"/>
          <w:lang w:val="en-US"/>
        </w:rPr>
      </w:pPr>
      <w:r w:rsidRPr="00E83460">
        <w:rPr>
          <w:rFonts w:cs="Times New Roman"/>
          <w:szCs w:val="24"/>
          <w:lang w:val="en-US"/>
        </w:rPr>
        <w:t>www.osc.gov.on.ca</w:t>
      </w:r>
    </w:p>
    <w:p w14:paraId="291425A2" w14:textId="21D2CD8B" w:rsidR="00E83460" w:rsidRPr="00E83460" w:rsidRDefault="00E83460" w:rsidP="006E71E9">
      <w:pPr>
        <w:autoSpaceDE w:val="0"/>
        <w:autoSpaceDN w:val="0"/>
        <w:adjustRightInd w:val="0"/>
        <w:spacing w:after="0"/>
        <w:jc w:val="both"/>
        <w:rPr>
          <w:rFonts w:cs="Times New Roman"/>
          <w:szCs w:val="24"/>
          <w:lang w:val="en-US"/>
        </w:rPr>
      </w:pPr>
      <w:r w:rsidRPr="00181FCE">
        <w:rPr>
          <w:rFonts w:cs="Times New Roman"/>
          <w:szCs w:val="24"/>
          <w:lang w:val="en-US"/>
        </w:rPr>
        <w:t>nssc.novascotia.ca</w:t>
      </w:r>
      <w:r w:rsidRPr="00E83460">
        <w:rPr>
          <w:rFonts w:cs="Times New Roman"/>
          <w:szCs w:val="24"/>
          <w:lang w:val="en-US"/>
        </w:rPr>
        <w:t xml:space="preserve"> </w:t>
      </w:r>
    </w:p>
    <w:p w14:paraId="58055A60" w14:textId="17E66CD9" w:rsidR="00E83460" w:rsidRPr="00E05DF2" w:rsidRDefault="000918E3" w:rsidP="006E71E9">
      <w:pPr>
        <w:autoSpaceDE w:val="0"/>
        <w:autoSpaceDN w:val="0"/>
        <w:adjustRightInd w:val="0"/>
        <w:spacing w:after="0"/>
        <w:jc w:val="both"/>
        <w:rPr>
          <w:rFonts w:cs="Times New Roman"/>
          <w:szCs w:val="24"/>
        </w:rPr>
      </w:pPr>
      <w:r>
        <w:rPr>
          <w:rStyle w:val="Hyperlink"/>
          <w:rFonts w:cs="Times New Roman"/>
          <w:color w:val="auto"/>
          <w:szCs w:val="24"/>
          <w:u w:val="none"/>
        </w:rPr>
        <w:lastRenderedPageBreak/>
        <w:t>www.fcaa.gov.sk.ca</w:t>
      </w:r>
    </w:p>
    <w:p w14:paraId="17FBE0E4" w14:textId="537BBE84" w:rsidR="00E05DF2" w:rsidRPr="00E83460" w:rsidRDefault="00E05DF2" w:rsidP="006E71E9">
      <w:pPr>
        <w:autoSpaceDE w:val="0"/>
        <w:autoSpaceDN w:val="0"/>
        <w:adjustRightInd w:val="0"/>
        <w:spacing w:after="0"/>
        <w:jc w:val="both"/>
        <w:rPr>
          <w:rFonts w:cs="Times New Roman"/>
          <w:szCs w:val="24"/>
          <w:lang w:val="en-US"/>
        </w:rPr>
      </w:pPr>
      <w:r>
        <w:rPr>
          <w:rFonts w:cs="Times New Roman"/>
          <w:szCs w:val="24"/>
          <w:lang w:val="en-US"/>
        </w:rPr>
        <w:t>www.</w:t>
      </w:r>
      <w:r w:rsidR="00181FCE">
        <w:rPr>
          <w:rFonts w:cs="Times New Roman"/>
          <w:szCs w:val="24"/>
          <w:lang w:val="en-US"/>
        </w:rPr>
        <w:t>fcnb.ca</w:t>
      </w:r>
    </w:p>
    <w:p w14:paraId="6A46D0A3" w14:textId="57FAF057" w:rsidR="00895B54" w:rsidRPr="006F40CE" w:rsidRDefault="00E83460" w:rsidP="006F40CE">
      <w:pPr>
        <w:spacing w:after="0"/>
        <w:jc w:val="both"/>
        <w:rPr>
          <w:rFonts w:cs="Times New Roman"/>
          <w:szCs w:val="24"/>
        </w:rPr>
      </w:pPr>
      <w:r w:rsidRPr="00F57B7A">
        <w:rPr>
          <w:rFonts w:cs="Times New Roman"/>
          <w:szCs w:val="24"/>
        </w:rPr>
        <w:t>www.mbsecurities.ca</w:t>
      </w:r>
    </w:p>
    <w:p w14:paraId="76EA6F2A" w14:textId="77777777" w:rsidR="00E83460" w:rsidRPr="00E83460" w:rsidRDefault="00E83460" w:rsidP="006E71E9">
      <w:pPr>
        <w:spacing w:after="0"/>
        <w:jc w:val="both"/>
        <w:rPr>
          <w:rFonts w:cs="Times New Roman"/>
          <w:szCs w:val="24"/>
          <w:lang w:val="en-US"/>
        </w:rPr>
      </w:pPr>
    </w:p>
    <w:tbl>
      <w:tblPr>
        <w:tblStyle w:val="TableGrid"/>
        <w:tblW w:w="9563" w:type="dxa"/>
        <w:tblInd w:w="-5" w:type="dxa"/>
        <w:shd w:val="clear" w:color="auto" w:fill="D4D8C2"/>
        <w:tblLook w:val="04A0" w:firstRow="1" w:lastRow="0" w:firstColumn="1" w:lastColumn="0" w:noHBand="0" w:noVBand="1"/>
      </w:tblPr>
      <w:tblGrid>
        <w:gridCol w:w="9563"/>
      </w:tblGrid>
      <w:tr w:rsidR="00CC3BB7" w:rsidRPr="000E6624" w14:paraId="0DAF1000" w14:textId="77777777" w:rsidTr="00CE343A">
        <w:trPr>
          <w:trHeight w:val="431"/>
        </w:trPr>
        <w:tc>
          <w:tcPr>
            <w:tcW w:w="9563" w:type="dxa"/>
            <w:tcBorders>
              <w:top w:val="single" w:sz="4" w:space="0" w:color="auto"/>
              <w:left w:val="single" w:sz="4" w:space="0" w:color="auto"/>
              <w:bottom w:val="single" w:sz="4" w:space="0" w:color="auto"/>
              <w:right w:val="single" w:sz="4" w:space="0" w:color="auto"/>
            </w:tcBorders>
            <w:shd w:val="clear" w:color="auto" w:fill="D4D8C2"/>
            <w:hideMark/>
          </w:tcPr>
          <w:p w14:paraId="1AB7867C" w14:textId="77777777" w:rsidR="00CC3BB7" w:rsidRPr="000E6624" w:rsidRDefault="00CC3BB7" w:rsidP="006E71E9">
            <w:pPr>
              <w:keepNext/>
              <w:spacing w:before="120"/>
              <w:ind w:right="-86"/>
              <w:jc w:val="both"/>
              <w:rPr>
                <w:rFonts w:cs="Times New Roman"/>
                <w:b/>
                <w:szCs w:val="24"/>
                <w:lang w:val="en-US"/>
              </w:rPr>
            </w:pPr>
            <w:r>
              <w:rPr>
                <w:rFonts w:cs="Times New Roman"/>
                <w:b/>
                <w:szCs w:val="24"/>
                <w:lang w:val="en-US"/>
              </w:rPr>
              <w:t>PART 2 – S</w:t>
            </w:r>
            <w:r w:rsidR="00DB3E63">
              <w:rPr>
                <w:rFonts w:cs="Times New Roman"/>
                <w:b/>
                <w:szCs w:val="24"/>
                <w:lang w:val="en-US"/>
              </w:rPr>
              <w:t>ubstance and Purpose</w:t>
            </w:r>
            <w:r w:rsidRPr="000E6624">
              <w:rPr>
                <w:rFonts w:cs="Times New Roman"/>
                <w:b/>
                <w:szCs w:val="24"/>
                <w:lang w:val="en-US"/>
              </w:rPr>
              <w:t xml:space="preserve"> </w:t>
            </w:r>
          </w:p>
        </w:tc>
      </w:tr>
    </w:tbl>
    <w:p w14:paraId="0372F1B3" w14:textId="77777777" w:rsidR="00DF7AB6" w:rsidRDefault="00DF7AB6" w:rsidP="006E71E9">
      <w:pPr>
        <w:spacing w:after="0"/>
        <w:ind w:right="-86"/>
        <w:jc w:val="both"/>
        <w:rPr>
          <w:rFonts w:cs="Times New Roman"/>
          <w:szCs w:val="24"/>
        </w:rPr>
      </w:pPr>
    </w:p>
    <w:p w14:paraId="509AEDA7" w14:textId="72DE70F7" w:rsidR="003F413D" w:rsidRDefault="00A335D2" w:rsidP="00793BFE">
      <w:pPr>
        <w:spacing w:after="0"/>
        <w:ind w:right="-86"/>
        <w:jc w:val="both"/>
        <w:rPr>
          <w:rFonts w:cs="Times New Roman"/>
          <w:szCs w:val="24"/>
          <w:lang w:val="en-US"/>
        </w:rPr>
      </w:pPr>
      <w:r>
        <w:rPr>
          <w:rFonts w:cs="Times New Roman"/>
          <w:szCs w:val="24"/>
          <w:lang w:val="en-US"/>
        </w:rPr>
        <w:t>We are proposing to make t</w:t>
      </w:r>
      <w:r w:rsidR="0080096D">
        <w:rPr>
          <w:rFonts w:cs="Times New Roman"/>
          <w:szCs w:val="24"/>
          <w:lang w:val="en-US"/>
        </w:rPr>
        <w:t>wo central</w:t>
      </w:r>
      <w:r w:rsidR="003F413D">
        <w:rPr>
          <w:rFonts w:cs="Times New Roman"/>
          <w:szCs w:val="24"/>
          <w:lang w:val="en-US"/>
        </w:rPr>
        <w:t xml:space="preserve"> </w:t>
      </w:r>
      <w:r w:rsidR="00324949">
        <w:rPr>
          <w:rFonts w:cs="Times New Roman"/>
          <w:szCs w:val="24"/>
          <w:lang w:val="en-US"/>
        </w:rPr>
        <w:t>P</w:t>
      </w:r>
      <w:r w:rsidR="003F413D">
        <w:rPr>
          <w:rFonts w:cs="Times New Roman"/>
          <w:szCs w:val="24"/>
          <w:lang w:val="en-US"/>
        </w:rPr>
        <w:t>roposed</w:t>
      </w:r>
      <w:r w:rsidR="0080096D">
        <w:rPr>
          <w:rFonts w:cs="Times New Roman"/>
          <w:szCs w:val="24"/>
          <w:lang w:val="en-US"/>
        </w:rPr>
        <w:t xml:space="preserve"> </w:t>
      </w:r>
      <w:r w:rsidR="00324949">
        <w:rPr>
          <w:rFonts w:cs="Times New Roman"/>
          <w:szCs w:val="24"/>
          <w:lang w:val="en-US"/>
        </w:rPr>
        <w:t>A</w:t>
      </w:r>
      <w:r w:rsidR="0080096D">
        <w:rPr>
          <w:rFonts w:cs="Times New Roman"/>
          <w:szCs w:val="24"/>
          <w:lang w:val="en-US"/>
        </w:rPr>
        <w:t xml:space="preserve">mendments </w:t>
      </w:r>
      <w:r w:rsidR="00743211">
        <w:rPr>
          <w:rFonts w:cs="Times New Roman"/>
          <w:szCs w:val="24"/>
          <w:lang w:val="en-US"/>
        </w:rPr>
        <w:t>to</w:t>
      </w:r>
      <w:r w:rsidR="00324949">
        <w:rPr>
          <w:rFonts w:cs="Times New Roman"/>
          <w:szCs w:val="24"/>
          <w:lang w:val="en-US"/>
        </w:rPr>
        <w:t xml:space="preserve"> </w:t>
      </w:r>
      <w:r w:rsidR="0080096D">
        <w:rPr>
          <w:rFonts w:cs="Times New Roman"/>
          <w:szCs w:val="24"/>
          <w:lang w:val="en-US"/>
        </w:rPr>
        <w:t>NI 14-101</w:t>
      </w:r>
      <w:r w:rsidR="00324949">
        <w:rPr>
          <w:rFonts w:cs="Times New Roman"/>
          <w:szCs w:val="24"/>
          <w:lang w:val="en-US"/>
        </w:rPr>
        <w:t>:</w:t>
      </w:r>
      <w:r w:rsidR="0080096D">
        <w:rPr>
          <w:rFonts w:cs="Times New Roman"/>
          <w:szCs w:val="24"/>
          <w:lang w:val="en-US"/>
        </w:rPr>
        <w:t xml:space="preserve"> </w:t>
      </w:r>
    </w:p>
    <w:p w14:paraId="1868EEBE" w14:textId="77777777" w:rsidR="003F413D" w:rsidRDefault="003F413D" w:rsidP="00793BFE">
      <w:pPr>
        <w:spacing w:after="0"/>
        <w:ind w:right="-86"/>
        <w:jc w:val="both"/>
        <w:rPr>
          <w:rFonts w:cs="Times New Roman"/>
          <w:szCs w:val="24"/>
          <w:lang w:val="en-US"/>
        </w:rPr>
      </w:pPr>
    </w:p>
    <w:p w14:paraId="740B797F" w14:textId="444C29C0" w:rsidR="003F413D" w:rsidRDefault="007B0CDF" w:rsidP="00893C11">
      <w:pPr>
        <w:pStyle w:val="ListParagraph"/>
        <w:numPr>
          <w:ilvl w:val="0"/>
          <w:numId w:val="12"/>
        </w:numPr>
        <w:spacing w:after="0"/>
        <w:ind w:right="-86"/>
        <w:rPr>
          <w:rFonts w:cs="Times New Roman"/>
          <w:szCs w:val="24"/>
          <w:lang w:val="en-US"/>
        </w:rPr>
      </w:pPr>
      <w:r>
        <w:rPr>
          <w:rFonts w:cs="Times New Roman"/>
          <w:szCs w:val="24"/>
          <w:lang w:val="en-US"/>
        </w:rPr>
        <w:t>Canadian financial institution: We are proposing an amendment to NI 14-101, and consequential amendments to other instruments, so that t</w:t>
      </w:r>
      <w:r w:rsidR="0080096D" w:rsidRPr="003F413D">
        <w:rPr>
          <w:rFonts w:cs="Times New Roman"/>
          <w:szCs w:val="24"/>
          <w:lang w:val="en-US"/>
        </w:rPr>
        <w:t xml:space="preserve">here is a </w:t>
      </w:r>
      <w:r w:rsidR="00083A95">
        <w:rPr>
          <w:rFonts w:cs="Times New Roman"/>
          <w:szCs w:val="24"/>
          <w:lang w:val="en-US"/>
        </w:rPr>
        <w:t xml:space="preserve">uniform </w:t>
      </w:r>
      <w:r w:rsidR="0080096D" w:rsidRPr="003F413D">
        <w:rPr>
          <w:rFonts w:cs="Times New Roman"/>
          <w:szCs w:val="24"/>
          <w:lang w:val="en-US"/>
        </w:rPr>
        <w:t xml:space="preserve">definition of “Canadian financial institution” </w:t>
      </w:r>
      <w:r w:rsidR="0061039B">
        <w:rPr>
          <w:rFonts w:cs="Times New Roman"/>
          <w:szCs w:val="24"/>
          <w:lang w:val="en-US"/>
        </w:rPr>
        <w:t xml:space="preserve">that </w:t>
      </w:r>
      <w:r>
        <w:rPr>
          <w:rFonts w:cs="Times New Roman"/>
          <w:szCs w:val="24"/>
          <w:lang w:val="en-US"/>
        </w:rPr>
        <w:t xml:space="preserve">applies </w:t>
      </w:r>
      <w:r w:rsidR="00083A95">
        <w:rPr>
          <w:rFonts w:cs="Times New Roman"/>
          <w:szCs w:val="24"/>
          <w:lang w:val="en-US"/>
        </w:rPr>
        <w:t xml:space="preserve">to </w:t>
      </w:r>
      <w:r w:rsidR="003D6BCF">
        <w:rPr>
          <w:rFonts w:cs="Times New Roman"/>
          <w:szCs w:val="24"/>
          <w:lang w:val="en-US"/>
        </w:rPr>
        <w:t>all</w:t>
      </w:r>
      <w:r w:rsidR="003F413D" w:rsidRPr="003F413D">
        <w:rPr>
          <w:rFonts w:cs="Times New Roman"/>
          <w:szCs w:val="24"/>
          <w:lang w:val="en-US"/>
        </w:rPr>
        <w:t xml:space="preserve"> </w:t>
      </w:r>
      <w:r w:rsidR="00225652">
        <w:rPr>
          <w:rFonts w:cs="Times New Roman"/>
          <w:szCs w:val="24"/>
          <w:lang w:val="en-US"/>
        </w:rPr>
        <w:t>national and multilateral instruments</w:t>
      </w:r>
      <w:r w:rsidR="003F413D" w:rsidRPr="003F413D">
        <w:rPr>
          <w:rFonts w:cs="Times New Roman"/>
          <w:szCs w:val="24"/>
          <w:lang w:val="en-US"/>
        </w:rPr>
        <w:t xml:space="preserve">. </w:t>
      </w:r>
      <w:r w:rsidR="00477103">
        <w:rPr>
          <w:rFonts w:cs="Times New Roman"/>
          <w:szCs w:val="24"/>
          <w:lang w:val="en-US"/>
        </w:rPr>
        <w:t>The proposed c</w:t>
      </w:r>
      <w:r w:rsidR="003F413D" w:rsidRPr="003F413D">
        <w:rPr>
          <w:rFonts w:cs="Times New Roman"/>
          <w:szCs w:val="24"/>
          <w:lang w:val="en-US"/>
        </w:rPr>
        <w:t xml:space="preserve">onsequential amendments </w:t>
      </w:r>
      <w:r w:rsidR="00477103">
        <w:rPr>
          <w:rFonts w:cs="Times New Roman"/>
          <w:szCs w:val="24"/>
          <w:lang w:val="en-US"/>
        </w:rPr>
        <w:t xml:space="preserve">repeal </w:t>
      </w:r>
      <w:r w:rsidR="003F413D" w:rsidRPr="003F413D">
        <w:rPr>
          <w:rFonts w:cs="Times New Roman"/>
          <w:szCs w:val="24"/>
          <w:lang w:val="en-US"/>
        </w:rPr>
        <w:t>existing definitions of the same expression</w:t>
      </w:r>
      <w:r w:rsidR="00367599">
        <w:rPr>
          <w:rFonts w:cs="Times New Roman"/>
          <w:szCs w:val="24"/>
          <w:lang w:val="en-US"/>
        </w:rPr>
        <w:t xml:space="preserve"> contained in </w:t>
      </w:r>
      <w:r w:rsidR="0013443D">
        <w:rPr>
          <w:rFonts w:cs="Times New Roman"/>
          <w:szCs w:val="24"/>
          <w:lang w:val="en-US"/>
        </w:rPr>
        <w:t>certain</w:t>
      </w:r>
      <w:r w:rsidR="00D03561">
        <w:rPr>
          <w:rFonts w:cs="Times New Roman"/>
          <w:szCs w:val="24"/>
          <w:lang w:val="en-US"/>
        </w:rPr>
        <w:t xml:space="preserve"> national </w:t>
      </w:r>
      <w:r w:rsidR="00367599">
        <w:rPr>
          <w:rFonts w:cs="Times New Roman"/>
          <w:szCs w:val="24"/>
          <w:lang w:val="en-US"/>
        </w:rPr>
        <w:t>instruments</w:t>
      </w:r>
      <w:r w:rsidR="003F413D" w:rsidRPr="003F413D">
        <w:rPr>
          <w:rFonts w:cs="Times New Roman"/>
          <w:szCs w:val="24"/>
          <w:lang w:val="en-US"/>
        </w:rPr>
        <w:t>.</w:t>
      </w:r>
    </w:p>
    <w:p w14:paraId="135223A2" w14:textId="77777777" w:rsidR="003F413D" w:rsidRDefault="003F413D" w:rsidP="00893C11">
      <w:pPr>
        <w:pStyle w:val="ListParagraph"/>
        <w:spacing w:after="0"/>
        <w:ind w:right="-86"/>
        <w:rPr>
          <w:rFonts w:cs="Times New Roman"/>
          <w:szCs w:val="24"/>
          <w:lang w:val="en-US"/>
        </w:rPr>
      </w:pPr>
    </w:p>
    <w:p w14:paraId="17D6DBA5" w14:textId="36E6F6C3" w:rsidR="0080096D" w:rsidRPr="003F413D" w:rsidRDefault="00477103" w:rsidP="00893C11">
      <w:pPr>
        <w:pStyle w:val="ListParagraph"/>
        <w:numPr>
          <w:ilvl w:val="0"/>
          <w:numId w:val="12"/>
        </w:numPr>
        <w:spacing w:after="0"/>
        <w:ind w:right="-86"/>
        <w:rPr>
          <w:rFonts w:cs="Times New Roman"/>
          <w:szCs w:val="24"/>
          <w:lang w:val="en-US"/>
        </w:rPr>
      </w:pPr>
      <w:r>
        <w:rPr>
          <w:rFonts w:cs="Times New Roman"/>
          <w:szCs w:val="24"/>
          <w:lang w:val="en-US"/>
        </w:rPr>
        <w:t xml:space="preserve">Handbook: We are proposing an amendment to NI 14-101 to </w:t>
      </w:r>
      <w:r w:rsidR="0094157E">
        <w:rPr>
          <w:rFonts w:cs="Times New Roman"/>
          <w:szCs w:val="24"/>
          <w:lang w:val="en-US"/>
        </w:rPr>
        <w:t xml:space="preserve">introduce </w:t>
      </w:r>
      <w:r w:rsidR="0094157E" w:rsidRPr="003F413D">
        <w:rPr>
          <w:rFonts w:cs="Times New Roman"/>
          <w:szCs w:val="24"/>
          <w:lang w:val="en-US"/>
        </w:rPr>
        <w:t>a</w:t>
      </w:r>
      <w:r w:rsidR="003F413D" w:rsidRPr="003F413D">
        <w:rPr>
          <w:rFonts w:cs="Times New Roman"/>
          <w:szCs w:val="24"/>
          <w:lang w:val="en-US"/>
        </w:rPr>
        <w:t xml:space="preserve"> revised definition of “Handbook” to reflect </w:t>
      </w:r>
      <w:r w:rsidR="00225652">
        <w:rPr>
          <w:rFonts w:cs="Times New Roman"/>
          <w:szCs w:val="24"/>
          <w:lang w:val="en-US"/>
        </w:rPr>
        <w:t>the</w:t>
      </w:r>
      <w:r>
        <w:rPr>
          <w:rFonts w:cs="Times New Roman"/>
          <w:szCs w:val="24"/>
          <w:lang w:val="en-US"/>
        </w:rPr>
        <w:t xml:space="preserve"> </w:t>
      </w:r>
      <w:r w:rsidR="003F413D" w:rsidRPr="003F413D">
        <w:rPr>
          <w:rFonts w:cs="Times New Roman"/>
          <w:szCs w:val="24"/>
          <w:lang w:val="en-US"/>
        </w:rPr>
        <w:t xml:space="preserve">separate publications of the </w:t>
      </w:r>
      <w:r w:rsidR="00CD60FF">
        <w:rPr>
          <w:rFonts w:cs="Times New Roman"/>
          <w:szCs w:val="24"/>
          <w:lang w:val="en-US"/>
        </w:rPr>
        <w:t xml:space="preserve">Chartered Professional Accountants of Canada </w:t>
      </w:r>
      <w:r w:rsidR="00EA45B8">
        <w:rPr>
          <w:rFonts w:cs="Times New Roman"/>
          <w:szCs w:val="24"/>
          <w:lang w:val="en-US"/>
        </w:rPr>
        <w:t>(</w:t>
      </w:r>
      <w:r w:rsidR="00EA45B8" w:rsidRPr="00EA45B8">
        <w:rPr>
          <w:rFonts w:cs="Times New Roman"/>
          <w:b/>
          <w:szCs w:val="24"/>
          <w:lang w:val="en-US"/>
        </w:rPr>
        <w:t>CPA</w:t>
      </w:r>
      <w:r w:rsidR="003A5687" w:rsidRPr="005D48E6">
        <w:rPr>
          <w:rFonts w:cs="Times New Roman"/>
          <w:b/>
          <w:szCs w:val="24"/>
          <w:lang w:val="en-US"/>
        </w:rPr>
        <w:t>C</w:t>
      </w:r>
      <w:r w:rsidR="003A5687">
        <w:rPr>
          <w:rFonts w:cs="Times New Roman"/>
          <w:szCs w:val="24"/>
          <w:lang w:val="en-US"/>
        </w:rPr>
        <w:t>)</w:t>
      </w:r>
      <w:r w:rsidR="00EA45B8">
        <w:rPr>
          <w:rFonts w:cs="Times New Roman"/>
          <w:szCs w:val="24"/>
          <w:lang w:val="en-US"/>
        </w:rPr>
        <w:t xml:space="preserve"> </w:t>
      </w:r>
      <w:r w:rsidR="003F413D" w:rsidRPr="003F413D">
        <w:rPr>
          <w:rFonts w:cs="Times New Roman"/>
          <w:szCs w:val="24"/>
          <w:lang w:val="en-US"/>
        </w:rPr>
        <w:t>that relate to accounting and assurance.</w:t>
      </w:r>
      <w:r w:rsidR="00367599">
        <w:rPr>
          <w:rFonts w:cs="Times New Roman"/>
          <w:szCs w:val="24"/>
          <w:lang w:val="en-US"/>
        </w:rPr>
        <w:t xml:space="preserve"> These publications se</w:t>
      </w:r>
      <w:r w:rsidR="00761476">
        <w:rPr>
          <w:rFonts w:cs="Times New Roman"/>
          <w:szCs w:val="24"/>
          <w:lang w:val="en-US"/>
        </w:rPr>
        <w:t>t</w:t>
      </w:r>
      <w:r w:rsidR="00367599">
        <w:rPr>
          <w:rFonts w:cs="Times New Roman"/>
          <w:szCs w:val="24"/>
          <w:lang w:val="en-US"/>
        </w:rPr>
        <w:t xml:space="preserve"> out the Canadian </w:t>
      </w:r>
      <w:r w:rsidR="00A911D2">
        <w:rPr>
          <w:rFonts w:cs="Times New Roman"/>
          <w:szCs w:val="24"/>
          <w:lang w:val="en-US"/>
        </w:rPr>
        <w:t xml:space="preserve">accounting and </w:t>
      </w:r>
      <w:r w:rsidR="00B112CA">
        <w:rPr>
          <w:rFonts w:cs="Times New Roman"/>
          <w:szCs w:val="24"/>
          <w:lang w:val="en-US"/>
        </w:rPr>
        <w:t>assurance frameworks</w:t>
      </w:r>
      <w:r w:rsidR="00477E57">
        <w:rPr>
          <w:rFonts w:cs="Times New Roman"/>
          <w:szCs w:val="24"/>
          <w:lang w:val="en-US"/>
        </w:rPr>
        <w:t xml:space="preserve">. </w:t>
      </w:r>
      <w:r w:rsidR="00477E57" w:rsidRPr="00761476">
        <w:rPr>
          <w:rFonts w:cs="Times New Roman"/>
          <w:b/>
          <w:szCs w:val="24"/>
          <w:lang w:val="en-US"/>
        </w:rPr>
        <w:t xml:space="preserve"> </w:t>
      </w:r>
    </w:p>
    <w:p w14:paraId="5FE75791" w14:textId="07417B0E" w:rsidR="00DC5440" w:rsidRDefault="00DC5440" w:rsidP="00871D10">
      <w:pPr>
        <w:spacing w:after="0"/>
        <w:ind w:right="-86"/>
        <w:rPr>
          <w:rFonts w:cs="Times New Roman"/>
          <w:szCs w:val="24"/>
          <w:lang w:val="en-US"/>
        </w:rPr>
      </w:pPr>
    </w:p>
    <w:p w14:paraId="761A6CF3" w14:textId="77777777" w:rsidR="00893C11" w:rsidRDefault="00893C11" w:rsidP="00871D10">
      <w:pPr>
        <w:spacing w:after="0"/>
        <w:ind w:right="-86"/>
        <w:rPr>
          <w:rFonts w:cs="Times New Roman"/>
          <w:szCs w:val="24"/>
          <w:lang w:val="en-US"/>
        </w:rPr>
      </w:pPr>
    </w:p>
    <w:tbl>
      <w:tblPr>
        <w:tblStyle w:val="TableGrid"/>
        <w:tblW w:w="9563" w:type="dxa"/>
        <w:tblInd w:w="-5" w:type="dxa"/>
        <w:shd w:val="clear" w:color="auto" w:fill="D4D8C2"/>
        <w:tblLook w:val="04A0" w:firstRow="1" w:lastRow="0" w:firstColumn="1" w:lastColumn="0" w:noHBand="0" w:noVBand="1"/>
      </w:tblPr>
      <w:tblGrid>
        <w:gridCol w:w="9563"/>
      </w:tblGrid>
      <w:tr w:rsidR="00871D10" w:rsidRPr="000E6624" w14:paraId="21631CA0" w14:textId="77777777" w:rsidTr="00CE343A">
        <w:trPr>
          <w:trHeight w:val="431"/>
        </w:trPr>
        <w:tc>
          <w:tcPr>
            <w:tcW w:w="9563" w:type="dxa"/>
            <w:tcBorders>
              <w:top w:val="single" w:sz="4" w:space="0" w:color="auto"/>
              <w:left w:val="single" w:sz="4" w:space="0" w:color="auto"/>
              <w:bottom w:val="single" w:sz="4" w:space="0" w:color="auto"/>
              <w:right w:val="single" w:sz="4" w:space="0" w:color="auto"/>
            </w:tcBorders>
            <w:shd w:val="clear" w:color="auto" w:fill="D4D8C2"/>
            <w:hideMark/>
          </w:tcPr>
          <w:p w14:paraId="555462E7" w14:textId="3765C871" w:rsidR="00871D10" w:rsidRPr="000E6624" w:rsidRDefault="00CC3BB7" w:rsidP="00B06F0C">
            <w:pPr>
              <w:keepNext/>
              <w:spacing w:before="120"/>
              <w:ind w:right="-86"/>
              <w:rPr>
                <w:rFonts w:cs="Times New Roman"/>
                <w:b/>
                <w:szCs w:val="24"/>
                <w:lang w:val="en-US"/>
              </w:rPr>
            </w:pPr>
            <w:r>
              <w:rPr>
                <w:rFonts w:cs="Times New Roman"/>
                <w:b/>
                <w:szCs w:val="24"/>
                <w:lang w:val="en-US"/>
              </w:rPr>
              <w:t>PART 3</w:t>
            </w:r>
            <w:r w:rsidR="00177645">
              <w:rPr>
                <w:rFonts w:cs="Times New Roman"/>
                <w:b/>
                <w:szCs w:val="24"/>
                <w:lang w:val="en-US"/>
              </w:rPr>
              <w:t xml:space="preserve"> – </w:t>
            </w:r>
            <w:r w:rsidR="00793BFE">
              <w:rPr>
                <w:rFonts w:cs="Times New Roman"/>
                <w:b/>
                <w:szCs w:val="24"/>
                <w:lang w:val="en-US"/>
              </w:rPr>
              <w:t>Background</w:t>
            </w:r>
          </w:p>
        </w:tc>
      </w:tr>
    </w:tbl>
    <w:p w14:paraId="724DDE65" w14:textId="77777777" w:rsidR="00871D10" w:rsidRPr="000E6624" w:rsidRDefault="00871D10" w:rsidP="00871D10">
      <w:pPr>
        <w:keepNext/>
        <w:spacing w:after="0"/>
        <w:ind w:right="-90"/>
        <w:rPr>
          <w:rFonts w:cs="Times New Roman"/>
          <w:szCs w:val="24"/>
          <w:lang w:val="en-US"/>
        </w:rPr>
      </w:pPr>
    </w:p>
    <w:p w14:paraId="6398723B" w14:textId="1F048BF2" w:rsidR="00B477CD" w:rsidRDefault="009319F7" w:rsidP="00893C11">
      <w:pPr>
        <w:pStyle w:val="Default"/>
      </w:pPr>
      <w:r>
        <w:t xml:space="preserve">The Proposed Amendments </w:t>
      </w:r>
      <w:r w:rsidR="00457C06">
        <w:t xml:space="preserve">to the definition of Canadian financial institution </w:t>
      </w:r>
      <w:r>
        <w:t xml:space="preserve">were </w:t>
      </w:r>
      <w:r w:rsidR="00324949">
        <w:t xml:space="preserve">initiated </w:t>
      </w:r>
      <w:r w:rsidR="003D6BCF">
        <w:t>as a result of comment</w:t>
      </w:r>
      <w:r w:rsidR="00083A95">
        <w:t>s</w:t>
      </w:r>
      <w:r w:rsidR="003D6BCF">
        <w:t xml:space="preserve"> we received</w:t>
      </w:r>
      <w:r w:rsidR="00324949">
        <w:t xml:space="preserve"> for the CSA project</w:t>
      </w:r>
      <w:r w:rsidR="00E73C4E">
        <w:t xml:space="preserve"> on </w:t>
      </w:r>
      <w:r w:rsidR="004B17E6">
        <w:t>p</w:t>
      </w:r>
      <w:r w:rsidR="00E73C4E">
        <w:t xml:space="preserve">roposed National Instrument 93-101 </w:t>
      </w:r>
      <w:r w:rsidR="00E73C4E" w:rsidRPr="00E73C4E">
        <w:rPr>
          <w:i/>
        </w:rPr>
        <w:t>Derivatives: Business Conduct</w:t>
      </w:r>
      <w:r w:rsidR="00E73C4E">
        <w:t xml:space="preserve"> </w:t>
      </w:r>
      <w:r w:rsidR="004A444E">
        <w:t>(</w:t>
      </w:r>
      <w:r w:rsidR="004A444E" w:rsidRPr="004A444E">
        <w:rPr>
          <w:b/>
        </w:rPr>
        <w:t>NI 93-101</w:t>
      </w:r>
      <w:r w:rsidR="004A444E">
        <w:t>)</w:t>
      </w:r>
      <w:r w:rsidR="00DE5D7A">
        <w:t>,</w:t>
      </w:r>
      <w:r w:rsidR="004A444E">
        <w:t xml:space="preserve"> </w:t>
      </w:r>
      <w:r w:rsidR="0013443D">
        <w:t xml:space="preserve">which suggested </w:t>
      </w:r>
      <w:r w:rsidR="003D6BCF">
        <w:t xml:space="preserve">that an update </w:t>
      </w:r>
      <w:r w:rsidR="0013443D">
        <w:t>be made to</w:t>
      </w:r>
      <w:r w:rsidR="00E73C4E">
        <w:t xml:space="preserve"> the definition of “Canadian financial institution” used in</w:t>
      </w:r>
      <w:r w:rsidR="004A444E">
        <w:t xml:space="preserve"> proposed NI 93-101</w:t>
      </w:r>
      <w:r w:rsidR="00563634">
        <w:t xml:space="preserve">.  </w:t>
      </w:r>
    </w:p>
    <w:p w14:paraId="4F027859" w14:textId="77777777" w:rsidR="003D6BCF" w:rsidRDefault="003D6BCF" w:rsidP="00893C11">
      <w:pPr>
        <w:pStyle w:val="Default"/>
      </w:pPr>
    </w:p>
    <w:p w14:paraId="2C5801A1" w14:textId="62BD5666" w:rsidR="0089482F" w:rsidRDefault="0089482F" w:rsidP="00893C11">
      <w:pPr>
        <w:pStyle w:val="Default"/>
      </w:pPr>
      <w:r>
        <w:t xml:space="preserve">CSA staff studied this matter and concluded that the preferred approach would be to have a common definition </w:t>
      </w:r>
      <w:r w:rsidR="002D5A3E">
        <w:t xml:space="preserve">in NI 14-101 </w:t>
      </w:r>
      <w:r>
        <w:t>of “Canadian financial institution” for all</w:t>
      </w:r>
      <w:r w:rsidR="003D6BCF">
        <w:t xml:space="preserve"> CSA</w:t>
      </w:r>
      <w:r w:rsidR="0094157E">
        <w:t xml:space="preserve"> instruments</w:t>
      </w:r>
      <w:r>
        <w:t xml:space="preserve"> </w:t>
      </w:r>
      <w:r w:rsidR="004E391C">
        <w:t>and to repeal definitions of that expression elsewhere in the</w:t>
      </w:r>
      <w:r w:rsidR="001D7FA1">
        <w:t xml:space="preserve"> national </w:t>
      </w:r>
      <w:r w:rsidR="00225652">
        <w:t>instruments</w:t>
      </w:r>
      <w:r w:rsidR="004B17E6">
        <w:t>.</w:t>
      </w:r>
    </w:p>
    <w:p w14:paraId="2B3D38DD" w14:textId="6F0CE28F" w:rsidR="00457C06" w:rsidRDefault="00457C06" w:rsidP="00893C11">
      <w:pPr>
        <w:pStyle w:val="Default"/>
      </w:pPr>
    </w:p>
    <w:p w14:paraId="5C5C7797" w14:textId="50E281EA" w:rsidR="00457C06" w:rsidRDefault="00457C06" w:rsidP="00893C11">
      <w:pPr>
        <w:pStyle w:val="Default"/>
      </w:pPr>
      <w:r>
        <w:t>The Proposed Amendments to the definition of “Handbook”</w:t>
      </w:r>
      <w:r w:rsidR="00D74B79">
        <w:t xml:space="preserve"> were identified by CSA staff when the </w:t>
      </w:r>
      <w:r w:rsidR="00EA45B8">
        <w:t>CPA</w:t>
      </w:r>
      <w:r w:rsidR="003A5687">
        <w:t>C</w:t>
      </w:r>
      <w:r w:rsidR="007011B8">
        <w:t>, formerly, the Canadian Institute of Chartered Accountants (</w:t>
      </w:r>
      <w:r w:rsidR="007011B8" w:rsidRPr="0059323A">
        <w:rPr>
          <w:b/>
        </w:rPr>
        <w:t>CICA</w:t>
      </w:r>
      <w:r w:rsidR="007011B8">
        <w:t xml:space="preserve">), </w:t>
      </w:r>
      <w:r w:rsidR="00D74B79">
        <w:t>separated the Handbook into two publications</w:t>
      </w:r>
      <w:r w:rsidR="007011B8">
        <w:t xml:space="preserve"> in 1999.  However, the driving force for the change to the definition of “Handbook” occurred when the CICA became the CPA</w:t>
      </w:r>
      <w:r w:rsidR="003A5687">
        <w:t>C</w:t>
      </w:r>
      <w:r w:rsidR="007011B8">
        <w:t xml:space="preserve"> in 2013</w:t>
      </w:r>
      <w:r w:rsidR="00DB4F21">
        <w:t xml:space="preserve">, at which time it was determined that these proposed amendments </w:t>
      </w:r>
      <w:r w:rsidR="00803A81">
        <w:t>would be published</w:t>
      </w:r>
      <w:r w:rsidR="00D74B79">
        <w:t xml:space="preserve"> for comment</w:t>
      </w:r>
      <w:r w:rsidR="00803A81">
        <w:t xml:space="preserve"> when other amendments to </w:t>
      </w:r>
      <w:r w:rsidR="00A335D2">
        <w:t xml:space="preserve">NI </w:t>
      </w:r>
      <w:r w:rsidR="00803A81">
        <w:t>14-101 were published.</w:t>
      </w:r>
      <w:r w:rsidR="00A335D2">
        <w:t xml:space="preserve"> </w:t>
      </w:r>
      <w:r w:rsidR="00D74B79">
        <w:t>CSA staff</w:t>
      </w:r>
      <w:r w:rsidR="00DB4F21">
        <w:t xml:space="preserve"> determined </w:t>
      </w:r>
      <w:r w:rsidR="00C319EF">
        <w:t xml:space="preserve">that </w:t>
      </w:r>
      <w:r w:rsidR="00DB4F21">
        <w:t>it is appropriate to publish the proposed amendments to the definition of “Handbook”</w:t>
      </w:r>
      <w:r w:rsidR="00D74B79">
        <w:t xml:space="preserve"> </w:t>
      </w:r>
      <w:r w:rsidR="00DB4F21">
        <w:t>concurrently with the proposed amendments to the definition of “Canadian financial institution.”</w:t>
      </w:r>
    </w:p>
    <w:p w14:paraId="51434801" w14:textId="1A0C5F14" w:rsidR="00D84B35" w:rsidRDefault="00D84B35" w:rsidP="00793BFE">
      <w:pPr>
        <w:pStyle w:val="Default"/>
        <w:jc w:val="both"/>
      </w:pPr>
    </w:p>
    <w:p w14:paraId="67A84BD8" w14:textId="0C4E3913" w:rsidR="00D84B35" w:rsidRDefault="00D84B35" w:rsidP="00793BFE">
      <w:pPr>
        <w:pStyle w:val="Default"/>
        <w:jc w:val="both"/>
      </w:pPr>
    </w:p>
    <w:p w14:paraId="2FF048CC" w14:textId="77777777" w:rsidR="00E41FF3" w:rsidRDefault="00E41FF3" w:rsidP="00793BFE">
      <w:pPr>
        <w:pStyle w:val="Default"/>
        <w:jc w:val="both"/>
      </w:pPr>
    </w:p>
    <w:p w14:paraId="7B1B7E79" w14:textId="77777777" w:rsidR="0089482F" w:rsidRDefault="0089482F" w:rsidP="005C3B14">
      <w:pPr>
        <w:pStyle w:val="Default"/>
        <w:spacing w:after="120"/>
        <w:jc w:val="both"/>
      </w:pPr>
    </w:p>
    <w:tbl>
      <w:tblPr>
        <w:tblStyle w:val="TableGrid"/>
        <w:tblW w:w="9563" w:type="dxa"/>
        <w:tblInd w:w="-5" w:type="dxa"/>
        <w:shd w:val="clear" w:color="auto" w:fill="D4D8C2"/>
        <w:tblLook w:val="04A0" w:firstRow="1" w:lastRow="0" w:firstColumn="1" w:lastColumn="0" w:noHBand="0" w:noVBand="1"/>
      </w:tblPr>
      <w:tblGrid>
        <w:gridCol w:w="9563"/>
      </w:tblGrid>
      <w:tr w:rsidR="00054154" w:rsidRPr="000E6624" w14:paraId="2A08C4F8" w14:textId="77777777" w:rsidTr="00CE343A">
        <w:trPr>
          <w:trHeight w:val="431"/>
        </w:trPr>
        <w:tc>
          <w:tcPr>
            <w:tcW w:w="9563" w:type="dxa"/>
            <w:tcBorders>
              <w:top w:val="single" w:sz="4" w:space="0" w:color="auto"/>
              <w:left w:val="single" w:sz="4" w:space="0" w:color="auto"/>
              <w:bottom w:val="single" w:sz="4" w:space="0" w:color="auto"/>
              <w:right w:val="single" w:sz="4" w:space="0" w:color="auto"/>
            </w:tcBorders>
            <w:shd w:val="clear" w:color="auto" w:fill="D4D8C2"/>
            <w:hideMark/>
          </w:tcPr>
          <w:p w14:paraId="22978652" w14:textId="444107AF" w:rsidR="00054154" w:rsidRPr="000E6624" w:rsidRDefault="00054154" w:rsidP="004E391C">
            <w:pPr>
              <w:keepNext/>
              <w:spacing w:before="120"/>
              <w:ind w:right="-86"/>
              <w:rPr>
                <w:rFonts w:cs="Times New Roman"/>
                <w:b/>
                <w:szCs w:val="24"/>
                <w:lang w:val="en-US"/>
              </w:rPr>
            </w:pPr>
            <w:r>
              <w:rPr>
                <w:rFonts w:cs="Times New Roman"/>
                <w:b/>
                <w:szCs w:val="24"/>
                <w:lang w:val="en-US"/>
              </w:rPr>
              <w:lastRenderedPageBreak/>
              <w:t>PART 4 – Summary of the Proposed Amendments</w:t>
            </w:r>
            <w:r w:rsidR="00C319EF">
              <w:rPr>
                <w:rFonts w:cs="Times New Roman"/>
                <w:b/>
                <w:szCs w:val="24"/>
                <w:lang w:val="en-US"/>
              </w:rPr>
              <w:t xml:space="preserve"> </w:t>
            </w:r>
          </w:p>
        </w:tc>
      </w:tr>
    </w:tbl>
    <w:p w14:paraId="7AC61862" w14:textId="56C76BA5" w:rsidR="003D12A3" w:rsidRDefault="003D12A3" w:rsidP="00A70A5C">
      <w:pPr>
        <w:spacing w:after="0"/>
        <w:contextualSpacing/>
        <w:rPr>
          <w:rFonts w:cs="Times New Roman"/>
          <w:color w:val="000000"/>
          <w:szCs w:val="24"/>
          <w:lang w:eastAsia="en-CA"/>
        </w:rPr>
      </w:pPr>
    </w:p>
    <w:p w14:paraId="09AE6780" w14:textId="4220B6A8" w:rsidR="0089482F" w:rsidRPr="0013443D" w:rsidRDefault="00AE664A" w:rsidP="003B09B3">
      <w:pPr>
        <w:spacing w:after="0"/>
        <w:jc w:val="both"/>
        <w:rPr>
          <w:rFonts w:cs="Times New Roman"/>
          <w:szCs w:val="24"/>
          <w:u w:val="single"/>
          <w:lang w:val="en-US"/>
        </w:rPr>
      </w:pPr>
      <w:r w:rsidRPr="00AE664A">
        <w:rPr>
          <w:rFonts w:cs="Times New Roman"/>
          <w:szCs w:val="24"/>
          <w:u w:val="single"/>
          <w:lang w:val="en-US"/>
        </w:rPr>
        <w:t>NI 14-101 (Annex A)</w:t>
      </w:r>
    </w:p>
    <w:p w14:paraId="68434C2D" w14:textId="079A7FAD" w:rsidR="0089482F" w:rsidRDefault="00AE664A" w:rsidP="00893C11">
      <w:pPr>
        <w:spacing w:after="0"/>
        <w:rPr>
          <w:rFonts w:cs="Times New Roman"/>
          <w:szCs w:val="24"/>
          <w:lang w:val="en-US"/>
        </w:rPr>
      </w:pPr>
      <w:r>
        <w:rPr>
          <w:rFonts w:cs="Times New Roman"/>
          <w:szCs w:val="24"/>
          <w:lang w:val="en-US"/>
        </w:rPr>
        <w:t xml:space="preserve">The </w:t>
      </w:r>
      <w:r w:rsidR="00225652">
        <w:rPr>
          <w:rFonts w:cs="Times New Roman"/>
          <w:szCs w:val="24"/>
          <w:lang w:val="en-US"/>
        </w:rPr>
        <w:t xml:space="preserve">proposed </w:t>
      </w:r>
      <w:r w:rsidR="00E36209">
        <w:rPr>
          <w:rFonts w:cs="Times New Roman"/>
          <w:szCs w:val="24"/>
          <w:lang w:val="en-US"/>
        </w:rPr>
        <w:t xml:space="preserve">amendments </w:t>
      </w:r>
      <w:r>
        <w:rPr>
          <w:rFonts w:cs="Times New Roman"/>
          <w:szCs w:val="24"/>
          <w:lang w:val="en-US"/>
        </w:rPr>
        <w:t>to the definition of “Canadian financial institution” are as follows:</w:t>
      </w:r>
    </w:p>
    <w:p w14:paraId="29867DCC" w14:textId="40E67FDA" w:rsidR="00AE664A" w:rsidRDefault="00AE664A" w:rsidP="003B09B3">
      <w:pPr>
        <w:spacing w:after="0"/>
        <w:jc w:val="both"/>
        <w:rPr>
          <w:rFonts w:cs="Times New Roman"/>
          <w:szCs w:val="24"/>
          <w:lang w:val="en-US"/>
        </w:rPr>
      </w:pPr>
    </w:p>
    <w:p w14:paraId="00CC1C71" w14:textId="06F60458" w:rsidR="008F6643" w:rsidRPr="004F18F8" w:rsidRDefault="00AE664A" w:rsidP="00893C11">
      <w:pPr>
        <w:pStyle w:val="ListParagraph"/>
        <w:numPr>
          <w:ilvl w:val="0"/>
          <w:numId w:val="13"/>
        </w:numPr>
        <w:spacing w:after="0"/>
        <w:rPr>
          <w:rFonts w:cs="Times New Roman"/>
          <w:szCs w:val="24"/>
          <w:lang w:val="en-US"/>
        </w:rPr>
      </w:pPr>
      <w:r>
        <w:rPr>
          <w:rFonts w:cs="Times New Roman"/>
          <w:szCs w:val="24"/>
          <w:lang w:val="en-US"/>
        </w:rPr>
        <w:t xml:space="preserve">The revised definition </w:t>
      </w:r>
      <w:r w:rsidR="004F18F8">
        <w:rPr>
          <w:rFonts w:cs="Times New Roman"/>
          <w:szCs w:val="24"/>
          <w:lang w:val="en-US"/>
        </w:rPr>
        <w:t xml:space="preserve">of </w:t>
      </w:r>
      <w:r w:rsidR="008F6643">
        <w:rPr>
          <w:rFonts w:cs="Times New Roman"/>
          <w:szCs w:val="24"/>
          <w:lang w:val="en-US"/>
        </w:rPr>
        <w:t xml:space="preserve">“Canadian financial institution” </w:t>
      </w:r>
      <w:r w:rsidR="002738BD">
        <w:rPr>
          <w:rFonts w:cs="Times New Roman"/>
          <w:szCs w:val="24"/>
          <w:lang w:val="en-US"/>
        </w:rPr>
        <w:t xml:space="preserve">does not </w:t>
      </w:r>
      <w:r>
        <w:rPr>
          <w:rFonts w:cs="Times New Roman"/>
          <w:szCs w:val="24"/>
          <w:lang w:val="en-US"/>
        </w:rPr>
        <w:t xml:space="preserve">include a foreign bank listed in Schedule III to the </w:t>
      </w:r>
      <w:r w:rsidRPr="00AE664A">
        <w:rPr>
          <w:rFonts w:cs="Times New Roman"/>
          <w:i/>
          <w:szCs w:val="24"/>
          <w:lang w:val="en-US"/>
        </w:rPr>
        <w:t xml:space="preserve">Bank Act </w:t>
      </w:r>
      <w:r>
        <w:rPr>
          <w:rFonts w:cs="Times New Roman"/>
          <w:szCs w:val="24"/>
          <w:lang w:val="en-US"/>
        </w:rPr>
        <w:t>(Canada)</w:t>
      </w:r>
      <w:r w:rsidR="00793DDE">
        <w:rPr>
          <w:rFonts w:cs="Times New Roman"/>
          <w:szCs w:val="24"/>
          <w:lang w:val="en-US"/>
        </w:rPr>
        <w:t xml:space="preserve"> (</w:t>
      </w:r>
      <w:r w:rsidR="00793DDE" w:rsidRPr="00793DDE">
        <w:rPr>
          <w:rFonts w:cs="Times New Roman"/>
          <w:b/>
          <w:szCs w:val="24"/>
          <w:lang w:val="en-US"/>
        </w:rPr>
        <w:t>Schedule III Bank</w:t>
      </w:r>
      <w:r w:rsidR="00793DDE">
        <w:rPr>
          <w:rFonts w:cs="Times New Roman"/>
          <w:szCs w:val="24"/>
          <w:lang w:val="en-US"/>
        </w:rPr>
        <w:t>).</w:t>
      </w:r>
      <w:r w:rsidR="008F6643">
        <w:rPr>
          <w:rFonts w:cs="Times New Roman"/>
          <w:b/>
          <w:szCs w:val="24"/>
          <w:lang w:val="en-US"/>
        </w:rPr>
        <w:t xml:space="preserve">  </w:t>
      </w:r>
      <w:r w:rsidR="002738BD">
        <w:rPr>
          <w:rFonts w:cs="Times New Roman"/>
          <w:szCs w:val="24"/>
          <w:lang w:val="en-US"/>
        </w:rPr>
        <w:t>The current definition of “Canadian financial institution”</w:t>
      </w:r>
      <w:r w:rsidR="00D46403">
        <w:rPr>
          <w:rFonts w:cs="Times New Roman"/>
          <w:szCs w:val="24"/>
          <w:lang w:val="en-US"/>
        </w:rPr>
        <w:t xml:space="preserve"> in NI 14-101</w:t>
      </w:r>
      <w:r w:rsidR="002738BD">
        <w:rPr>
          <w:rFonts w:cs="Times New Roman"/>
          <w:szCs w:val="24"/>
          <w:lang w:val="en-US"/>
        </w:rPr>
        <w:t xml:space="preserve"> </w:t>
      </w:r>
      <w:r w:rsidR="00347D1C">
        <w:rPr>
          <w:rFonts w:cs="Times New Roman"/>
          <w:szCs w:val="24"/>
          <w:lang w:val="en-US"/>
        </w:rPr>
        <w:t xml:space="preserve">includes </w:t>
      </w:r>
      <w:r w:rsidR="00D46403">
        <w:rPr>
          <w:rFonts w:cs="Times New Roman"/>
          <w:szCs w:val="24"/>
          <w:lang w:val="en-US"/>
        </w:rPr>
        <w:t>a “bank”</w:t>
      </w:r>
      <w:r w:rsidR="00347D1C">
        <w:rPr>
          <w:rFonts w:cs="Times New Roman"/>
          <w:szCs w:val="24"/>
          <w:lang w:val="en-US"/>
        </w:rPr>
        <w:t>,</w:t>
      </w:r>
      <w:r w:rsidR="002738BD">
        <w:rPr>
          <w:rFonts w:cs="Times New Roman"/>
          <w:szCs w:val="24"/>
          <w:lang w:val="en-US"/>
        </w:rPr>
        <w:t xml:space="preserve"> but </w:t>
      </w:r>
      <w:r w:rsidR="002C2DA5">
        <w:rPr>
          <w:rFonts w:cs="Times New Roman"/>
          <w:szCs w:val="24"/>
          <w:lang w:val="en-US"/>
        </w:rPr>
        <w:t>“bank” is</w:t>
      </w:r>
      <w:r w:rsidR="002738BD">
        <w:rPr>
          <w:rFonts w:cs="Times New Roman"/>
          <w:szCs w:val="24"/>
          <w:lang w:val="en-US"/>
        </w:rPr>
        <w:t xml:space="preserve"> not </w:t>
      </w:r>
      <w:r w:rsidR="006B35A2">
        <w:rPr>
          <w:rFonts w:cs="Times New Roman"/>
          <w:szCs w:val="24"/>
          <w:lang w:val="en-US"/>
        </w:rPr>
        <w:t>define</w:t>
      </w:r>
      <w:r w:rsidR="002C2DA5">
        <w:rPr>
          <w:rFonts w:cs="Times New Roman"/>
          <w:szCs w:val="24"/>
          <w:lang w:val="en-US"/>
        </w:rPr>
        <w:t>d.</w:t>
      </w:r>
      <w:r w:rsidR="002738BD">
        <w:rPr>
          <w:rFonts w:cs="Times New Roman"/>
          <w:szCs w:val="24"/>
          <w:lang w:val="en-US"/>
        </w:rPr>
        <w:t xml:space="preserve"> CSA </w:t>
      </w:r>
      <w:r w:rsidR="00347D1C">
        <w:rPr>
          <w:rFonts w:cs="Times New Roman"/>
          <w:szCs w:val="24"/>
          <w:lang w:val="en-US"/>
        </w:rPr>
        <w:t>staff determined that the definition of “</w:t>
      </w:r>
      <w:r w:rsidR="0086370A">
        <w:rPr>
          <w:rFonts w:cs="Times New Roman"/>
          <w:szCs w:val="24"/>
          <w:lang w:val="en-US"/>
        </w:rPr>
        <w:t>Canadian financial institution</w:t>
      </w:r>
      <w:r w:rsidR="00347D1C">
        <w:rPr>
          <w:rFonts w:cs="Times New Roman"/>
          <w:szCs w:val="24"/>
          <w:lang w:val="en-US"/>
        </w:rPr>
        <w:t xml:space="preserve">” should </w:t>
      </w:r>
      <w:r w:rsidR="003F5252">
        <w:rPr>
          <w:rFonts w:cs="Times New Roman"/>
          <w:szCs w:val="24"/>
          <w:lang w:val="en-US"/>
        </w:rPr>
        <w:t>be revised to specifically indicate</w:t>
      </w:r>
      <w:r w:rsidR="00955F08">
        <w:rPr>
          <w:rFonts w:cs="Times New Roman"/>
          <w:szCs w:val="24"/>
          <w:lang w:val="en-US"/>
        </w:rPr>
        <w:t xml:space="preserve"> that </w:t>
      </w:r>
      <w:r w:rsidR="006B35A2">
        <w:rPr>
          <w:rFonts w:cs="Times New Roman"/>
          <w:szCs w:val="24"/>
          <w:lang w:val="en-US"/>
        </w:rPr>
        <w:t xml:space="preserve">the only banks included are </w:t>
      </w:r>
      <w:r w:rsidR="002C2DA5">
        <w:rPr>
          <w:rFonts w:cs="Times New Roman"/>
          <w:szCs w:val="24"/>
          <w:lang w:val="en-US"/>
        </w:rPr>
        <w:t>those</w:t>
      </w:r>
      <w:r w:rsidR="00347D1C">
        <w:rPr>
          <w:rFonts w:cs="Times New Roman"/>
          <w:szCs w:val="24"/>
          <w:lang w:val="en-US"/>
        </w:rPr>
        <w:t xml:space="preserve"> listed in Schedule I and II to the </w:t>
      </w:r>
      <w:r w:rsidR="00347D1C" w:rsidRPr="006B35A2">
        <w:rPr>
          <w:rFonts w:cs="Times New Roman"/>
          <w:i/>
          <w:szCs w:val="24"/>
          <w:lang w:val="en-US"/>
        </w:rPr>
        <w:t>Bank Act</w:t>
      </w:r>
      <w:r w:rsidR="00347D1C">
        <w:rPr>
          <w:rFonts w:cs="Times New Roman"/>
          <w:szCs w:val="24"/>
          <w:lang w:val="en-US"/>
        </w:rPr>
        <w:t xml:space="preserve"> (Canada)</w:t>
      </w:r>
      <w:r w:rsidR="006B35A2">
        <w:rPr>
          <w:rFonts w:cs="Times New Roman"/>
          <w:szCs w:val="24"/>
          <w:lang w:val="en-US"/>
        </w:rPr>
        <w:t xml:space="preserve">.  </w:t>
      </w:r>
      <w:r w:rsidR="00347D1C">
        <w:rPr>
          <w:rFonts w:cs="Times New Roman"/>
          <w:szCs w:val="24"/>
          <w:lang w:val="en-US"/>
        </w:rPr>
        <w:t>Schedule III Banks</w:t>
      </w:r>
      <w:r w:rsidR="006B35A2">
        <w:rPr>
          <w:rFonts w:cs="Times New Roman"/>
          <w:szCs w:val="24"/>
          <w:lang w:val="en-US"/>
        </w:rPr>
        <w:t xml:space="preserve"> are</w:t>
      </w:r>
      <w:r w:rsidR="001A1209">
        <w:rPr>
          <w:rFonts w:cs="Times New Roman"/>
          <w:szCs w:val="24"/>
          <w:lang w:val="en-US"/>
        </w:rPr>
        <w:t xml:space="preserve"> not included</w:t>
      </w:r>
      <w:r w:rsidR="006B35A2">
        <w:rPr>
          <w:rFonts w:cs="Times New Roman"/>
          <w:szCs w:val="24"/>
          <w:lang w:val="en-US"/>
        </w:rPr>
        <w:t xml:space="preserve"> in the revised definition,</w:t>
      </w:r>
      <w:r w:rsidR="00347D1C">
        <w:rPr>
          <w:rFonts w:cs="Times New Roman"/>
          <w:szCs w:val="24"/>
          <w:lang w:val="en-US"/>
        </w:rPr>
        <w:t xml:space="preserve"> as it would </w:t>
      </w:r>
      <w:r w:rsidR="002738BD">
        <w:rPr>
          <w:rFonts w:cs="Times New Roman"/>
          <w:szCs w:val="24"/>
          <w:lang w:val="en-US"/>
        </w:rPr>
        <w:t>be counterintuitive to include a foreign bank as a “Canadian financial institution.”</w:t>
      </w:r>
    </w:p>
    <w:p w14:paraId="53823924" w14:textId="3599D782" w:rsidR="00E81287" w:rsidRDefault="00AE664A" w:rsidP="00893C11">
      <w:pPr>
        <w:pStyle w:val="ListParagraph"/>
        <w:numPr>
          <w:ilvl w:val="0"/>
          <w:numId w:val="13"/>
        </w:numPr>
        <w:spacing w:after="0"/>
        <w:rPr>
          <w:rFonts w:cs="Times New Roman"/>
          <w:szCs w:val="24"/>
          <w:lang w:val="en-US"/>
        </w:rPr>
      </w:pPr>
      <w:r>
        <w:rPr>
          <w:rFonts w:cs="Times New Roman"/>
          <w:szCs w:val="24"/>
          <w:lang w:val="en-US"/>
        </w:rPr>
        <w:t>T</w:t>
      </w:r>
      <w:r w:rsidR="00394A0F">
        <w:rPr>
          <w:rFonts w:cs="Times New Roman"/>
          <w:szCs w:val="24"/>
          <w:lang w:val="en-US"/>
        </w:rPr>
        <w:t xml:space="preserve">he revised definition </w:t>
      </w:r>
      <w:r w:rsidR="00131C58">
        <w:rPr>
          <w:rFonts w:cs="Times New Roman"/>
          <w:szCs w:val="24"/>
          <w:lang w:val="en-US"/>
        </w:rPr>
        <w:t xml:space="preserve">includes, from the current definition of “Canadian financial institution” in NI 45-106 </w:t>
      </w:r>
      <w:r>
        <w:rPr>
          <w:rFonts w:cs="Times New Roman"/>
          <w:szCs w:val="24"/>
          <w:lang w:val="en-US"/>
        </w:rPr>
        <w:t xml:space="preserve"> an association to which the </w:t>
      </w:r>
      <w:r w:rsidRPr="00AE664A">
        <w:rPr>
          <w:rFonts w:cs="Times New Roman"/>
          <w:i/>
          <w:szCs w:val="24"/>
          <w:lang w:val="en-US"/>
        </w:rPr>
        <w:t>Cooperative Credit Associations Act</w:t>
      </w:r>
      <w:r>
        <w:rPr>
          <w:rFonts w:cs="Times New Roman"/>
          <w:szCs w:val="24"/>
          <w:lang w:val="en-US"/>
        </w:rPr>
        <w:t xml:space="preserve"> (Canada) applies,</w:t>
      </w:r>
      <w:r w:rsidR="008D5CB9">
        <w:rPr>
          <w:rFonts w:cs="Times New Roman"/>
          <w:szCs w:val="24"/>
          <w:lang w:val="en-US"/>
        </w:rPr>
        <w:t xml:space="preserve"> </w:t>
      </w:r>
      <w:r w:rsidR="00394A0F">
        <w:rPr>
          <w:rFonts w:cs="Times New Roman"/>
          <w:szCs w:val="24"/>
          <w:lang w:val="en-US"/>
        </w:rPr>
        <w:t xml:space="preserve">but </w:t>
      </w:r>
      <w:r w:rsidR="00131C58">
        <w:rPr>
          <w:rFonts w:cs="Times New Roman"/>
          <w:szCs w:val="24"/>
          <w:lang w:val="en-US"/>
        </w:rPr>
        <w:t xml:space="preserve">does not include </w:t>
      </w:r>
      <w:r>
        <w:rPr>
          <w:rFonts w:cs="Times New Roman"/>
          <w:szCs w:val="24"/>
          <w:lang w:val="en-US"/>
        </w:rPr>
        <w:t xml:space="preserve"> </w:t>
      </w:r>
      <w:r w:rsidR="002D2D2C">
        <w:rPr>
          <w:rFonts w:cs="Times New Roman"/>
          <w:szCs w:val="24"/>
          <w:lang w:val="en-US"/>
        </w:rPr>
        <w:t xml:space="preserve">a </w:t>
      </w:r>
      <w:r>
        <w:rPr>
          <w:rFonts w:cs="Times New Roman"/>
          <w:szCs w:val="24"/>
          <w:lang w:val="en-US"/>
        </w:rPr>
        <w:t>refer</w:t>
      </w:r>
      <w:r w:rsidR="00150478">
        <w:rPr>
          <w:rFonts w:cs="Times New Roman"/>
          <w:szCs w:val="24"/>
          <w:lang w:val="en-US"/>
        </w:rPr>
        <w:t>ence</w:t>
      </w:r>
      <w:r>
        <w:rPr>
          <w:rFonts w:cs="Times New Roman"/>
          <w:szCs w:val="24"/>
          <w:lang w:val="en-US"/>
        </w:rPr>
        <w:t xml:space="preserve"> </w:t>
      </w:r>
      <w:r w:rsidR="009361D2">
        <w:rPr>
          <w:rFonts w:cs="Times New Roman"/>
          <w:szCs w:val="24"/>
          <w:lang w:val="en-US"/>
        </w:rPr>
        <w:t xml:space="preserve">to </w:t>
      </w:r>
      <w:r>
        <w:rPr>
          <w:rFonts w:cs="Times New Roman"/>
          <w:szCs w:val="24"/>
          <w:lang w:val="en-US"/>
        </w:rPr>
        <w:t xml:space="preserve">subsection 473(1) of </w:t>
      </w:r>
      <w:r w:rsidR="00DA23E9">
        <w:rPr>
          <w:rFonts w:cs="Times New Roman"/>
          <w:szCs w:val="24"/>
          <w:lang w:val="en-US"/>
        </w:rPr>
        <w:t>that</w:t>
      </w:r>
      <w:r>
        <w:rPr>
          <w:rFonts w:cs="Times New Roman"/>
          <w:szCs w:val="24"/>
          <w:lang w:val="en-US"/>
        </w:rPr>
        <w:t xml:space="preserve"> Act because that subsection has been repealed.</w:t>
      </w:r>
    </w:p>
    <w:p w14:paraId="74FEE637" w14:textId="54037DEF" w:rsidR="00E81287" w:rsidRPr="00F43D46" w:rsidRDefault="00E81287" w:rsidP="00893C11">
      <w:pPr>
        <w:pStyle w:val="ListParagraph"/>
        <w:numPr>
          <w:ilvl w:val="0"/>
          <w:numId w:val="13"/>
        </w:numPr>
        <w:spacing w:after="0"/>
        <w:rPr>
          <w:rFonts w:cs="Times New Roman"/>
          <w:szCs w:val="24"/>
          <w:lang w:val="en-US"/>
        </w:rPr>
      </w:pPr>
      <w:r w:rsidRPr="00F43D46">
        <w:rPr>
          <w:rFonts w:cs="Times New Roman"/>
          <w:szCs w:val="24"/>
          <w:lang w:val="en-US"/>
        </w:rPr>
        <w:t xml:space="preserve">The revised definition </w:t>
      </w:r>
      <w:r w:rsidR="00150478">
        <w:rPr>
          <w:rFonts w:cs="Times New Roman"/>
          <w:szCs w:val="24"/>
          <w:lang w:val="en-US"/>
        </w:rPr>
        <w:t xml:space="preserve">retains </w:t>
      </w:r>
      <w:r w:rsidR="00A60E15">
        <w:rPr>
          <w:rFonts w:cs="Times New Roman"/>
          <w:szCs w:val="24"/>
          <w:lang w:val="en-US"/>
        </w:rPr>
        <w:t xml:space="preserve">a </w:t>
      </w:r>
      <w:r w:rsidR="00150478">
        <w:rPr>
          <w:rFonts w:cs="Times New Roman"/>
          <w:szCs w:val="24"/>
          <w:lang w:val="en-US"/>
        </w:rPr>
        <w:t xml:space="preserve">reference to a credit union </w:t>
      </w:r>
      <w:r w:rsidR="00F96CB7">
        <w:rPr>
          <w:rFonts w:cs="Times New Roman"/>
          <w:szCs w:val="24"/>
          <w:lang w:val="en-US"/>
        </w:rPr>
        <w:t xml:space="preserve">and </w:t>
      </w:r>
      <w:r w:rsidR="00462EDA">
        <w:rPr>
          <w:rFonts w:cs="Times New Roman"/>
          <w:szCs w:val="24"/>
          <w:lang w:val="en-US"/>
        </w:rPr>
        <w:t xml:space="preserve">a </w:t>
      </w:r>
      <w:r w:rsidR="00F96CB7">
        <w:rPr>
          <w:rFonts w:cs="Times New Roman"/>
          <w:szCs w:val="24"/>
          <w:lang w:val="en-US"/>
        </w:rPr>
        <w:t xml:space="preserve">caisse populaire </w:t>
      </w:r>
      <w:r w:rsidR="00150478">
        <w:rPr>
          <w:rFonts w:cs="Times New Roman"/>
          <w:szCs w:val="24"/>
          <w:lang w:val="en-US"/>
        </w:rPr>
        <w:t>and</w:t>
      </w:r>
      <w:r w:rsidR="00A554A6">
        <w:rPr>
          <w:rFonts w:cs="Times New Roman"/>
          <w:szCs w:val="24"/>
          <w:lang w:val="en-US"/>
        </w:rPr>
        <w:t xml:space="preserve"> adds</w:t>
      </w:r>
      <w:r w:rsidR="00A60E15">
        <w:rPr>
          <w:rFonts w:cs="Times New Roman"/>
          <w:szCs w:val="24"/>
          <w:lang w:val="en-US"/>
        </w:rPr>
        <w:t xml:space="preserve"> a</w:t>
      </w:r>
      <w:r w:rsidR="00150478">
        <w:rPr>
          <w:rFonts w:cs="Times New Roman"/>
          <w:szCs w:val="24"/>
          <w:lang w:val="en-US"/>
        </w:rPr>
        <w:t xml:space="preserve"> reference</w:t>
      </w:r>
      <w:r w:rsidR="00A554A6">
        <w:rPr>
          <w:rFonts w:cs="Times New Roman"/>
          <w:szCs w:val="24"/>
          <w:lang w:val="en-US"/>
        </w:rPr>
        <w:t xml:space="preserve"> to a</w:t>
      </w:r>
      <w:r w:rsidRPr="00F43D46">
        <w:rPr>
          <w:rFonts w:cs="Times New Roman"/>
          <w:szCs w:val="24"/>
          <w:lang w:val="en-US"/>
        </w:rPr>
        <w:t xml:space="preserve"> central credit union, </w:t>
      </w:r>
      <w:r w:rsidR="00E64FFE">
        <w:rPr>
          <w:rFonts w:cs="Times New Roman"/>
          <w:szCs w:val="24"/>
          <w:lang w:val="en-US"/>
        </w:rPr>
        <w:t xml:space="preserve">financial services cooperative, </w:t>
      </w:r>
      <w:r w:rsidR="00641C46">
        <w:rPr>
          <w:rFonts w:cs="Times New Roman"/>
          <w:szCs w:val="24"/>
          <w:lang w:val="en-US"/>
        </w:rPr>
        <w:t>credit union</w:t>
      </w:r>
      <w:r w:rsidR="00E64FFE">
        <w:rPr>
          <w:rFonts w:cs="Times New Roman"/>
          <w:szCs w:val="24"/>
          <w:lang w:val="en-US"/>
        </w:rPr>
        <w:t xml:space="preserve"> league or </w:t>
      </w:r>
      <w:r w:rsidRPr="00F43D46">
        <w:rPr>
          <w:rFonts w:cs="Times New Roman"/>
          <w:szCs w:val="24"/>
          <w:lang w:val="en-US"/>
        </w:rPr>
        <w:t>federation</w:t>
      </w:r>
      <w:r w:rsidR="00641C46">
        <w:rPr>
          <w:rFonts w:cs="Times New Roman"/>
          <w:szCs w:val="24"/>
          <w:lang w:val="en-US"/>
        </w:rPr>
        <w:t xml:space="preserve"> </w:t>
      </w:r>
      <w:r w:rsidR="00A554A6">
        <w:rPr>
          <w:rFonts w:cs="Times New Roman"/>
          <w:szCs w:val="24"/>
          <w:lang w:val="en-US"/>
        </w:rPr>
        <w:t xml:space="preserve">that is incorporated or otherwise authorized </w:t>
      </w:r>
      <w:r w:rsidRPr="00F43D46">
        <w:rPr>
          <w:rFonts w:cs="Times New Roman"/>
          <w:szCs w:val="24"/>
          <w:lang w:val="en-US"/>
        </w:rPr>
        <w:t xml:space="preserve">to carry on business by or under </w:t>
      </w:r>
      <w:r w:rsidR="00A554A6">
        <w:rPr>
          <w:rFonts w:cs="Times New Roman"/>
          <w:szCs w:val="24"/>
          <w:lang w:val="en-US"/>
        </w:rPr>
        <w:t>an Act of the legislature of a jurisdiction</w:t>
      </w:r>
      <w:r w:rsidR="008221C8" w:rsidRPr="00F43D46">
        <w:rPr>
          <w:rFonts w:cs="Times New Roman"/>
          <w:szCs w:val="24"/>
          <w:lang w:val="en-US"/>
        </w:rPr>
        <w:t xml:space="preserve"> to ensure that the definition includes all relevant references.</w:t>
      </w:r>
    </w:p>
    <w:p w14:paraId="0804CF2B" w14:textId="3B5BAF4A" w:rsidR="0089482F" w:rsidRPr="00A60E15" w:rsidRDefault="00E81287" w:rsidP="00893C11">
      <w:pPr>
        <w:pStyle w:val="ListParagraph"/>
        <w:numPr>
          <w:ilvl w:val="0"/>
          <w:numId w:val="13"/>
        </w:numPr>
        <w:spacing w:after="0"/>
        <w:rPr>
          <w:rFonts w:cs="Times New Roman"/>
          <w:szCs w:val="24"/>
          <w:lang w:val="en-US"/>
        </w:rPr>
      </w:pPr>
      <w:r w:rsidRPr="00687979">
        <w:rPr>
          <w:rFonts w:cs="Times New Roman"/>
          <w:szCs w:val="24"/>
          <w:lang w:val="en-US"/>
        </w:rPr>
        <w:t>The revised definition does not refer to “</w:t>
      </w:r>
      <w:r w:rsidR="00687979" w:rsidRPr="00687979">
        <w:rPr>
          <w:rFonts w:cs="Times New Roman"/>
          <w:szCs w:val="24"/>
          <w:lang w:val="en-US"/>
        </w:rPr>
        <w:t>the Confédération des caisse</w:t>
      </w:r>
      <w:r w:rsidR="00F96CB7">
        <w:rPr>
          <w:rFonts w:cs="Times New Roman"/>
          <w:szCs w:val="24"/>
          <w:lang w:val="en-US"/>
        </w:rPr>
        <w:t>s</w:t>
      </w:r>
      <w:r w:rsidR="00687979" w:rsidRPr="00687979">
        <w:rPr>
          <w:rFonts w:cs="Times New Roman"/>
          <w:szCs w:val="24"/>
          <w:lang w:val="en-US"/>
        </w:rPr>
        <w:t xml:space="preserve"> populaires et d’économie Desjardins de Québec</w:t>
      </w:r>
      <w:r w:rsidR="00687979">
        <w:rPr>
          <w:rFonts w:cs="Times New Roman"/>
          <w:szCs w:val="24"/>
          <w:lang w:val="en-US"/>
        </w:rPr>
        <w:t>”</w:t>
      </w:r>
      <w:r w:rsidR="008D5CB9">
        <w:rPr>
          <w:rFonts w:cs="Times New Roman"/>
          <w:szCs w:val="24"/>
          <w:lang w:val="en-US"/>
        </w:rPr>
        <w:t>,</w:t>
      </w:r>
      <w:r w:rsidR="00687979">
        <w:rPr>
          <w:rFonts w:cs="Times New Roman"/>
          <w:szCs w:val="24"/>
          <w:lang w:val="en-US"/>
        </w:rPr>
        <w:t xml:space="preserve"> as </w:t>
      </w:r>
      <w:r w:rsidR="00761476">
        <w:rPr>
          <w:rFonts w:cs="Times New Roman"/>
          <w:szCs w:val="24"/>
          <w:lang w:val="en-US"/>
        </w:rPr>
        <w:t>this organization</w:t>
      </w:r>
      <w:r w:rsidR="00225652">
        <w:rPr>
          <w:rFonts w:cs="Times New Roman"/>
          <w:szCs w:val="24"/>
          <w:lang w:val="en-US"/>
        </w:rPr>
        <w:t xml:space="preserve"> is</w:t>
      </w:r>
      <w:r w:rsidR="00067613">
        <w:rPr>
          <w:rFonts w:cs="Times New Roman"/>
          <w:szCs w:val="24"/>
          <w:lang w:val="en-US"/>
        </w:rPr>
        <w:t xml:space="preserve"> now</w:t>
      </w:r>
      <w:r w:rsidR="00225652">
        <w:rPr>
          <w:rFonts w:cs="Times New Roman"/>
          <w:szCs w:val="24"/>
          <w:lang w:val="en-US"/>
        </w:rPr>
        <w:t xml:space="preserve"> </w:t>
      </w:r>
      <w:r w:rsidR="00687979">
        <w:rPr>
          <w:rFonts w:cs="Times New Roman"/>
          <w:szCs w:val="24"/>
          <w:lang w:val="en-US"/>
        </w:rPr>
        <w:t>included in the revised definition</w:t>
      </w:r>
      <w:r w:rsidR="007C241C">
        <w:rPr>
          <w:rFonts w:cs="Times New Roman"/>
          <w:szCs w:val="24"/>
          <w:lang w:val="en-US"/>
        </w:rPr>
        <w:t xml:space="preserve"> because of that definition’s references to </w:t>
      </w:r>
      <w:r w:rsidR="00396D03">
        <w:rPr>
          <w:rFonts w:cs="Times New Roman"/>
          <w:szCs w:val="24"/>
          <w:lang w:val="en-US"/>
        </w:rPr>
        <w:t xml:space="preserve">a </w:t>
      </w:r>
      <w:r w:rsidR="007C241C">
        <w:rPr>
          <w:rFonts w:cs="Times New Roman"/>
          <w:szCs w:val="24"/>
          <w:lang w:val="en-US"/>
        </w:rPr>
        <w:t xml:space="preserve">credit union league and </w:t>
      </w:r>
      <w:r w:rsidR="00396D03">
        <w:rPr>
          <w:rFonts w:cs="Times New Roman"/>
          <w:szCs w:val="24"/>
          <w:lang w:val="en-US"/>
        </w:rPr>
        <w:t>a cai</w:t>
      </w:r>
      <w:r w:rsidR="007C241C">
        <w:rPr>
          <w:rFonts w:cs="Times New Roman"/>
          <w:szCs w:val="24"/>
          <w:lang w:val="en-US"/>
        </w:rPr>
        <w:t>sse populaire</w:t>
      </w:r>
      <w:r w:rsidR="00687979">
        <w:rPr>
          <w:rFonts w:cs="Times New Roman"/>
          <w:szCs w:val="24"/>
          <w:lang w:val="en-US"/>
        </w:rPr>
        <w:t>.</w:t>
      </w:r>
    </w:p>
    <w:p w14:paraId="5BD29849" w14:textId="77777777" w:rsidR="00F21380" w:rsidRDefault="00F21380" w:rsidP="003B09B3">
      <w:pPr>
        <w:spacing w:after="0"/>
        <w:jc w:val="both"/>
        <w:rPr>
          <w:rFonts w:cs="Times New Roman"/>
          <w:i/>
          <w:szCs w:val="24"/>
          <w:lang w:val="en-US"/>
        </w:rPr>
      </w:pPr>
    </w:p>
    <w:p w14:paraId="139237F2" w14:textId="6FE1D981" w:rsidR="0089482F" w:rsidRDefault="00687979" w:rsidP="00893C11">
      <w:pPr>
        <w:spacing w:after="0"/>
        <w:rPr>
          <w:rFonts w:cs="Times New Roman"/>
          <w:szCs w:val="24"/>
          <w:lang w:val="en-US"/>
        </w:rPr>
      </w:pPr>
      <w:r>
        <w:rPr>
          <w:rFonts w:cs="Times New Roman"/>
          <w:szCs w:val="24"/>
          <w:lang w:val="en-US"/>
        </w:rPr>
        <w:t xml:space="preserve">As noted above, the revised definition </w:t>
      </w:r>
      <w:r w:rsidR="00ED1D2D">
        <w:rPr>
          <w:rFonts w:cs="Times New Roman"/>
          <w:szCs w:val="24"/>
          <w:lang w:val="en-US"/>
        </w:rPr>
        <w:t xml:space="preserve">of </w:t>
      </w:r>
      <w:r>
        <w:rPr>
          <w:rFonts w:cs="Times New Roman"/>
          <w:szCs w:val="24"/>
          <w:lang w:val="en-US"/>
        </w:rPr>
        <w:t xml:space="preserve">“Handbook” reflects that the </w:t>
      </w:r>
      <w:r w:rsidR="003A5687">
        <w:rPr>
          <w:rFonts w:cs="Times New Roman"/>
          <w:szCs w:val="24"/>
          <w:lang w:val="en-US"/>
        </w:rPr>
        <w:t xml:space="preserve">CPAC </w:t>
      </w:r>
      <w:r>
        <w:rPr>
          <w:rFonts w:cs="Times New Roman"/>
          <w:szCs w:val="24"/>
          <w:lang w:val="en-US"/>
        </w:rPr>
        <w:t>ha</w:t>
      </w:r>
      <w:r w:rsidR="00761476">
        <w:rPr>
          <w:rFonts w:cs="Times New Roman"/>
          <w:szCs w:val="24"/>
          <w:lang w:val="en-US"/>
        </w:rPr>
        <w:t>ve</w:t>
      </w:r>
      <w:r>
        <w:rPr>
          <w:rFonts w:cs="Times New Roman"/>
          <w:szCs w:val="24"/>
          <w:lang w:val="en-US"/>
        </w:rPr>
        <w:t xml:space="preserve"> separate publication</w:t>
      </w:r>
      <w:r w:rsidR="00563634">
        <w:rPr>
          <w:rFonts w:cs="Times New Roman"/>
          <w:szCs w:val="24"/>
          <w:lang w:val="en-US"/>
        </w:rPr>
        <w:t>s</w:t>
      </w:r>
      <w:r>
        <w:rPr>
          <w:rFonts w:cs="Times New Roman"/>
          <w:szCs w:val="24"/>
          <w:lang w:val="en-US"/>
        </w:rPr>
        <w:t xml:space="preserve"> dealing with accounting and assurance. </w:t>
      </w:r>
    </w:p>
    <w:p w14:paraId="071C8462" w14:textId="6C0F561A" w:rsidR="00687979" w:rsidRDefault="00687979" w:rsidP="003B09B3">
      <w:pPr>
        <w:spacing w:after="0"/>
        <w:jc w:val="both"/>
        <w:rPr>
          <w:rFonts w:cs="Times New Roman"/>
          <w:szCs w:val="24"/>
          <w:lang w:val="en-US"/>
        </w:rPr>
      </w:pPr>
    </w:p>
    <w:p w14:paraId="2BBCFEB5" w14:textId="37EA7895" w:rsidR="00687979" w:rsidRPr="0013443D" w:rsidRDefault="000E7920" w:rsidP="00AB0109">
      <w:pPr>
        <w:keepNext/>
        <w:spacing w:after="0"/>
        <w:jc w:val="both"/>
        <w:rPr>
          <w:rFonts w:cs="Times New Roman"/>
          <w:szCs w:val="24"/>
          <w:u w:val="single"/>
          <w:lang w:val="en-US"/>
        </w:rPr>
      </w:pPr>
      <w:r w:rsidRPr="00FB08FD">
        <w:rPr>
          <w:rFonts w:cs="Times New Roman"/>
          <w:szCs w:val="24"/>
          <w:u w:val="single"/>
          <w:lang w:val="en-US"/>
        </w:rPr>
        <w:t>Consequential Amendments (</w:t>
      </w:r>
      <w:r w:rsidR="00512F76">
        <w:rPr>
          <w:rFonts w:cs="Times New Roman"/>
          <w:szCs w:val="24"/>
          <w:u w:val="single"/>
          <w:lang w:val="en-US"/>
        </w:rPr>
        <w:t>Annexes B, C</w:t>
      </w:r>
      <w:r w:rsidR="005E553F" w:rsidRPr="00FB08FD">
        <w:rPr>
          <w:rFonts w:cs="Times New Roman"/>
          <w:szCs w:val="24"/>
          <w:u w:val="single"/>
          <w:lang w:val="en-US"/>
        </w:rPr>
        <w:t xml:space="preserve"> </w:t>
      </w:r>
      <w:r w:rsidR="00512F76">
        <w:rPr>
          <w:rFonts w:cs="Times New Roman"/>
          <w:szCs w:val="24"/>
          <w:u w:val="single"/>
          <w:lang w:val="en-US"/>
        </w:rPr>
        <w:t>and E</w:t>
      </w:r>
      <w:r w:rsidRPr="00FB08FD">
        <w:rPr>
          <w:rFonts w:cs="Times New Roman"/>
          <w:szCs w:val="24"/>
          <w:u w:val="single"/>
          <w:lang w:val="en-US"/>
        </w:rPr>
        <w:t>)</w:t>
      </w:r>
    </w:p>
    <w:p w14:paraId="781F0331" w14:textId="77777777" w:rsidR="00EA5EE9" w:rsidRDefault="00687979" w:rsidP="00893C11">
      <w:pPr>
        <w:keepNext/>
        <w:spacing w:after="0"/>
        <w:rPr>
          <w:rFonts w:cs="Times New Roman"/>
          <w:szCs w:val="24"/>
          <w:lang w:val="en-US"/>
        </w:rPr>
      </w:pPr>
      <w:r w:rsidRPr="00FB08FD">
        <w:rPr>
          <w:rFonts w:cs="Times New Roman"/>
          <w:szCs w:val="24"/>
          <w:lang w:val="en-US"/>
        </w:rPr>
        <w:t>Each of these annexes include</w:t>
      </w:r>
      <w:r w:rsidR="00345A37">
        <w:rPr>
          <w:rFonts w:cs="Times New Roman"/>
          <w:szCs w:val="24"/>
          <w:lang w:val="en-US"/>
        </w:rPr>
        <w:t>s</w:t>
      </w:r>
      <w:r w:rsidRPr="00FB08FD">
        <w:rPr>
          <w:rFonts w:cs="Times New Roman"/>
          <w:szCs w:val="24"/>
          <w:lang w:val="en-US"/>
        </w:rPr>
        <w:t xml:space="preserve"> the </w:t>
      </w:r>
      <w:r w:rsidR="00225652" w:rsidRPr="00FB08FD">
        <w:rPr>
          <w:rFonts w:cs="Times New Roman"/>
          <w:szCs w:val="24"/>
          <w:lang w:val="en-US"/>
        </w:rPr>
        <w:t xml:space="preserve">proposed </w:t>
      </w:r>
      <w:r w:rsidRPr="00FB08FD">
        <w:rPr>
          <w:rFonts w:cs="Times New Roman"/>
          <w:szCs w:val="24"/>
          <w:lang w:val="en-US"/>
        </w:rPr>
        <w:t>repeal of definitions of “Canadian financial institution”</w:t>
      </w:r>
      <w:r w:rsidR="00EC1266">
        <w:rPr>
          <w:rFonts w:cs="Times New Roman"/>
          <w:szCs w:val="24"/>
          <w:lang w:val="en-US"/>
        </w:rPr>
        <w:t xml:space="preserve"> from the national instruments referenced in the annexes. These definitions are no longer required in those national instruments</w:t>
      </w:r>
      <w:r w:rsidRPr="00FB08FD">
        <w:rPr>
          <w:rFonts w:cs="Times New Roman"/>
          <w:szCs w:val="24"/>
          <w:lang w:val="en-US"/>
        </w:rPr>
        <w:t xml:space="preserve">, as the </w:t>
      </w:r>
      <w:r w:rsidR="00225652" w:rsidRPr="00FB08FD">
        <w:rPr>
          <w:rFonts w:cs="Times New Roman"/>
          <w:szCs w:val="24"/>
          <w:lang w:val="en-US"/>
        </w:rPr>
        <w:t xml:space="preserve">proposed </w:t>
      </w:r>
      <w:r w:rsidRPr="00FB08FD">
        <w:rPr>
          <w:rFonts w:cs="Times New Roman"/>
          <w:szCs w:val="24"/>
          <w:lang w:val="en-US"/>
        </w:rPr>
        <w:t xml:space="preserve">definition </w:t>
      </w:r>
      <w:r w:rsidR="00AC1854" w:rsidRPr="00FB08FD">
        <w:rPr>
          <w:rFonts w:cs="Times New Roman"/>
          <w:szCs w:val="24"/>
          <w:lang w:val="en-US"/>
        </w:rPr>
        <w:t xml:space="preserve">of that expression </w:t>
      </w:r>
      <w:r w:rsidRPr="00FB08FD">
        <w:rPr>
          <w:rFonts w:cs="Times New Roman"/>
          <w:szCs w:val="24"/>
          <w:lang w:val="en-US"/>
        </w:rPr>
        <w:t xml:space="preserve">in </w:t>
      </w:r>
    </w:p>
    <w:p w14:paraId="23670D9F" w14:textId="1E2121EB" w:rsidR="00687979" w:rsidRPr="00FB08FD" w:rsidRDefault="00687979" w:rsidP="00893C11">
      <w:pPr>
        <w:keepNext/>
        <w:spacing w:after="0"/>
        <w:rPr>
          <w:rFonts w:cs="Times New Roman"/>
          <w:szCs w:val="24"/>
          <w:lang w:val="en-US"/>
        </w:rPr>
      </w:pPr>
      <w:r w:rsidRPr="00FB08FD">
        <w:rPr>
          <w:rFonts w:cs="Times New Roman"/>
          <w:szCs w:val="24"/>
          <w:lang w:val="en-US"/>
        </w:rPr>
        <w:t xml:space="preserve">NI 14-101 </w:t>
      </w:r>
      <w:r w:rsidR="00225652" w:rsidRPr="00FB08FD">
        <w:rPr>
          <w:rFonts w:cs="Times New Roman"/>
          <w:szCs w:val="24"/>
          <w:lang w:val="en-US"/>
        </w:rPr>
        <w:t>would</w:t>
      </w:r>
      <w:r w:rsidRPr="00FB08FD">
        <w:rPr>
          <w:rFonts w:cs="Times New Roman"/>
          <w:szCs w:val="24"/>
          <w:lang w:val="en-US"/>
        </w:rPr>
        <w:t xml:space="preserve"> </w:t>
      </w:r>
      <w:r w:rsidR="005D50EF">
        <w:rPr>
          <w:rFonts w:cs="Times New Roman"/>
          <w:szCs w:val="24"/>
          <w:lang w:val="en-US"/>
        </w:rPr>
        <w:t xml:space="preserve">then </w:t>
      </w:r>
      <w:r w:rsidRPr="00FB08FD">
        <w:rPr>
          <w:rFonts w:cs="Times New Roman"/>
          <w:szCs w:val="24"/>
          <w:lang w:val="en-US"/>
        </w:rPr>
        <w:t>apply</w:t>
      </w:r>
      <w:r w:rsidR="005D50EF">
        <w:rPr>
          <w:rFonts w:cs="Times New Roman"/>
          <w:szCs w:val="24"/>
          <w:lang w:val="en-US"/>
        </w:rPr>
        <w:t xml:space="preserve"> to these national instruments</w:t>
      </w:r>
      <w:r w:rsidRPr="00FB08FD">
        <w:rPr>
          <w:rFonts w:cs="Times New Roman"/>
          <w:szCs w:val="24"/>
          <w:lang w:val="en-US"/>
        </w:rPr>
        <w:t>.</w:t>
      </w:r>
    </w:p>
    <w:p w14:paraId="37B13571" w14:textId="245C01E0" w:rsidR="00687979" w:rsidRPr="00FB08FD" w:rsidRDefault="00687979" w:rsidP="003B09B3">
      <w:pPr>
        <w:spacing w:after="0"/>
        <w:jc w:val="both"/>
        <w:rPr>
          <w:rFonts w:cs="Times New Roman"/>
          <w:szCs w:val="24"/>
          <w:lang w:val="en-US"/>
        </w:rPr>
      </w:pPr>
    </w:p>
    <w:p w14:paraId="69F47DEF" w14:textId="2D5C6135" w:rsidR="00FB08FD" w:rsidRPr="00FB08FD" w:rsidRDefault="00FB08FD" w:rsidP="00687979">
      <w:pPr>
        <w:keepNext/>
        <w:spacing w:after="0"/>
        <w:jc w:val="both"/>
        <w:rPr>
          <w:rFonts w:cs="Times New Roman"/>
          <w:szCs w:val="24"/>
          <w:u w:val="single"/>
          <w:lang w:val="en-US"/>
        </w:rPr>
      </w:pPr>
      <w:r w:rsidRPr="00FB08FD">
        <w:rPr>
          <w:rFonts w:cs="Times New Roman"/>
          <w:szCs w:val="24"/>
          <w:u w:val="single"/>
          <w:lang w:val="en-US"/>
        </w:rPr>
        <w:t xml:space="preserve">Consequential </w:t>
      </w:r>
      <w:r w:rsidR="00512F76">
        <w:rPr>
          <w:rFonts w:cs="Times New Roman"/>
          <w:szCs w:val="24"/>
          <w:u w:val="single"/>
          <w:lang w:val="en-US"/>
        </w:rPr>
        <w:t>Amendment (Annex D</w:t>
      </w:r>
      <w:r w:rsidRPr="00FB08FD">
        <w:rPr>
          <w:rFonts w:cs="Times New Roman"/>
          <w:szCs w:val="24"/>
          <w:u w:val="single"/>
          <w:lang w:val="en-US"/>
        </w:rPr>
        <w:t>)</w:t>
      </w:r>
    </w:p>
    <w:p w14:paraId="7F99FFBA" w14:textId="220CF9A2" w:rsidR="00FB08FD" w:rsidRPr="00FB08FD" w:rsidRDefault="004313EC" w:rsidP="00893C11">
      <w:pPr>
        <w:spacing w:after="0"/>
        <w:ind w:right="-86"/>
        <w:rPr>
          <w:rFonts w:cs="Times New Roman"/>
          <w:szCs w:val="24"/>
          <w:lang w:val="en-US"/>
        </w:rPr>
      </w:pPr>
      <w:r>
        <w:rPr>
          <w:rFonts w:cs="Times New Roman"/>
          <w:szCs w:val="24"/>
          <w:lang w:val="en-US"/>
        </w:rPr>
        <w:t xml:space="preserve">CSA </w:t>
      </w:r>
      <w:r w:rsidR="00A335D2">
        <w:rPr>
          <w:rFonts w:cs="Times New Roman"/>
          <w:szCs w:val="24"/>
          <w:lang w:val="en-US"/>
        </w:rPr>
        <w:t xml:space="preserve">staff </w:t>
      </w:r>
      <w:r>
        <w:rPr>
          <w:rFonts w:cs="Times New Roman"/>
          <w:szCs w:val="24"/>
          <w:lang w:val="en-US"/>
        </w:rPr>
        <w:t>determined that</w:t>
      </w:r>
      <w:r w:rsidR="00A335D2">
        <w:rPr>
          <w:rFonts w:cs="Times New Roman"/>
          <w:szCs w:val="24"/>
          <w:lang w:val="en-US"/>
        </w:rPr>
        <w:t>,</w:t>
      </w:r>
      <w:r>
        <w:rPr>
          <w:rFonts w:cs="Times New Roman"/>
          <w:szCs w:val="24"/>
          <w:lang w:val="en-US"/>
        </w:rPr>
        <w:t xml:space="preserve"> in order to maintain the status quo for the application of the early warning requirements, an amendment was required to NI 62-103 to specifically include </w:t>
      </w:r>
      <w:r w:rsidR="00A335D2">
        <w:rPr>
          <w:rFonts w:cs="Times New Roman"/>
          <w:szCs w:val="24"/>
          <w:lang w:val="en-US"/>
        </w:rPr>
        <w:t>Schedule III B</w:t>
      </w:r>
      <w:r w:rsidR="006C2ED0">
        <w:rPr>
          <w:rFonts w:cs="Times New Roman"/>
          <w:szCs w:val="24"/>
          <w:lang w:val="en-US"/>
        </w:rPr>
        <w:t>anks in the definition of “financial institution” given</w:t>
      </w:r>
      <w:r w:rsidR="00A335D2">
        <w:rPr>
          <w:rFonts w:cs="Times New Roman"/>
          <w:szCs w:val="24"/>
          <w:lang w:val="en-US"/>
        </w:rPr>
        <w:t xml:space="preserve"> the exclusion of Schedule III B</w:t>
      </w:r>
      <w:r w:rsidR="006C2ED0">
        <w:rPr>
          <w:rFonts w:cs="Times New Roman"/>
          <w:szCs w:val="24"/>
          <w:lang w:val="en-US"/>
        </w:rPr>
        <w:t xml:space="preserve">anks from the </w:t>
      </w:r>
      <w:r w:rsidR="006C2ED0" w:rsidRPr="00FB08FD">
        <w:rPr>
          <w:rFonts w:cs="Times New Roman"/>
          <w:szCs w:val="24"/>
          <w:lang w:val="en-US"/>
        </w:rPr>
        <w:t>proposed definition of “Canadian fina</w:t>
      </w:r>
      <w:r w:rsidR="006C2ED0">
        <w:rPr>
          <w:rFonts w:cs="Times New Roman"/>
          <w:szCs w:val="24"/>
          <w:lang w:val="en-US"/>
        </w:rPr>
        <w:t xml:space="preserve">ncial institution” in NI 14-101.  </w:t>
      </w:r>
    </w:p>
    <w:p w14:paraId="087E8C2F" w14:textId="7A300A3F" w:rsidR="009439E2" w:rsidRDefault="009439E2" w:rsidP="003B09B3">
      <w:pPr>
        <w:spacing w:after="0"/>
        <w:jc w:val="both"/>
        <w:rPr>
          <w:rFonts w:cs="Times New Roman"/>
          <w:szCs w:val="24"/>
          <w:lang w:val="en-US"/>
        </w:rPr>
      </w:pPr>
    </w:p>
    <w:p w14:paraId="18A8C869" w14:textId="2BE0965C" w:rsidR="009439E2" w:rsidRPr="0013443D" w:rsidRDefault="009439E2" w:rsidP="009439E2">
      <w:pPr>
        <w:spacing w:after="0"/>
        <w:ind w:right="-86"/>
        <w:jc w:val="both"/>
        <w:rPr>
          <w:rFonts w:cs="Times New Roman"/>
          <w:szCs w:val="24"/>
          <w:u w:val="single"/>
          <w:lang w:val="en-US"/>
        </w:rPr>
      </w:pPr>
      <w:r w:rsidRPr="009439E2">
        <w:rPr>
          <w:rFonts w:cs="Times New Roman"/>
          <w:szCs w:val="24"/>
          <w:u w:val="single"/>
          <w:lang w:val="en-US"/>
        </w:rPr>
        <w:t>Housekeeping Amendments</w:t>
      </w:r>
      <w:r w:rsidR="00512F76">
        <w:rPr>
          <w:rFonts w:cs="Times New Roman"/>
          <w:szCs w:val="24"/>
          <w:u w:val="single"/>
          <w:lang w:val="en-US"/>
        </w:rPr>
        <w:t xml:space="preserve"> (Annexes B and C</w:t>
      </w:r>
      <w:r w:rsidR="00B660D8">
        <w:rPr>
          <w:rFonts w:cs="Times New Roman"/>
          <w:szCs w:val="24"/>
          <w:u w:val="single"/>
          <w:lang w:val="en-US"/>
        </w:rPr>
        <w:t>)</w:t>
      </w:r>
    </w:p>
    <w:p w14:paraId="17060AEB" w14:textId="510742E4" w:rsidR="009439E2" w:rsidRPr="00563634" w:rsidRDefault="00A335D2" w:rsidP="00563634">
      <w:pPr>
        <w:spacing w:after="0"/>
        <w:ind w:right="-86"/>
        <w:jc w:val="both"/>
        <w:rPr>
          <w:rFonts w:cs="Times New Roman"/>
          <w:szCs w:val="24"/>
          <w:lang w:val="en-US"/>
        </w:rPr>
      </w:pPr>
      <w:r>
        <w:rPr>
          <w:rFonts w:cs="Times New Roman"/>
          <w:szCs w:val="24"/>
          <w:lang w:val="en-US"/>
        </w:rPr>
        <w:t>We are proposing the</w:t>
      </w:r>
      <w:r w:rsidR="00472718">
        <w:rPr>
          <w:rFonts w:cs="Times New Roman"/>
          <w:szCs w:val="24"/>
          <w:lang w:val="en-US"/>
        </w:rPr>
        <w:t xml:space="preserve"> following</w:t>
      </w:r>
      <w:r w:rsidR="009439E2">
        <w:rPr>
          <w:rFonts w:cs="Times New Roman"/>
          <w:szCs w:val="24"/>
          <w:lang w:val="en-US"/>
        </w:rPr>
        <w:t xml:space="preserve"> housekeeping amendments in NI 31-103 and NI 45-106:</w:t>
      </w:r>
    </w:p>
    <w:p w14:paraId="5DDD983C" w14:textId="2157C3EE" w:rsidR="009439E2" w:rsidRDefault="00472718" w:rsidP="002A5B0D">
      <w:pPr>
        <w:pStyle w:val="ListParagraph"/>
        <w:numPr>
          <w:ilvl w:val="0"/>
          <w:numId w:val="15"/>
        </w:numPr>
        <w:spacing w:after="0"/>
        <w:ind w:right="-86"/>
        <w:rPr>
          <w:rFonts w:cs="Times New Roman"/>
          <w:szCs w:val="24"/>
          <w:lang w:val="en-US"/>
        </w:rPr>
      </w:pPr>
      <w:r>
        <w:rPr>
          <w:rFonts w:cs="Times New Roman"/>
          <w:szCs w:val="24"/>
          <w:lang w:val="en-US"/>
        </w:rPr>
        <w:lastRenderedPageBreak/>
        <w:t>R</w:t>
      </w:r>
      <w:r w:rsidR="009439E2" w:rsidRPr="009439E2">
        <w:rPr>
          <w:rFonts w:cs="Times New Roman"/>
          <w:szCs w:val="24"/>
          <w:lang w:val="en-US"/>
        </w:rPr>
        <w:t>eference</w:t>
      </w:r>
      <w:r w:rsidR="00306896">
        <w:rPr>
          <w:rFonts w:cs="Times New Roman"/>
          <w:szCs w:val="24"/>
          <w:lang w:val="en-US"/>
        </w:rPr>
        <w:t>s</w:t>
      </w:r>
      <w:r w:rsidR="009439E2" w:rsidRPr="009439E2">
        <w:rPr>
          <w:rFonts w:cs="Times New Roman"/>
          <w:szCs w:val="24"/>
          <w:lang w:val="en-US"/>
        </w:rPr>
        <w:t xml:space="preserve"> to “financ</w:t>
      </w:r>
      <w:bookmarkStart w:id="0" w:name="_GoBack"/>
      <w:bookmarkEnd w:id="0"/>
      <w:r w:rsidR="009439E2" w:rsidRPr="009439E2">
        <w:rPr>
          <w:rFonts w:cs="Times New Roman"/>
          <w:szCs w:val="24"/>
          <w:lang w:val="en-US"/>
        </w:rPr>
        <w:t xml:space="preserve">ial intermediary” </w:t>
      </w:r>
      <w:r w:rsidR="00E044E0">
        <w:rPr>
          <w:rFonts w:cs="Times New Roman"/>
          <w:szCs w:val="24"/>
          <w:lang w:val="en-US"/>
        </w:rPr>
        <w:t>in NI 31-</w:t>
      </w:r>
      <w:r w:rsidR="00BE6D96">
        <w:rPr>
          <w:rFonts w:cs="Times New Roman"/>
          <w:szCs w:val="24"/>
          <w:lang w:val="en-US"/>
        </w:rPr>
        <w:t xml:space="preserve">103 </w:t>
      </w:r>
      <w:r w:rsidR="00C251F1">
        <w:rPr>
          <w:rFonts w:cs="Times New Roman"/>
          <w:szCs w:val="24"/>
          <w:lang w:val="en-US"/>
        </w:rPr>
        <w:t xml:space="preserve">and NI 45-106 </w:t>
      </w:r>
      <w:r w:rsidR="009439E2" w:rsidRPr="009439E2">
        <w:rPr>
          <w:rFonts w:cs="Times New Roman"/>
          <w:szCs w:val="24"/>
          <w:lang w:val="en-US"/>
        </w:rPr>
        <w:t xml:space="preserve">are </w:t>
      </w:r>
      <w:r w:rsidR="005D50EF">
        <w:rPr>
          <w:rFonts w:cs="Times New Roman"/>
          <w:szCs w:val="24"/>
          <w:lang w:val="en-US"/>
        </w:rPr>
        <w:t>removed</w:t>
      </w:r>
      <w:r w:rsidR="009439E2" w:rsidRPr="009439E2">
        <w:rPr>
          <w:rFonts w:cs="Times New Roman"/>
          <w:szCs w:val="24"/>
          <w:lang w:val="en-US"/>
        </w:rPr>
        <w:t xml:space="preserve"> since that expression is narrower than “Canadian financial institution” and thus not necessary</w:t>
      </w:r>
      <w:r>
        <w:rPr>
          <w:rFonts w:cs="Times New Roman"/>
          <w:szCs w:val="24"/>
          <w:lang w:val="en-US"/>
        </w:rPr>
        <w:t>.</w:t>
      </w:r>
    </w:p>
    <w:p w14:paraId="0FBDD54D" w14:textId="77777777" w:rsidR="00EA5EE9" w:rsidRDefault="00472718" w:rsidP="002A5B0D">
      <w:pPr>
        <w:pStyle w:val="ListParagraph"/>
        <w:numPr>
          <w:ilvl w:val="0"/>
          <w:numId w:val="15"/>
        </w:numPr>
        <w:spacing w:after="0"/>
        <w:ind w:right="-86"/>
        <w:rPr>
          <w:rFonts w:cs="Times New Roman"/>
          <w:szCs w:val="24"/>
          <w:lang w:val="en-US"/>
        </w:rPr>
      </w:pPr>
      <w:r w:rsidRPr="00EA5EE9">
        <w:rPr>
          <w:rFonts w:cs="Times New Roman"/>
          <w:szCs w:val="24"/>
          <w:lang w:val="en-US"/>
        </w:rPr>
        <w:t>T</w:t>
      </w:r>
      <w:r w:rsidR="009439E2" w:rsidRPr="00EA5EE9">
        <w:rPr>
          <w:rFonts w:cs="Times New Roman"/>
          <w:szCs w:val="24"/>
          <w:lang w:val="en-US"/>
        </w:rPr>
        <w:t>he definit</w:t>
      </w:r>
      <w:r w:rsidR="00A335D2" w:rsidRPr="00EA5EE9">
        <w:rPr>
          <w:rFonts w:cs="Times New Roman"/>
          <w:szCs w:val="24"/>
          <w:lang w:val="en-US"/>
        </w:rPr>
        <w:t>ion of “bank” in NI 45-106 is</w:t>
      </w:r>
      <w:r w:rsidR="009439E2" w:rsidRPr="00EA5EE9">
        <w:rPr>
          <w:rFonts w:cs="Times New Roman"/>
          <w:szCs w:val="24"/>
          <w:lang w:val="en-US"/>
        </w:rPr>
        <w:t xml:space="preserve"> not necessary in light of the prop</w:t>
      </w:r>
      <w:r w:rsidR="00A335D2" w:rsidRPr="00EA5EE9">
        <w:rPr>
          <w:rFonts w:cs="Times New Roman"/>
          <w:szCs w:val="24"/>
          <w:lang w:val="en-US"/>
        </w:rPr>
        <w:t>osed exclusion of Schedule III B</w:t>
      </w:r>
      <w:r w:rsidR="009439E2" w:rsidRPr="00EA5EE9">
        <w:rPr>
          <w:rFonts w:cs="Times New Roman"/>
          <w:szCs w:val="24"/>
          <w:lang w:val="en-US"/>
        </w:rPr>
        <w:t>anks from the definition of “Canadian financial institution” in NI</w:t>
      </w:r>
    </w:p>
    <w:p w14:paraId="79B522A8" w14:textId="33531E1D" w:rsidR="009439E2" w:rsidRPr="00EA5EE9" w:rsidRDefault="00EA5EE9" w:rsidP="002A5B0D">
      <w:pPr>
        <w:spacing w:after="0"/>
        <w:ind w:left="780" w:right="-86" w:hanging="360"/>
        <w:rPr>
          <w:rFonts w:cs="Times New Roman"/>
          <w:szCs w:val="24"/>
          <w:lang w:val="en-US"/>
        </w:rPr>
      </w:pPr>
      <w:r>
        <w:rPr>
          <w:rFonts w:cs="Times New Roman"/>
          <w:szCs w:val="24"/>
          <w:lang w:val="en-US"/>
        </w:rPr>
        <w:tab/>
      </w:r>
      <w:r w:rsidR="009439E2" w:rsidRPr="00EA5EE9">
        <w:rPr>
          <w:rFonts w:cs="Times New Roman"/>
          <w:szCs w:val="24"/>
          <w:lang w:val="en-US"/>
        </w:rPr>
        <w:t>14-10</w:t>
      </w:r>
      <w:r w:rsidR="00B477CD" w:rsidRPr="00EA5EE9">
        <w:rPr>
          <w:rFonts w:cs="Times New Roman"/>
          <w:szCs w:val="24"/>
          <w:lang w:val="en-US"/>
        </w:rPr>
        <w:t>1</w:t>
      </w:r>
      <w:r w:rsidR="009439E2" w:rsidRPr="00EA5EE9">
        <w:rPr>
          <w:rFonts w:cs="Times New Roman"/>
          <w:szCs w:val="24"/>
          <w:lang w:val="en-US"/>
        </w:rPr>
        <w:t>.</w:t>
      </w:r>
    </w:p>
    <w:p w14:paraId="6CC0FED0" w14:textId="77777777" w:rsidR="009439E2" w:rsidRDefault="009439E2" w:rsidP="003B09B3">
      <w:pPr>
        <w:spacing w:after="0"/>
        <w:jc w:val="both"/>
        <w:rPr>
          <w:rFonts w:cs="Times New Roman"/>
          <w:szCs w:val="24"/>
          <w:lang w:val="en-US"/>
        </w:rPr>
      </w:pPr>
    </w:p>
    <w:tbl>
      <w:tblPr>
        <w:tblStyle w:val="TableGrid"/>
        <w:tblW w:w="9563" w:type="dxa"/>
        <w:tblInd w:w="-5" w:type="dxa"/>
        <w:shd w:val="clear" w:color="auto" w:fill="D4D8C2"/>
        <w:tblLook w:val="04A0" w:firstRow="1" w:lastRow="0" w:firstColumn="1" w:lastColumn="0" w:noHBand="0" w:noVBand="1"/>
      </w:tblPr>
      <w:tblGrid>
        <w:gridCol w:w="9563"/>
      </w:tblGrid>
      <w:tr w:rsidR="00CD0D6C" w:rsidRPr="000E6624" w14:paraId="70A02F41" w14:textId="77777777" w:rsidTr="00CE343A">
        <w:trPr>
          <w:trHeight w:val="431"/>
        </w:trPr>
        <w:tc>
          <w:tcPr>
            <w:tcW w:w="9563" w:type="dxa"/>
            <w:tcBorders>
              <w:top w:val="single" w:sz="4" w:space="0" w:color="auto"/>
              <w:left w:val="single" w:sz="4" w:space="0" w:color="auto"/>
              <w:bottom w:val="single" w:sz="4" w:space="0" w:color="auto"/>
              <w:right w:val="single" w:sz="4" w:space="0" w:color="auto"/>
            </w:tcBorders>
            <w:shd w:val="clear" w:color="auto" w:fill="D4D8C2"/>
            <w:hideMark/>
          </w:tcPr>
          <w:p w14:paraId="2B0EC4C9" w14:textId="68A5535F" w:rsidR="00CD0D6C" w:rsidRPr="000E6624" w:rsidRDefault="00CD0D6C" w:rsidP="00CD0D6C">
            <w:pPr>
              <w:keepNext/>
              <w:spacing w:before="120"/>
              <w:ind w:right="-86"/>
              <w:rPr>
                <w:rFonts w:cs="Times New Roman"/>
                <w:b/>
                <w:szCs w:val="24"/>
                <w:lang w:val="en-US"/>
              </w:rPr>
            </w:pPr>
            <w:r>
              <w:rPr>
                <w:rFonts w:cs="Times New Roman"/>
                <w:b/>
                <w:szCs w:val="24"/>
                <w:lang w:val="en-US"/>
              </w:rPr>
              <w:t xml:space="preserve">PART </w:t>
            </w:r>
            <w:r w:rsidR="00054154">
              <w:rPr>
                <w:rFonts w:cs="Times New Roman"/>
                <w:b/>
                <w:szCs w:val="24"/>
                <w:lang w:val="en-US"/>
              </w:rPr>
              <w:t>5</w:t>
            </w:r>
            <w:r>
              <w:rPr>
                <w:rFonts w:cs="Times New Roman"/>
                <w:b/>
                <w:szCs w:val="24"/>
                <w:lang w:val="en-US"/>
              </w:rPr>
              <w:t xml:space="preserve"> – </w:t>
            </w:r>
            <w:r w:rsidR="00865DF7">
              <w:rPr>
                <w:rFonts w:cs="Times New Roman"/>
                <w:b/>
                <w:szCs w:val="24"/>
                <w:lang w:val="en-US"/>
              </w:rPr>
              <w:t>Request for Comments</w:t>
            </w:r>
          </w:p>
        </w:tc>
      </w:tr>
    </w:tbl>
    <w:p w14:paraId="4C41C174" w14:textId="77777777" w:rsidR="00CD0D6C" w:rsidRDefault="00CD0D6C" w:rsidP="00CD0D6C">
      <w:pPr>
        <w:keepNext/>
        <w:spacing w:after="0"/>
        <w:ind w:right="-90"/>
        <w:rPr>
          <w:rFonts w:cs="Times New Roman"/>
          <w:szCs w:val="24"/>
          <w:lang w:val="en-US"/>
        </w:rPr>
      </w:pPr>
    </w:p>
    <w:p w14:paraId="5F3DC220" w14:textId="44483B5C" w:rsidR="00645DFE" w:rsidRDefault="00865DF7" w:rsidP="007E782A">
      <w:pPr>
        <w:spacing w:after="0"/>
        <w:ind w:right="-90"/>
        <w:rPr>
          <w:rFonts w:cs="Times New Roman"/>
          <w:szCs w:val="24"/>
          <w:lang w:val="en-US"/>
        </w:rPr>
      </w:pPr>
      <w:r>
        <w:rPr>
          <w:rFonts w:cs="Times New Roman"/>
          <w:szCs w:val="24"/>
          <w:lang w:val="en-US"/>
        </w:rPr>
        <w:t>We welcome comments on the Proposed Amendments</w:t>
      </w:r>
      <w:r w:rsidR="0019121A">
        <w:rPr>
          <w:rFonts w:cs="Times New Roman"/>
          <w:szCs w:val="24"/>
          <w:lang w:val="en-US"/>
        </w:rPr>
        <w:t>,</w:t>
      </w:r>
      <w:r w:rsidR="008D7409">
        <w:rPr>
          <w:rFonts w:cs="Times New Roman"/>
          <w:szCs w:val="24"/>
          <w:lang w:val="en-US"/>
        </w:rPr>
        <w:t xml:space="preserve"> as well as comment</w:t>
      </w:r>
      <w:r w:rsidR="00045BDD">
        <w:rPr>
          <w:rFonts w:cs="Times New Roman"/>
          <w:szCs w:val="24"/>
          <w:lang w:val="en-US"/>
        </w:rPr>
        <w:t>s</w:t>
      </w:r>
      <w:r w:rsidR="008D7409">
        <w:rPr>
          <w:rFonts w:cs="Times New Roman"/>
          <w:szCs w:val="24"/>
          <w:lang w:val="en-US"/>
        </w:rPr>
        <w:t xml:space="preserve"> (where applicable) on </w:t>
      </w:r>
      <w:r w:rsidR="00980D3C">
        <w:rPr>
          <w:rFonts w:cs="Times New Roman"/>
          <w:szCs w:val="24"/>
          <w:lang w:val="en-US"/>
        </w:rPr>
        <w:t xml:space="preserve">the </w:t>
      </w:r>
      <w:r w:rsidR="008D7409">
        <w:rPr>
          <w:rFonts w:cs="Times New Roman"/>
          <w:szCs w:val="24"/>
          <w:lang w:val="en-US"/>
        </w:rPr>
        <w:t xml:space="preserve">proposals in </w:t>
      </w:r>
      <w:r w:rsidR="00045BDD">
        <w:rPr>
          <w:rFonts w:cs="Times New Roman"/>
          <w:szCs w:val="24"/>
          <w:lang w:val="en-US"/>
        </w:rPr>
        <w:t>Annex</w:t>
      </w:r>
      <w:r w:rsidR="0090425E">
        <w:rPr>
          <w:rFonts w:cs="Times New Roman"/>
          <w:szCs w:val="24"/>
          <w:lang w:val="en-US"/>
        </w:rPr>
        <w:t xml:space="preserve"> </w:t>
      </w:r>
      <w:r w:rsidR="00615DDA">
        <w:rPr>
          <w:rFonts w:cs="Times New Roman"/>
          <w:szCs w:val="24"/>
          <w:lang w:val="en-US"/>
        </w:rPr>
        <w:t>F</w:t>
      </w:r>
      <w:r w:rsidR="00B03416">
        <w:rPr>
          <w:rFonts w:cs="Times New Roman"/>
          <w:szCs w:val="24"/>
          <w:lang w:val="en-US"/>
        </w:rPr>
        <w:t>.</w:t>
      </w:r>
    </w:p>
    <w:p w14:paraId="430B1348" w14:textId="1AEF77CF" w:rsidR="00865DF7" w:rsidRDefault="00865DF7" w:rsidP="007E782A">
      <w:pPr>
        <w:spacing w:after="0"/>
        <w:ind w:right="-90"/>
        <w:rPr>
          <w:rFonts w:cs="Times New Roman"/>
          <w:szCs w:val="24"/>
          <w:lang w:val="en-US"/>
        </w:rPr>
      </w:pPr>
    </w:p>
    <w:p w14:paraId="6FD411F2" w14:textId="77C552C9" w:rsidR="00865DF7" w:rsidRDefault="00865DF7" w:rsidP="007E782A">
      <w:pPr>
        <w:spacing w:after="0"/>
        <w:ind w:right="-90"/>
      </w:pPr>
      <w:r>
        <w:rPr>
          <w:rFonts w:cs="Times New Roman"/>
          <w:szCs w:val="24"/>
          <w:lang w:val="en-US"/>
        </w:rPr>
        <w:t xml:space="preserve">Please submit your comments in writing on or before </w:t>
      </w:r>
      <w:r w:rsidR="00E70797">
        <w:rPr>
          <w:rFonts w:cs="Times New Roman"/>
          <w:szCs w:val="24"/>
          <w:lang w:val="en-US"/>
        </w:rPr>
        <w:t>July 21</w:t>
      </w:r>
      <w:r w:rsidR="0005284E" w:rsidRPr="0005284E">
        <w:rPr>
          <w:rFonts w:cs="Times New Roman"/>
          <w:szCs w:val="24"/>
          <w:lang w:val="en-US"/>
        </w:rPr>
        <w:t>,</w:t>
      </w:r>
      <w:r w:rsidRPr="00865DF7">
        <w:rPr>
          <w:rFonts w:cs="Times New Roman"/>
          <w:szCs w:val="24"/>
        </w:rPr>
        <w:t xml:space="preserve"> 20</w:t>
      </w:r>
      <w:r w:rsidR="003E1F6B">
        <w:rPr>
          <w:rFonts w:cs="Times New Roman"/>
          <w:szCs w:val="24"/>
        </w:rPr>
        <w:t>21</w:t>
      </w:r>
      <w:r w:rsidRPr="008F7635">
        <w:t>.</w:t>
      </w:r>
    </w:p>
    <w:p w14:paraId="1ADF9421" w14:textId="77777777" w:rsidR="00EA0AFA" w:rsidRDefault="00EA0AFA" w:rsidP="00865DF7">
      <w:pPr>
        <w:pStyle w:val="Default"/>
        <w:jc w:val="both"/>
      </w:pPr>
    </w:p>
    <w:p w14:paraId="7D442CF7" w14:textId="55D30124" w:rsidR="00865DF7" w:rsidRPr="008F7635" w:rsidRDefault="00865DF7" w:rsidP="00865DF7">
      <w:pPr>
        <w:pStyle w:val="Default"/>
        <w:jc w:val="both"/>
      </w:pPr>
      <w:r w:rsidRPr="008F7635">
        <w:t xml:space="preserve">Address your submission to all of the CSA as follows: </w:t>
      </w:r>
    </w:p>
    <w:p w14:paraId="3B7DF0F3" w14:textId="77777777" w:rsidR="00865DF7" w:rsidRPr="008F7635" w:rsidRDefault="00865DF7" w:rsidP="00865DF7">
      <w:pPr>
        <w:pStyle w:val="Default"/>
        <w:jc w:val="both"/>
      </w:pPr>
    </w:p>
    <w:p w14:paraId="69915F6F" w14:textId="77777777" w:rsidR="00865DF7" w:rsidRPr="008F7635" w:rsidRDefault="00865DF7" w:rsidP="00865DF7">
      <w:pPr>
        <w:pStyle w:val="Default"/>
        <w:jc w:val="both"/>
      </w:pPr>
      <w:bookmarkStart w:id="1" w:name="_Hlk5345136"/>
      <w:r w:rsidRPr="008F7635">
        <w:t xml:space="preserve">British Columbia Securities Commission </w:t>
      </w:r>
    </w:p>
    <w:p w14:paraId="09071845" w14:textId="77777777" w:rsidR="00865DF7" w:rsidRPr="008F7635" w:rsidRDefault="00865DF7" w:rsidP="00865DF7">
      <w:pPr>
        <w:pStyle w:val="Default"/>
        <w:jc w:val="both"/>
      </w:pPr>
      <w:r w:rsidRPr="008F7635">
        <w:t xml:space="preserve">Alberta Securities Commission </w:t>
      </w:r>
    </w:p>
    <w:p w14:paraId="703AB49A" w14:textId="77777777" w:rsidR="00865DF7" w:rsidRPr="008F7635" w:rsidRDefault="00865DF7" w:rsidP="00865DF7">
      <w:pPr>
        <w:pStyle w:val="Default"/>
        <w:jc w:val="both"/>
      </w:pPr>
      <w:r w:rsidRPr="008F7635">
        <w:t xml:space="preserve">Financial and Consumer Affairs Authority of Saskatchewan </w:t>
      </w:r>
    </w:p>
    <w:p w14:paraId="172F783A" w14:textId="77777777" w:rsidR="00865DF7" w:rsidRPr="00865DF7" w:rsidRDefault="00865DF7" w:rsidP="00865DF7">
      <w:pPr>
        <w:pStyle w:val="Default"/>
        <w:jc w:val="both"/>
        <w:rPr>
          <w:lang w:val="fr-CA"/>
        </w:rPr>
      </w:pPr>
      <w:r w:rsidRPr="00865DF7">
        <w:rPr>
          <w:lang w:val="fr-CA"/>
        </w:rPr>
        <w:t xml:space="preserve">Manitoba Securities Commission </w:t>
      </w:r>
    </w:p>
    <w:p w14:paraId="1323FB5A" w14:textId="77777777" w:rsidR="00865DF7" w:rsidRPr="00865DF7" w:rsidRDefault="00865DF7" w:rsidP="00865DF7">
      <w:pPr>
        <w:pStyle w:val="Default"/>
        <w:jc w:val="both"/>
        <w:rPr>
          <w:lang w:val="fr-CA"/>
        </w:rPr>
      </w:pPr>
      <w:r w:rsidRPr="00865DF7">
        <w:rPr>
          <w:lang w:val="fr-CA"/>
        </w:rPr>
        <w:t xml:space="preserve">Ontario Securities Commission </w:t>
      </w:r>
    </w:p>
    <w:p w14:paraId="666E5A99" w14:textId="77777777" w:rsidR="00865DF7" w:rsidRPr="00865DF7" w:rsidRDefault="00865DF7" w:rsidP="00865DF7">
      <w:pPr>
        <w:pStyle w:val="Default"/>
        <w:jc w:val="both"/>
        <w:rPr>
          <w:lang w:val="fr-CA"/>
        </w:rPr>
      </w:pPr>
      <w:r w:rsidRPr="00865DF7">
        <w:rPr>
          <w:lang w:val="fr-CA"/>
        </w:rPr>
        <w:t xml:space="preserve">Autorité des marchés financiers </w:t>
      </w:r>
    </w:p>
    <w:p w14:paraId="3296948C" w14:textId="77777777" w:rsidR="00865DF7" w:rsidRDefault="00865DF7" w:rsidP="00865DF7">
      <w:pPr>
        <w:pStyle w:val="Default"/>
        <w:jc w:val="both"/>
      </w:pPr>
      <w:r w:rsidRPr="00945697">
        <w:t>Financial and Consumer Services Commission (New Brunswick)</w:t>
      </w:r>
      <w:r w:rsidRPr="008F7635">
        <w:t xml:space="preserve"> </w:t>
      </w:r>
    </w:p>
    <w:p w14:paraId="55CD8717" w14:textId="27A02449" w:rsidR="00865DF7" w:rsidRPr="008F7635" w:rsidRDefault="008B4633" w:rsidP="00893C11">
      <w:pPr>
        <w:pStyle w:val="Default"/>
      </w:pPr>
      <w:r>
        <w:t xml:space="preserve">Superintendent of Securities, </w:t>
      </w:r>
      <w:r w:rsidR="00865DF7" w:rsidRPr="008F7635">
        <w:t xml:space="preserve">Department of Justice and Public Safety, Prince Edward Island </w:t>
      </w:r>
    </w:p>
    <w:p w14:paraId="48C45B17" w14:textId="77777777" w:rsidR="00865DF7" w:rsidRPr="008F7635" w:rsidRDefault="00865DF7" w:rsidP="00865DF7">
      <w:pPr>
        <w:pStyle w:val="Default"/>
        <w:jc w:val="both"/>
      </w:pPr>
      <w:r w:rsidRPr="008F7635">
        <w:t xml:space="preserve">Nova Scotia Securities Commission </w:t>
      </w:r>
    </w:p>
    <w:p w14:paraId="2FE7641D" w14:textId="27FEA46A" w:rsidR="00865DF7" w:rsidRPr="008F7635" w:rsidRDefault="00865DF7" w:rsidP="00865DF7">
      <w:pPr>
        <w:pStyle w:val="Default"/>
        <w:jc w:val="both"/>
      </w:pPr>
      <w:r w:rsidRPr="008F7635">
        <w:t>S</w:t>
      </w:r>
      <w:r w:rsidR="008B4633">
        <w:t>uperintendent of Securities,</w:t>
      </w:r>
      <w:r w:rsidRPr="008F7635">
        <w:t xml:space="preserve"> Newfoundland and Labrador </w:t>
      </w:r>
    </w:p>
    <w:p w14:paraId="5AF86F72" w14:textId="759F5FD4" w:rsidR="00865DF7" w:rsidRPr="008F7635" w:rsidRDefault="00865DF7" w:rsidP="00865DF7">
      <w:pPr>
        <w:pStyle w:val="Default"/>
        <w:jc w:val="both"/>
      </w:pPr>
      <w:r w:rsidRPr="008F7635">
        <w:t xml:space="preserve">Superintendent of Securities, Northwest Territories </w:t>
      </w:r>
    </w:p>
    <w:p w14:paraId="07D84A20" w14:textId="39D3243F" w:rsidR="00865DF7" w:rsidRPr="008F7635" w:rsidRDefault="00865DF7" w:rsidP="00865DF7">
      <w:pPr>
        <w:pStyle w:val="Default"/>
        <w:jc w:val="both"/>
      </w:pPr>
      <w:r w:rsidRPr="008F7635">
        <w:t xml:space="preserve">Superintendent of Securities, Yukon </w:t>
      </w:r>
      <w:r w:rsidR="008B4633">
        <w:t>Territory</w:t>
      </w:r>
    </w:p>
    <w:p w14:paraId="0FA05BB6" w14:textId="74D3A461" w:rsidR="00865DF7" w:rsidRDefault="00865DF7" w:rsidP="00865DF7">
      <w:pPr>
        <w:pStyle w:val="Default"/>
        <w:jc w:val="both"/>
      </w:pPr>
      <w:r w:rsidRPr="008F7635">
        <w:t xml:space="preserve">Superintendent of Securities, Nunavut </w:t>
      </w:r>
    </w:p>
    <w:bookmarkEnd w:id="1"/>
    <w:p w14:paraId="15EAFD6E" w14:textId="77777777" w:rsidR="00865DF7" w:rsidRDefault="00865DF7" w:rsidP="00865DF7">
      <w:pPr>
        <w:pStyle w:val="Default"/>
        <w:jc w:val="both"/>
      </w:pPr>
    </w:p>
    <w:p w14:paraId="73093428" w14:textId="0222FEDB" w:rsidR="00865DF7" w:rsidRPr="008F7635" w:rsidRDefault="00865DF7" w:rsidP="00893C11">
      <w:pPr>
        <w:pStyle w:val="Default"/>
      </w:pPr>
      <w:r w:rsidRPr="008F7635">
        <w:t>Deliver your comments only to the addresses listed below. Your comments will be distributed to the other CSA jurisdictions.</w:t>
      </w:r>
    </w:p>
    <w:p w14:paraId="4322E282" w14:textId="77777777" w:rsidR="00865DF7" w:rsidRPr="008F7635" w:rsidRDefault="00865DF7" w:rsidP="00865DF7">
      <w:pPr>
        <w:pStyle w:val="Default"/>
        <w:jc w:val="both"/>
      </w:pPr>
    </w:p>
    <w:p w14:paraId="2C58785C" w14:textId="77777777" w:rsidR="00865DF7" w:rsidRDefault="00865DF7" w:rsidP="00AC1854">
      <w:pPr>
        <w:pStyle w:val="Default"/>
        <w:keepNext/>
        <w:jc w:val="both"/>
      </w:pPr>
      <w:r w:rsidRPr="008F7635">
        <w:t xml:space="preserve">The Secretary </w:t>
      </w:r>
    </w:p>
    <w:p w14:paraId="590E20CF" w14:textId="77777777" w:rsidR="00865DF7" w:rsidRPr="008F7635" w:rsidRDefault="00865DF7" w:rsidP="00AC1854">
      <w:pPr>
        <w:pStyle w:val="Default"/>
        <w:keepNext/>
        <w:jc w:val="both"/>
      </w:pPr>
      <w:r w:rsidRPr="008F7635">
        <w:t xml:space="preserve">Ontario Securities Commission </w:t>
      </w:r>
    </w:p>
    <w:p w14:paraId="0E0D98AB" w14:textId="77777777" w:rsidR="00865DF7" w:rsidRPr="008F7635" w:rsidRDefault="00865DF7" w:rsidP="00AC1854">
      <w:pPr>
        <w:pStyle w:val="Default"/>
        <w:keepNext/>
        <w:jc w:val="both"/>
      </w:pPr>
      <w:r w:rsidRPr="008F7635">
        <w:t xml:space="preserve">20 Queen Street West </w:t>
      </w:r>
    </w:p>
    <w:p w14:paraId="3AA68813" w14:textId="13ECC27C" w:rsidR="00865DF7" w:rsidRPr="008F7635" w:rsidRDefault="00865DF7" w:rsidP="00AC1854">
      <w:pPr>
        <w:pStyle w:val="Default"/>
        <w:keepNext/>
        <w:jc w:val="both"/>
      </w:pPr>
      <w:r w:rsidRPr="008F7635">
        <w:t>22nd Floor</w:t>
      </w:r>
      <w:r w:rsidR="00DF6ADC">
        <w:t>, Box 55</w:t>
      </w:r>
      <w:r w:rsidRPr="008F7635">
        <w:t xml:space="preserve"> </w:t>
      </w:r>
    </w:p>
    <w:p w14:paraId="21BF2456" w14:textId="77777777" w:rsidR="00865DF7" w:rsidRPr="008F7635" w:rsidRDefault="00865DF7" w:rsidP="00AC1854">
      <w:pPr>
        <w:pStyle w:val="Default"/>
        <w:keepNext/>
        <w:jc w:val="both"/>
      </w:pPr>
      <w:r w:rsidRPr="008F7635">
        <w:t xml:space="preserve">Toronto, Ontario </w:t>
      </w:r>
    </w:p>
    <w:p w14:paraId="3CE1AC24" w14:textId="77777777" w:rsidR="00865DF7" w:rsidRPr="008F7635" w:rsidRDefault="00865DF7" w:rsidP="00AC1854">
      <w:pPr>
        <w:pStyle w:val="Default"/>
        <w:keepNext/>
        <w:jc w:val="both"/>
      </w:pPr>
      <w:r w:rsidRPr="008F7635">
        <w:t xml:space="preserve">M5H 3S8 </w:t>
      </w:r>
    </w:p>
    <w:p w14:paraId="3895C40F" w14:textId="77777777" w:rsidR="00865DF7" w:rsidRPr="00865DF7" w:rsidRDefault="00865DF7" w:rsidP="00AC1854">
      <w:pPr>
        <w:pStyle w:val="Default"/>
        <w:keepNext/>
        <w:jc w:val="both"/>
        <w:rPr>
          <w:lang w:val="fr-CA"/>
        </w:rPr>
      </w:pPr>
      <w:r w:rsidRPr="00865DF7">
        <w:rPr>
          <w:lang w:val="fr-CA"/>
        </w:rPr>
        <w:t xml:space="preserve">Fax: 416-593-2318 </w:t>
      </w:r>
    </w:p>
    <w:p w14:paraId="648F4B43" w14:textId="34B3506A" w:rsidR="00865DF7" w:rsidRDefault="004168E7" w:rsidP="00AC1854">
      <w:pPr>
        <w:pStyle w:val="Default"/>
        <w:keepNext/>
        <w:jc w:val="both"/>
        <w:rPr>
          <w:rFonts w:eastAsiaTheme="majorEastAsia"/>
          <w:lang w:val="fr-CA"/>
        </w:rPr>
      </w:pPr>
      <w:hyperlink r:id="rId9" w:history="1">
        <w:r w:rsidR="00827A04" w:rsidRPr="00921471">
          <w:rPr>
            <w:rStyle w:val="Hyperlink"/>
            <w:rFonts w:eastAsiaTheme="majorEastAsia"/>
            <w:lang w:val="fr-CA"/>
          </w:rPr>
          <w:t>comment@osc.gov.on.ca</w:t>
        </w:r>
      </w:hyperlink>
    </w:p>
    <w:p w14:paraId="405F7FD6" w14:textId="77777777" w:rsidR="004959F8" w:rsidRDefault="004959F8" w:rsidP="00865DF7">
      <w:pPr>
        <w:pStyle w:val="Default"/>
        <w:jc w:val="both"/>
        <w:rPr>
          <w:lang w:val="fr-CA"/>
        </w:rPr>
      </w:pPr>
    </w:p>
    <w:p w14:paraId="3B7735F8" w14:textId="5D8FD3ED" w:rsidR="009319F7" w:rsidRPr="00932B7F" w:rsidRDefault="00F47FCD" w:rsidP="00C206C2">
      <w:pPr>
        <w:pStyle w:val="Default"/>
        <w:keepNext/>
        <w:jc w:val="both"/>
      </w:pPr>
      <w:r>
        <w:lastRenderedPageBreak/>
        <w:t xml:space="preserve">Me </w:t>
      </w:r>
      <w:r w:rsidR="009319F7" w:rsidRPr="00932B7F">
        <w:t>Philippe Lebel</w:t>
      </w:r>
    </w:p>
    <w:p w14:paraId="675E2D54" w14:textId="77777777" w:rsidR="009319F7" w:rsidRPr="00932B7F" w:rsidRDefault="009319F7" w:rsidP="00C206C2">
      <w:pPr>
        <w:pStyle w:val="Default"/>
        <w:keepNext/>
        <w:jc w:val="both"/>
      </w:pPr>
      <w:r w:rsidRPr="00932B7F">
        <w:t>Corporate Secretary</w:t>
      </w:r>
      <w:r w:rsidRPr="00E9359B">
        <w:t xml:space="preserve"> </w:t>
      </w:r>
      <w:r w:rsidRPr="00932B7F">
        <w:t>and Executive Director, Legal Affairs</w:t>
      </w:r>
    </w:p>
    <w:p w14:paraId="22FDDF3C" w14:textId="77777777" w:rsidR="009319F7" w:rsidRPr="00865DF7" w:rsidRDefault="009319F7" w:rsidP="00C206C2">
      <w:pPr>
        <w:pStyle w:val="Default"/>
        <w:keepNext/>
        <w:jc w:val="both"/>
        <w:rPr>
          <w:lang w:val="fr-CA"/>
        </w:rPr>
      </w:pPr>
      <w:r w:rsidRPr="00865DF7">
        <w:rPr>
          <w:lang w:val="fr-CA"/>
        </w:rPr>
        <w:t>Autorité des marchés financiers</w:t>
      </w:r>
    </w:p>
    <w:p w14:paraId="0069D3F9" w14:textId="77777777" w:rsidR="009319F7" w:rsidRPr="00E9359B" w:rsidRDefault="009319F7" w:rsidP="00C206C2">
      <w:pPr>
        <w:pStyle w:val="Default"/>
        <w:keepNext/>
        <w:jc w:val="both"/>
        <w:rPr>
          <w:lang w:val="fr-CA"/>
        </w:rPr>
      </w:pPr>
      <w:r w:rsidRPr="00E9359B">
        <w:rPr>
          <w:lang w:val="fr-CA"/>
        </w:rPr>
        <w:t>Place de la Cité, tour Cominar</w:t>
      </w:r>
    </w:p>
    <w:p w14:paraId="76F59C65" w14:textId="77777777" w:rsidR="009319F7" w:rsidRPr="00E9359B" w:rsidRDefault="009319F7" w:rsidP="00C206C2">
      <w:pPr>
        <w:pStyle w:val="Default"/>
        <w:keepNext/>
        <w:jc w:val="both"/>
        <w:rPr>
          <w:lang w:val="fr-CA"/>
        </w:rPr>
      </w:pPr>
      <w:r w:rsidRPr="00E9359B">
        <w:rPr>
          <w:lang w:val="fr-CA"/>
        </w:rPr>
        <w:t>2640, boulevard Laurier, bureau 400</w:t>
      </w:r>
    </w:p>
    <w:p w14:paraId="477DBD96" w14:textId="77777777" w:rsidR="009319F7" w:rsidRPr="00E9359B" w:rsidRDefault="009319F7" w:rsidP="00C206C2">
      <w:pPr>
        <w:pStyle w:val="Default"/>
        <w:keepNext/>
        <w:jc w:val="both"/>
        <w:rPr>
          <w:lang w:val="fr-CA"/>
        </w:rPr>
      </w:pPr>
      <w:r w:rsidRPr="00E9359B">
        <w:rPr>
          <w:lang w:val="fr-CA"/>
        </w:rPr>
        <w:t>Québec (Québec) G1V 5C1</w:t>
      </w:r>
    </w:p>
    <w:p w14:paraId="3793C848" w14:textId="4697BAA3" w:rsidR="009319F7" w:rsidRDefault="009319F7" w:rsidP="00C206C2">
      <w:pPr>
        <w:pStyle w:val="Default"/>
        <w:keepNext/>
        <w:jc w:val="both"/>
        <w:rPr>
          <w:rFonts w:eastAsiaTheme="majorEastAsia"/>
          <w:lang w:val="fr-CA"/>
        </w:rPr>
      </w:pPr>
      <w:r w:rsidRPr="00E9359B">
        <w:rPr>
          <w:lang w:val="fr-CA"/>
        </w:rPr>
        <w:t>Fax : 514</w:t>
      </w:r>
      <w:r w:rsidR="00306896">
        <w:rPr>
          <w:lang w:val="fr-CA"/>
        </w:rPr>
        <w:t>-</w:t>
      </w:r>
      <w:r w:rsidRPr="00E9359B">
        <w:rPr>
          <w:lang w:val="fr-CA"/>
        </w:rPr>
        <w:t xml:space="preserve"> 864-</w:t>
      </w:r>
      <w:r>
        <w:rPr>
          <w:lang w:val="fr-CA"/>
        </w:rPr>
        <w:t>6</w:t>
      </w:r>
      <w:r w:rsidRPr="00E9359B">
        <w:rPr>
          <w:lang w:val="fr-CA"/>
        </w:rPr>
        <w:t>381</w:t>
      </w:r>
    </w:p>
    <w:p w14:paraId="643601EC" w14:textId="70BC44C9" w:rsidR="00C65805" w:rsidRDefault="004168E7" w:rsidP="00715EDA">
      <w:pPr>
        <w:pStyle w:val="Default"/>
        <w:jc w:val="both"/>
        <w:rPr>
          <w:rFonts w:eastAsiaTheme="majorEastAsia"/>
          <w:lang w:val="fr-CA"/>
        </w:rPr>
      </w:pPr>
      <w:hyperlink r:id="rId10" w:history="1">
        <w:r w:rsidR="00C65805" w:rsidRPr="0060130D">
          <w:rPr>
            <w:rStyle w:val="Hyperlink"/>
            <w:rFonts w:eastAsiaTheme="majorEastAsia"/>
            <w:lang w:val="fr-CA"/>
          </w:rPr>
          <w:t>consultation-en-cours@lautorite.qc.ca</w:t>
        </w:r>
      </w:hyperlink>
    </w:p>
    <w:p w14:paraId="2B2E3388" w14:textId="77777777" w:rsidR="00C65805" w:rsidRDefault="00C65805" w:rsidP="00715EDA">
      <w:pPr>
        <w:pStyle w:val="Default"/>
        <w:jc w:val="both"/>
        <w:rPr>
          <w:rFonts w:eastAsiaTheme="majorEastAsia"/>
          <w:lang w:val="fr-CA"/>
        </w:rPr>
      </w:pPr>
    </w:p>
    <w:p w14:paraId="3205B8EE" w14:textId="059E7654" w:rsidR="00715EDA" w:rsidRPr="008F7635" w:rsidRDefault="00715EDA" w:rsidP="00715EDA">
      <w:pPr>
        <w:pStyle w:val="Default"/>
        <w:jc w:val="both"/>
        <w:rPr>
          <w:b/>
        </w:rPr>
      </w:pPr>
      <w:r w:rsidRPr="008F7635">
        <w:rPr>
          <w:b/>
        </w:rPr>
        <w:t>Comments Received will be Publicly Available</w:t>
      </w:r>
    </w:p>
    <w:p w14:paraId="72228999" w14:textId="77777777" w:rsidR="00715EDA" w:rsidRPr="00715EDA" w:rsidRDefault="00715EDA" w:rsidP="007E782A">
      <w:pPr>
        <w:spacing w:after="0"/>
        <w:ind w:right="-90"/>
        <w:rPr>
          <w:rFonts w:cs="Times New Roman"/>
          <w:szCs w:val="24"/>
        </w:rPr>
      </w:pPr>
    </w:p>
    <w:p w14:paraId="524E24C8" w14:textId="1397CCFC" w:rsidR="00715EDA" w:rsidRPr="00715EDA" w:rsidRDefault="00715EDA" w:rsidP="00893C11">
      <w:pPr>
        <w:autoSpaceDE w:val="0"/>
        <w:autoSpaceDN w:val="0"/>
        <w:snapToGrid w:val="0"/>
        <w:rPr>
          <w:rFonts w:cs="Times New Roman"/>
          <w:color w:val="000000"/>
          <w:szCs w:val="24"/>
          <w:lang w:val="x-none"/>
        </w:rPr>
      </w:pPr>
      <w:r w:rsidRPr="00715EDA">
        <w:rPr>
          <w:rFonts w:cs="Times New Roman"/>
          <w:color w:val="000000"/>
          <w:szCs w:val="24"/>
          <w:lang w:val="x-none"/>
        </w:rPr>
        <w:t xml:space="preserve">We cannot keep submissions confidential because securities legislation in certain provinces requires publication of the written comments received during the comment period. All comments received will be posted on the websites of each of the Alberta Securities Commission at </w:t>
      </w:r>
      <w:r w:rsidRPr="00F57B7A">
        <w:rPr>
          <w:rFonts w:cs="Times New Roman"/>
          <w:szCs w:val="24"/>
          <w:lang w:val="x-none"/>
        </w:rPr>
        <w:t>www.albertasecurities.com</w:t>
      </w:r>
      <w:r w:rsidRPr="00715EDA">
        <w:rPr>
          <w:rFonts w:cs="Times New Roman"/>
          <w:color w:val="000000"/>
          <w:szCs w:val="24"/>
          <w:lang w:val="x-none"/>
        </w:rPr>
        <w:t xml:space="preserve">, the Autorité des marchés financiers at </w:t>
      </w:r>
      <w:r w:rsidRPr="00F57B7A">
        <w:rPr>
          <w:rFonts w:cs="Times New Roman"/>
          <w:szCs w:val="24"/>
          <w:lang w:val="x-none"/>
        </w:rPr>
        <w:t>www.lautorite.qc.ca</w:t>
      </w:r>
      <w:r w:rsidRPr="00715EDA">
        <w:rPr>
          <w:rFonts w:cs="Times New Roman"/>
          <w:color w:val="000000"/>
          <w:szCs w:val="24"/>
          <w:lang w:val="x-none"/>
        </w:rPr>
        <w:t xml:space="preserve"> and the </w:t>
      </w:r>
      <w:r w:rsidR="000E7920">
        <w:rPr>
          <w:rFonts w:cs="Times New Roman"/>
          <w:color w:val="000000"/>
          <w:szCs w:val="24"/>
          <w:lang w:val="en-US"/>
        </w:rPr>
        <w:t xml:space="preserve"> </w:t>
      </w:r>
      <w:r w:rsidR="00306896">
        <w:rPr>
          <w:rFonts w:cs="Times New Roman"/>
          <w:color w:val="000000"/>
          <w:szCs w:val="24"/>
          <w:lang w:val="en-US"/>
        </w:rPr>
        <w:t xml:space="preserve">Ontario Securities Commission </w:t>
      </w:r>
      <w:r w:rsidRPr="00715EDA">
        <w:rPr>
          <w:rFonts w:cs="Times New Roman"/>
          <w:color w:val="000000"/>
          <w:szCs w:val="24"/>
          <w:lang w:val="x-none"/>
        </w:rPr>
        <w:t xml:space="preserve">at </w:t>
      </w:r>
      <w:r w:rsidRPr="00F57B7A">
        <w:rPr>
          <w:rFonts w:cs="Times New Roman"/>
          <w:szCs w:val="24"/>
          <w:lang w:val="x-none"/>
        </w:rPr>
        <w:t>www.osc.gov.on.ca</w:t>
      </w:r>
      <w:r w:rsidRPr="00715EDA">
        <w:rPr>
          <w:rFonts w:cs="Times New Roman"/>
          <w:color w:val="000000"/>
          <w:szCs w:val="24"/>
          <w:lang w:val="x-none"/>
        </w:rPr>
        <w:t>. Therefore, you should not include personal information directly in comments to be published. It is important that you state on whose behalf you are making the submission.</w:t>
      </w:r>
    </w:p>
    <w:p w14:paraId="38C1A85D" w14:textId="77777777" w:rsidR="00865DF7" w:rsidRPr="00715EDA" w:rsidRDefault="00865DF7" w:rsidP="007E782A">
      <w:pPr>
        <w:spacing w:after="0"/>
        <w:ind w:right="-90"/>
        <w:rPr>
          <w:rFonts w:cs="Times New Roman"/>
          <w:szCs w:val="24"/>
        </w:rPr>
      </w:pPr>
    </w:p>
    <w:tbl>
      <w:tblPr>
        <w:tblStyle w:val="TableGrid"/>
        <w:tblW w:w="9563" w:type="dxa"/>
        <w:tblInd w:w="-5" w:type="dxa"/>
        <w:shd w:val="clear" w:color="auto" w:fill="D4D8C2"/>
        <w:tblLook w:val="04A0" w:firstRow="1" w:lastRow="0" w:firstColumn="1" w:lastColumn="0" w:noHBand="0" w:noVBand="1"/>
      </w:tblPr>
      <w:tblGrid>
        <w:gridCol w:w="9563"/>
      </w:tblGrid>
      <w:tr w:rsidR="004A258C" w:rsidRPr="000E6624" w14:paraId="2F800A17" w14:textId="77777777" w:rsidTr="00CE343A">
        <w:trPr>
          <w:trHeight w:val="341"/>
        </w:trPr>
        <w:tc>
          <w:tcPr>
            <w:tcW w:w="9563" w:type="dxa"/>
            <w:tcBorders>
              <w:top w:val="single" w:sz="4" w:space="0" w:color="auto"/>
              <w:left w:val="single" w:sz="4" w:space="0" w:color="auto"/>
              <w:bottom w:val="single" w:sz="4" w:space="0" w:color="auto"/>
              <w:right w:val="single" w:sz="4" w:space="0" w:color="auto"/>
            </w:tcBorders>
            <w:shd w:val="clear" w:color="auto" w:fill="D4D8C2"/>
            <w:hideMark/>
          </w:tcPr>
          <w:p w14:paraId="5F4D31E5" w14:textId="0E4270F6" w:rsidR="004A258C" w:rsidRPr="000E6624" w:rsidRDefault="00CC3BB7" w:rsidP="007E782A">
            <w:pPr>
              <w:spacing w:before="120"/>
              <w:ind w:right="-86"/>
              <w:rPr>
                <w:rFonts w:cs="Times New Roman"/>
                <w:b/>
                <w:szCs w:val="24"/>
                <w:lang w:val="en-US"/>
              </w:rPr>
            </w:pPr>
            <w:r>
              <w:rPr>
                <w:rFonts w:cs="Times New Roman"/>
                <w:b/>
                <w:szCs w:val="24"/>
                <w:lang w:val="en-US"/>
              </w:rPr>
              <w:t xml:space="preserve">PART </w:t>
            </w:r>
            <w:r w:rsidR="0090403C">
              <w:rPr>
                <w:rFonts w:cs="Times New Roman"/>
                <w:b/>
                <w:szCs w:val="24"/>
                <w:lang w:val="en-US"/>
              </w:rPr>
              <w:t>6</w:t>
            </w:r>
            <w:r w:rsidR="00177645">
              <w:rPr>
                <w:rFonts w:cs="Times New Roman"/>
                <w:b/>
                <w:szCs w:val="24"/>
                <w:lang w:val="en-US"/>
              </w:rPr>
              <w:t xml:space="preserve"> – </w:t>
            </w:r>
            <w:r w:rsidR="004A258C">
              <w:rPr>
                <w:rFonts w:cs="Times New Roman"/>
                <w:b/>
                <w:szCs w:val="24"/>
                <w:lang w:val="en-US"/>
              </w:rPr>
              <w:t>Questions</w:t>
            </w:r>
            <w:r w:rsidR="004A258C" w:rsidRPr="000E6624">
              <w:rPr>
                <w:rFonts w:cs="Times New Roman"/>
                <w:b/>
                <w:szCs w:val="24"/>
                <w:lang w:val="en-US"/>
              </w:rPr>
              <w:t xml:space="preserve"> </w:t>
            </w:r>
          </w:p>
        </w:tc>
      </w:tr>
    </w:tbl>
    <w:p w14:paraId="5E0FDD69" w14:textId="77777777" w:rsidR="00B93A16" w:rsidRPr="00B93A16" w:rsidRDefault="00B93A16">
      <w:pPr>
        <w:spacing w:after="0"/>
        <w:jc w:val="both"/>
        <w:rPr>
          <w:rFonts w:cs="Times New Roman"/>
          <w:szCs w:val="24"/>
          <w:lang w:val="en-US"/>
        </w:rPr>
      </w:pPr>
    </w:p>
    <w:p w14:paraId="21ADE2CF" w14:textId="02F78667" w:rsidR="00B93A16" w:rsidRDefault="00B93A16" w:rsidP="008A015A">
      <w:pPr>
        <w:autoSpaceDE w:val="0"/>
        <w:autoSpaceDN w:val="0"/>
        <w:adjustRightInd w:val="0"/>
        <w:spacing w:after="0"/>
        <w:jc w:val="both"/>
        <w:rPr>
          <w:rFonts w:cs="Times New Roman"/>
          <w:szCs w:val="24"/>
        </w:rPr>
      </w:pPr>
      <w:r w:rsidRPr="00B93A16">
        <w:rPr>
          <w:rFonts w:cs="Times New Roman"/>
          <w:szCs w:val="24"/>
        </w:rPr>
        <w:t xml:space="preserve">If you have </w:t>
      </w:r>
      <w:r w:rsidR="000B7F9B">
        <w:rPr>
          <w:rFonts w:cs="Times New Roman"/>
          <w:szCs w:val="24"/>
        </w:rPr>
        <w:t xml:space="preserve">any </w:t>
      </w:r>
      <w:r w:rsidRPr="00B93A16">
        <w:rPr>
          <w:rFonts w:cs="Times New Roman"/>
          <w:szCs w:val="24"/>
        </w:rPr>
        <w:t>questions, please contact any of the CSA staff listed below.</w:t>
      </w:r>
    </w:p>
    <w:p w14:paraId="26E2D4A0" w14:textId="77777777" w:rsidR="00823CC4" w:rsidRPr="00B93A16" w:rsidRDefault="00823CC4" w:rsidP="0093488E">
      <w:pPr>
        <w:autoSpaceDE w:val="0"/>
        <w:autoSpaceDN w:val="0"/>
        <w:adjustRightInd w:val="0"/>
        <w:spacing w:after="0"/>
        <w:jc w:val="both"/>
        <w:rPr>
          <w:rFonts w:cs="Times New Roman"/>
          <w:szCs w:val="24"/>
        </w:rPr>
      </w:pPr>
    </w:p>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500"/>
      </w:tblGrid>
      <w:tr w:rsidR="00D15B6D" w14:paraId="3D25BCFC" w14:textId="44F131F9" w:rsidTr="00D15B6D">
        <w:trPr>
          <w:trHeight w:val="1899"/>
        </w:trPr>
        <w:tc>
          <w:tcPr>
            <w:tcW w:w="4680" w:type="dxa"/>
          </w:tcPr>
          <w:p w14:paraId="0BB00D07" w14:textId="22457D40" w:rsidR="00D15B6D" w:rsidRDefault="00D15B6D" w:rsidP="0093488E">
            <w:pPr>
              <w:autoSpaceDE w:val="0"/>
              <w:autoSpaceDN w:val="0"/>
              <w:adjustRightInd w:val="0"/>
              <w:spacing w:after="0"/>
              <w:jc w:val="both"/>
              <w:rPr>
                <w:rFonts w:cs="Times New Roman"/>
                <w:szCs w:val="24"/>
              </w:rPr>
            </w:pPr>
            <w:r>
              <w:rPr>
                <w:rFonts w:cs="Times New Roman"/>
                <w:szCs w:val="24"/>
              </w:rPr>
              <w:t>Victoria Steeves</w:t>
            </w:r>
          </w:p>
          <w:p w14:paraId="695D796F" w14:textId="3DB06EBB" w:rsidR="00D15B6D" w:rsidRDefault="00D15B6D" w:rsidP="00D15B6D">
            <w:pPr>
              <w:autoSpaceDE w:val="0"/>
              <w:autoSpaceDN w:val="0"/>
              <w:adjustRightInd w:val="0"/>
              <w:spacing w:after="0"/>
              <w:rPr>
                <w:rFonts w:cs="Times New Roman"/>
                <w:szCs w:val="24"/>
              </w:rPr>
            </w:pPr>
            <w:r>
              <w:rPr>
                <w:rFonts w:cs="Times New Roman"/>
                <w:szCs w:val="24"/>
              </w:rPr>
              <w:t>British Columbia Securities Commission</w:t>
            </w:r>
          </w:p>
          <w:p w14:paraId="4208950E" w14:textId="61A6ECFF" w:rsidR="00D15B6D" w:rsidRDefault="00D15B6D" w:rsidP="0093488E">
            <w:pPr>
              <w:autoSpaceDE w:val="0"/>
              <w:autoSpaceDN w:val="0"/>
              <w:adjustRightInd w:val="0"/>
              <w:spacing w:after="0"/>
              <w:jc w:val="both"/>
              <w:rPr>
                <w:rFonts w:cs="Times New Roman"/>
                <w:szCs w:val="24"/>
              </w:rPr>
            </w:pPr>
            <w:r>
              <w:rPr>
                <w:rFonts w:cs="Times New Roman"/>
                <w:szCs w:val="24"/>
              </w:rPr>
              <w:t>Senior Legal Counsel, Corporate Finance</w:t>
            </w:r>
          </w:p>
          <w:p w14:paraId="5E4B0BFB" w14:textId="0EA4A6FE" w:rsidR="00D15B6D" w:rsidRDefault="00D15B6D" w:rsidP="0093488E">
            <w:pPr>
              <w:autoSpaceDE w:val="0"/>
              <w:autoSpaceDN w:val="0"/>
              <w:adjustRightInd w:val="0"/>
              <w:spacing w:after="0"/>
              <w:jc w:val="both"/>
              <w:rPr>
                <w:rFonts w:cs="Times New Roman"/>
                <w:szCs w:val="24"/>
              </w:rPr>
            </w:pPr>
            <w:r>
              <w:rPr>
                <w:rFonts w:cs="Times New Roman"/>
                <w:szCs w:val="24"/>
              </w:rPr>
              <w:t>604-899-6791</w:t>
            </w:r>
          </w:p>
          <w:p w14:paraId="551A3292" w14:textId="2FA7F2E9" w:rsidR="00D15B6D" w:rsidRDefault="004168E7" w:rsidP="0093488E">
            <w:pPr>
              <w:autoSpaceDE w:val="0"/>
              <w:autoSpaceDN w:val="0"/>
              <w:adjustRightInd w:val="0"/>
              <w:spacing w:after="0"/>
              <w:jc w:val="both"/>
              <w:rPr>
                <w:rFonts w:cs="Times New Roman"/>
                <w:szCs w:val="24"/>
              </w:rPr>
            </w:pPr>
            <w:hyperlink r:id="rId11" w:history="1">
              <w:r w:rsidR="00D15B6D" w:rsidRPr="00921471">
                <w:rPr>
                  <w:rStyle w:val="Hyperlink"/>
                  <w:rFonts w:cs="Times New Roman"/>
                  <w:szCs w:val="24"/>
                </w:rPr>
                <w:t>vsteeves@bcsc.bc.ca</w:t>
              </w:r>
            </w:hyperlink>
          </w:p>
          <w:p w14:paraId="6FA00632" w14:textId="029FEB1B" w:rsidR="00D15B6D" w:rsidRDefault="00D15B6D" w:rsidP="0093488E">
            <w:pPr>
              <w:autoSpaceDE w:val="0"/>
              <w:autoSpaceDN w:val="0"/>
              <w:adjustRightInd w:val="0"/>
              <w:spacing w:after="0"/>
              <w:jc w:val="both"/>
              <w:rPr>
                <w:rFonts w:cs="Times New Roman"/>
                <w:szCs w:val="24"/>
              </w:rPr>
            </w:pPr>
          </w:p>
        </w:tc>
        <w:tc>
          <w:tcPr>
            <w:tcW w:w="4500" w:type="dxa"/>
          </w:tcPr>
          <w:p w14:paraId="2C58F3D6" w14:textId="638411F3" w:rsidR="00D15B6D" w:rsidRDefault="00D15B6D" w:rsidP="0093488E">
            <w:pPr>
              <w:autoSpaceDE w:val="0"/>
              <w:autoSpaceDN w:val="0"/>
              <w:adjustRightInd w:val="0"/>
              <w:spacing w:after="0"/>
              <w:jc w:val="both"/>
              <w:rPr>
                <w:rFonts w:cs="Times New Roman"/>
                <w:szCs w:val="24"/>
                <w:lang w:val="fr-CA"/>
              </w:rPr>
            </w:pPr>
            <w:r>
              <w:rPr>
                <w:rFonts w:cs="Times New Roman"/>
                <w:szCs w:val="24"/>
                <w:lang w:val="fr-CA"/>
              </w:rPr>
              <w:t>Mathieu Laberge</w:t>
            </w:r>
          </w:p>
          <w:p w14:paraId="0AA0EE6A" w14:textId="1EF13633" w:rsidR="00D15B6D" w:rsidRPr="00932B7F" w:rsidRDefault="00D15B6D" w:rsidP="0093488E">
            <w:pPr>
              <w:autoSpaceDE w:val="0"/>
              <w:autoSpaceDN w:val="0"/>
              <w:adjustRightInd w:val="0"/>
              <w:spacing w:after="0"/>
              <w:jc w:val="both"/>
              <w:rPr>
                <w:rFonts w:cs="Times New Roman"/>
                <w:szCs w:val="24"/>
                <w:lang w:val="fr-CA"/>
              </w:rPr>
            </w:pPr>
            <w:r w:rsidRPr="00932B7F">
              <w:rPr>
                <w:rFonts w:cs="Times New Roman"/>
                <w:szCs w:val="24"/>
                <w:lang w:val="fr-CA"/>
              </w:rPr>
              <w:t>Autorité des marchés financiers</w:t>
            </w:r>
          </w:p>
          <w:p w14:paraId="5AE7132D" w14:textId="2E44AE39" w:rsidR="00D15B6D" w:rsidRPr="00A96A2B" w:rsidRDefault="00D15B6D" w:rsidP="00D15B6D">
            <w:pPr>
              <w:autoSpaceDE w:val="0"/>
              <w:autoSpaceDN w:val="0"/>
              <w:adjustRightInd w:val="0"/>
              <w:spacing w:after="0"/>
              <w:rPr>
                <w:rFonts w:cs="Times New Roman"/>
                <w:szCs w:val="24"/>
              </w:rPr>
            </w:pPr>
            <w:r>
              <w:rPr>
                <w:rFonts w:cs="Times New Roman"/>
                <w:szCs w:val="24"/>
              </w:rPr>
              <w:t xml:space="preserve">Senior </w:t>
            </w:r>
            <w:r w:rsidRPr="00A96A2B">
              <w:rPr>
                <w:rFonts w:cs="Times New Roman"/>
                <w:szCs w:val="24"/>
              </w:rPr>
              <w:t>Legal Counsel, Legal Affairs</w:t>
            </w:r>
          </w:p>
          <w:p w14:paraId="6DD787CD" w14:textId="51B000E6" w:rsidR="00D15B6D" w:rsidRPr="006B0BD9" w:rsidRDefault="00D15B6D" w:rsidP="0093488E">
            <w:pPr>
              <w:autoSpaceDE w:val="0"/>
              <w:autoSpaceDN w:val="0"/>
              <w:adjustRightInd w:val="0"/>
              <w:spacing w:after="0"/>
              <w:jc w:val="both"/>
              <w:rPr>
                <w:rFonts w:cs="Times New Roman"/>
                <w:szCs w:val="24"/>
              </w:rPr>
            </w:pPr>
            <w:r w:rsidRPr="006B0BD9">
              <w:rPr>
                <w:rFonts w:cs="Times New Roman"/>
                <w:szCs w:val="24"/>
              </w:rPr>
              <w:t>514</w:t>
            </w:r>
            <w:r>
              <w:rPr>
                <w:rFonts w:cs="Times New Roman"/>
                <w:szCs w:val="24"/>
              </w:rPr>
              <w:t>-</w:t>
            </w:r>
            <w:r w:rsidRPr="006B0BD9">
              <w:rPr>
                <w:rFonts w:cs="Times New Roman"/>
                <w:szCs w:val="24"/>
              </w:rPr>
              <w:t>395-0337 ext.2537</w:t>
            </w:r>
          </w:p>
          <w:p w14:paraId="0081B73E" w14:textId="186A1318" w:rsidR="00D15B6D" w:rsidRDefault="004168E7" w:rsidP="0093488E">
            <w:pPr>
              <w:autoSpaceDE w:val="0"/>
              <w:autoSpaceDN w:val="0"/>
              <w:adjustRightInd w:val="0"/>
              <w:spacing w:after="0"/>
              <w:jc w:val="both"/>
              <w:rPr>
                <w:rFonts w:cs="Times New Roman"/>
                <w:szCs w:val="24"/>
              </w:rPr>
            </w:pPr>
            <w:hyperlink r:id="rId12" w:history="1">
              <w:r w:rsidR="00D15B6D" w:rsidRPr="00921471">
                <w:rPr>
                  <w:rStyle w:val="Hyperlink"/>
                  <w:rFonts w:cs="Times New Roman"/>
                  <w:szCs w:val="24"/>
                </w:rPr>
                <w:t>mathieu.laberge@lautorite.qc.ca</w:t>
              </w:r>
            </w:hyperlink>
          </w:p>
          <w:p w14:paraId="12B3E057" w14:textId="28A9C74C" w:rsidR="00D15B6D" w:rsidRDefault="00D15B6D" w:rsidP="0093488E">
            <w:pPr>
              <w:autoSpaceDE w:val="0"/>
              <w:autoSpaceDN w:val="0"/>
              <w:adjustRightInd w:val="0"/>
              <w:spacing w:after="0"/>
              <w:jc w:val="both"/>
              <w:rPr>
                <w:rFonts w:cs="Times New Roman"/>
                <w:szCs w:val="24"/>
              </w:rPr>
            </w:pPr>
          </w:p>
        </w:tc>
      </w:tr>
      <w:tr w:rsidR="00D15B6D" w14:paraId="329DF422" w14:textId="534012AE" w:rsidTr="00D15B6D">
        <w:trPr>
          <w:trHeight w:val="2227"/>
        </w:trPr>
        <w:tc>
          <w:tcPr>
            <w:tcW w:w="4680" w:type="dxa"/>
          </w:tcPr>
          <w:p w14:paraId="3BF0403D" w14:textId="319B1EF4" w:rsidR="00D15B6D" w:rsidRDefault="00D15B6D" w:rsidP="0093488E">
            <w:pPr>
              <w:autoSpaceDE w:val="0"/>
              <w:autoSpaceDN w:val="0"/>
              <w:adjustRightInd w:val="0"/>
              <w:spacing w:after="0"/>
              <w:jc w:val="both"/>
              <w:rPr>
                <w:rFonts w:cs="Times New Roman"/>
                <w:szCs w:val="24"/>
              </w:rPr>
            </w:pPr>
            <w:r>
              <w:rPr>
                <w:rFonts w:cs="Times New Roman"/>
                <w:szCs w:val="24"/>
              </w:rPr>
              <w:t>Jennifer Smith</w:t>
            </w:r>
          </w:p>
          <w:p w14:paraId="15D141E5" w14:textId="29696B42" w:rsidR="00D15B6D" w:rsidRDefault="00D15B6D" w:rsidP="0093488E">
            <w:pPr>
              <w:autoSpaceDE w:val="0"/>
              <w:autoSpaceDN w:val="0"/>
              <w:adjustRightInd w:val="0"/>
              <w:spacing w:after="0"/>
              <w:jc w:val="both"/>
              <w:rPr>
                <w:rFonts w:cs="Times New Roman"/>
                <w:szCs w:val="24"/>
              </w:rPr>
            </w:pPr>
            <w:r>
              <w:rPr>
                <w:rFonts w:cs="Times New Roman"/>
                <w:szCs w:val="24"/>
              </w:rPr>
              <w:t xml:space="preserve">Alberta Securities Commission </w:t>
            </w:r>
          </w:p>
          <w:p w14:paraId="358F1B4B" w14:textId="7B69BBD3" w:rsidR="00D15B6D" w:rsidRDefault="00D15B6D" w:rsidP="0093488E">
            <w:pPr>
              <w:autoSpaceDE w:val="0"/>
              <w:autoSpaceDN w:val="0"/>
              <w:adjustRightInd w:val="0"/>
              <w:spacing w:after="0"/>
              <w:jc w:val="both"/>
              <w:rPr>
                <w:rFonts w:cs="Times New Roman"/>
                <w:szCs w:val="24"/>
              </w:rPr>
            </w:pPr>
            <w:r>
              <w:rPr>
                <w:rFonts w:cs="Times New Roman"/>
                <w:szCs w:val="24"/>
              </w:rPr>
              <w:t>Senior Legal Counsel</w:t>
            </w:r>
          </w:p>
          <w:p w14:paraId="67CED586" w14:textId="3F339400" w:rsidR="00D15B6D" w:rsidRDefault="00D15B6D" w:rsidP="0093488E">
            <w:pPr>
              <w:autoSpaceDE w:val="0"/>
              <w:autoSpaceDN w:val="0"/>
              <w:adjustRightInd w:val="0"/>
              <w:spacing w:after="0"/>
              <w:jc w:val="both"/>
              <w:rPr>
                <w:rFonts w:cs="Times New Roman"/>
                <w:szCs w:val="24"/>
              </w:rPr>
            </w:pPr>
            <w:r>
              <w:rPr>
                <w:rFonts w:cs="Times New Roman"/>
                <w:szCs w:val="24"/>
              </w:rPr>
              <w:t>Office of the General Counsel</w:t>
            </w:r>
          </w:p>
          <w:p w14:paraId="634C6F7E" w14:textId="3A3F01EB" w:rsidR="00D15B6D" w:rsidRDefault="00D15B6D" w:rsidP="0093488E">
            <w:pPr>
              <w:autoSpaceDE w:val="0"/>
              <w:autoSpaceDN w:val="0"/>
              <w:adjustRightInd w:val="0"/>
              <w:spacing w:after="0"/>
              <w:jc w:val="both"/>
              <w:rPr>
                <w:rFonts w:cs="Times New Roman"/>
                <w:szCs w:val="24"/>
              </w:rPr>
            </w:pPr>
            <w:r>
              <w:rPr>
                <w:rFonts w:cs="Times New Roman"/>
                <w:szCs w:val="24"/>
              </w:rPr>
              <w:t>403-585-6716</w:t>
            </w:r>
          </w:p>
          <w:p w14:paraId="5C4B981A" w14:textId="34B1CAE3" w:rsidR="00D15B6D" w:rsidRDefault="004168E7" w:rsidP="0093488E">
            <w:pPr>
              <w:autoSpaceDE w:val="0"/>
              <w:autoSpaceDN w:val="0"/>
              <w:adjustRightInd w:val="0"/>
              <w:spacing w:after="0"/>
              <w:jc w:val="both"/>
              <w:rPr>
                <w:rFonts w:cs="Times New Roman"/>
                <w:szCs w:val="24"/>
              </w:rPr>
            </w:pPr>
            <w:hyperlink r:id="rId13" w:history="1">
              <w:r w:rsidR="00D15B6D" w:rsidRPr="00921471">
                <w:rPr>
                  <w:rStyle w:val="Hyperlink"/>
                  <w:rFonts w:cs="Times New Roman"/>
                  <w:szCs w:val="24"/>
                </w:rPr>
                <w:t>Jennifer.smith@asc.ca</w:t>
              </w:r>
            </w:hyperlink>
          </w:p>
          <w:p w14:paraId="6BCFE9C2" w14:textId="36F12600" w:rsidR="00D15B6D" w:rsidRDefault="00D15B6D" w:rsidP="0093488E">
            <w:pPr>
              <w:autoSpaceDE w:val="0"/>
              <w:autoSpaceDN w:val="0"/>
              <w:adjustRightInd w:val="0"/>
              <w:spacing w:after="0"/>
              <w:jc w:val="both"/>
              <w:rPr>
                <w:rFonts w:cs="Times New Roman"/>
                <w:szCs w:val="24"/>
              </w:rPr>
            </w:pPr>
          </w:p>
        </w:tc>
        <w:tc>
          <w:tcPr>
            <w:tcW w:w="4500" w:type="dxa"/>
          </w:tcPr>
          <w:p w14:paraId="6298F1D2" w14:textId="23772E46" w:rsidR="00D15B6D" w:rsidRDefault="00D15B6D" w:rsidP="0093488E">
            <w:pPr>
              <w:spacing w:after="0"/>
              <w:rPr>
                <w:sz w:val="22"/>
              </w:rPr>
            </w:pPr>
            <w:r>
              <w:t>Oren Winer</w:t>
            </w:r>
          </w:p>
          <w:p w14:paraId="5942A8B0" w14:textId="0FA351A6" w:rsidR="00D15B6D" w:rsidRDefault="00D15B6D" w:rsidP="0093488E">
            <w:pPr>
              <w:spacing w:after="0"/>
            </w:pPr>
            <w:r>
              <w:t>Ontario Securities Commission</w:t>
            </w:r>
          </w:p>
          <w:p w14:paraId="7A80BEAF" w14:textId="55D2DD02" w:rsidR="00D15B6D" w:rsidRDefault="00D15B6D" w:rsidP="0093488E">
            <w:pPr>
              <w:spacing w:after="0"/>
            </w:pPr>
            <w:r>
              <w:t xml:space="preserve">Senior Legal Counsel </w:t>
            </w:r>
          </w:p>
          <w:p w14:paraId="3411675D" w14:textId="54D5C464" w:rsidR="00D15B6D" w:rsidRDefault="00D15B6D" w:rsidP="0093488E">
            <w:pPr>
              <w:spacing w:after="0"/>
            </w:pPr>
            <w:r>
              <w:t>General Counsel’s Office</w:t>
            </w:r>
          </w:p>
          <w:p w14:paraId="3BC6DDED" w14:textId="23E5059B" w:rsidR="00D15B6D" w:rsidRDefault="00D15B6D" w:rsidP="0093488E">
            <w:pPr>
              <w:spacing w:after="0"/>
            </w:pPr>
            <w:r>
              <w:t>416-593-8250</w:t>
            </w:r>
          </w:p>
          <w:p w14:paraId="1AB73454" w14:textId="2D359FE2" w:rsidR="00D15B6D" w:rsidRDefault="004168E7" w:rsidP="0093488E">
            <w:pPr>
              <w:spacing w:after="0"/>
            </w:pPr>
            <w:hyperlink r:id="rId14" w:history="1">
              <w:r w:rsidR="00D15B6D" w:rsidRPr="00E17BD6">
                <w:rPr>
                  <w:rStyle w:val="Hyperlink"/>
                </w:rPr>
                <w:t>owiner@osc.gov.on.ca</w:t>
              </w:r>
            </w:hyperlink>
          </w:p>
          <w:p w14:paraId="623A92FA" w14:textId="7D436AD4" w:rsidR="00D15B6D" w:rsidRDefault="00D15B6D" w:rsidP="0093488E">
            <w:pPr>
              <w:spacing w:after="0"/>
              <w:rPr>
                <w:rFonts w:cs="Times New Roman"/>
                <w:szCs w:val="24"/>
              </w:rPr>
            </w:pPr>
          </w:p>
        </w:tc>
      </w:tr>
    </w:tbl>
    <w:p w14:paraId="6ECC5907" w14:textId="6AA93C95" w:rsidR="00A10464" w:rsidRDefault="00A10464" w:rsidP="0093488E">
      <w:pPr>
        <w:spacing w:after="200" w:line="276" w:lineRule="auto"/>
        <w:rPr>
          <w:rFonts w:cs="Times New Roman"/>
          <w:szCs w:val="24"/>
        </w:rPr>
      </w:pPr>
    </w:p>
    <w:sectPr w:rsidR="00A10464" w:rsidSect="003E6D73">
      <w:headerReference w:type="default" r:id="rId15"/>
      <w:pgSz w:w="12240" w:h="15840"/>
      <w:pgMar w:top="1440" w:right="1440" w:bottom="1440" w:left="144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1AA7B9" w14:textId="77777777" w:rsidR="00CF1C6A" w:rsidRDefault="00CF1C6A" w:rsidP="00552547">
      <w:pPr>
        <w:spacing w:after="0"/>
      </w:pPr>
      <w:r>
        <w:separator/>
      </w:r>
    </w:p>
  </w:endnote>
  <w:endnote w:type="continuationSeparator" w:id="0">
    <w:p w14:paraId="4E11D346" w14:textId="77777777" w:rsidR="00CF1C6A" w:rsidRDefault="00CF1C6A" w:rsidP="00552547">
      <w:pPr>
        <w:spacing w:after="0"/>
      </w:pPr>
      <w:r>
        <w:continuationSeparator/>
      </w:r>
    </w:p>
  </w:endnote>
  <w:endnote w:type="continuationNotice" w:id="1">
    <w:p w14:paraId="3829B336" w14:textId="77777777" w:rsidR="00CF1C6A" w:rsidRDefault="00CF1C6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509444" w14:textId="77777777" w:rsidR="00CF1C6A" w:rsidRDefault="00CF1C6A" w:rsidP="00552547">
      <w:pPr>
        <w:spacing w:after="0"/>
      </w:pPr>
      <w:r>
        <w:separator/>
      </w:r>
    </w:p>
  </w:footnote>
  <w:footnote w:type="continuationSeparator" w:id="0">
    <w:p w14:paraId="23CEB647" w14:textId="77777777" w:rsidR="00CF1C6A" w:rsidRDefault="00CF1C6A" w:rsidP="00552547">
      <w:pPr>
        <w:spacing w:after="0"/>
      </w:pPr>
      <w:r>
        <w:continuationSeparator/>
      </w:r>
    </w:p>
  </w:footnote>
  <w:footnote w:type="continuationNotice" w:id="1">
    <w:p w14:paraId="05A309EE" w14:textId="77777777" w:rsidR="00CF1C6A" w:rsidRDefault="00CF1C6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1D9C4" w14:textId="040FFE3D" w:rsidR="00CC7236" w:rsidRDefault="00CC7236">
    <w:pPr>
      <w:pStyle w:val="Header"/>
      <w:jc w:val="center"/>
    </w:pPr>
    <w:r>
      <w:t>-</w:t>
    </w:r>
    <w:sdt>
      <w:sdtPr>
        <w:id w:val="-13734189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168E7">
          <w:rPr>
            <w:noProof/>
          </w:rPr>
          <w:t>5</w:t>
        </w:r>
        <w:r>
          <w:rPr>
            <w:noProof/>
          </w:rPr>
          <w:fldChar w:fldCharType="end"/>
        </w:r>
        <w:r>
          <w:rPr>
            <w:noProof/>
          </w:rPr>
          <w:t>-</w:t>
        </w:r>
      </w:sdtContent>
    </w:sdt>
  </w:p>
  <w:p w14:paraId="4B52103E" w14:textId="77777777" w:rsidR="00CC7236" w:rsidRDefault="00CC72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4AF8"/>
    <w:multiLevelType w:val="hybridMultilevel"/>
    <w:tmpl w:val="2E0A834A"/>
    <w:lvl w:ilvl="0" w:tplc="55A0456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E51762"/>
    <w:multiLevelType w:val="hybridMultilevel"/>
    <w:tmpl w:val="8EE8D3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D33302"/>
    <w:multiLevelType w:val="hybridMultilevel"/>
    <w:tmpl w:val="276017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EB2509"/>
    <w:multiLevelType w:val="hybridMultilevel"/>
    <w:tmpl w:val="5B64769E"/>
    <w:lvl w:ilvl="0" w:tplc="FF8677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237DA"/>
    <w:multiLevelType w:val="hybridMultilevel"/>
    <w:tmpl w:val="9F0294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B03ED5"/>
    <w:multiLevelType w:val="hybridMultilevel"/>
    <w:tmpl w:val="C7DE4D4A"/>
    <w:lvl w:ilvl="0" w:tplc="C5E8F25E">
      <w:start w:val="1"/>
      <w:numFmt w:val="lowerLetter"/>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2CCC4A5E"/>
    <w:multiLevelType w:val="multilevel"/>
    <w:tmpl w:val="EA602646"/>
    <w:name w:val="x2"/>
    <w:lvl w:ilvl="0">
      <w:start w:val="1"/>
      <w:numFmt w:val="decimal"/>
      <w:lvlText w:val="%1"/>
      <w:lvlJc w:val="left"/>
      <w:pPr>
        <w:ind w:left="720" w:hanging="720"/>
      </w:pPr>
      <w:rPr>
        <w:rFonts w:hint="default"/>
        <w:b w:val="0"/>
        <w:i w:val="0"/>
      </w:rPr>
    </w:lvl>
    <w:lvl w:ilvl="1">
      <w:start w:val="1"/>
      <w:numFmt w:val="lowerLetter"/>
      <w:lvlText w:val="(%2)"/>
      <w:lvlJc w:val="left"/>
      <w:pPr>
        <w:ind w:left="1440" w:hanging="720"/>
      </w:pPr>
      <w:rPr>
        <w:rFonts w:hint="default"/>
      </w:rPr>
    </w:lvl>
    <w:lvl w:ilvl="2">
      <w:start w:val="1"/>
      <w:numFmt w:val="lowerRoman"/>
      <w:lvlText w:val="(%3)"/>
      <w:lvlJc w:val="left"/>
      <w:pPr>
        <w:ind w:left="2160" w:hanging="720"/>
      </w:pPr>
      <w:rPr>
        <w:rFonts w:hint="default"/>
      </w:rPr>
    </w:lvl>
    <w:lvl w:ilvl="3">
      <w:start w:val="1"/>
      <w:numFmt w:val="upperLetter"/>
      <w:lvlText w:val="%4"/>
      <w:lvlJc w:val="left"/>
      <w:pPr>
        <w:ind w:left="2880" w:hanging="720"/>
      </w:pPr>
      <w:rPr>
        <w:rFonts w:hint="default"/>
      </w:rPr>
    </w:lvl>
    <w:lvl w:ilvl="4">
      <w:start w:val="1"/>
      <w:numFmt w:val="lowerLetter"/>
      <w:lvlText w:val="(%5)"/>
      <w:lvlJc w:val="left"/>
      <w:pPr>
        <w:ind w:left="3600" w:hanging="720"/>
      </w:pPr>
      <w:rPr>
        <w:rFonts w:hint="default"/>
      </w:rPr>
    </w:lvl>
    <w:lvl w:ilvl="5">
      <w:start w:val="1"/>
      <w:numFmt w:val="lowerRoman"/>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abstractNum w:abstractNumId="7" w15:restartNumberingAfterBreak="0">
    <w:nsid w:val="3691181E"/>
    <w:multiLevelType w:val="multilevel"/>
    <w:tmpl w:val="CE564CAC"/>
    <w:name w:val="x"/>
    <w:styleLink w:val="OSCPlainLanguage"/>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upperLetter"/>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lowerLetter"/>
      <w:lvlText w:val="%8."/>
      <w:lvlJc w:val="left"/>
      <w:pPr>
        <w:tabs>
          <w:tab w:val="num" w:pos="5760"/>
        </w:tabs>
        <w:ind w:left="5760" w:hanging="720"/>
      </w:pPr>
      <w:rPr>
        <w:rFonts w:hint="default"/>
      </w:rPr>
    </w:lvl>
    <w:lvl w:ilvl="8">
      <w:start w:val="1"/>
      <w:numFmt w:val="lowerRoman"/>
      <w:lvlText w:val="%9."/>
      <w:lvlJc w:val="left"/>
      <w:pPr>
        <w:tabs>
          <w:tab w:val="num" w:pos="6480"/>
        </w:tabs>
        <w:ind w:left="6480" w:hanging="720"/>
      </w:pPr>
      <w:rPr>
        <w:rFonts w:hint="default"/>
      </w:rPr>
    </w:lvl>
  </w:abstractNum>
  <w:abstractNum w:abstractNumId="8" w15:restartNumberingAfterBreak="0">
    <w:nsid w:val="40DE382A"/>
    <w:multiLevelType w:val="multilevel"/>
    <w:tmpl w:val="CE564CAC"/>
    <w:name w:val="x2"/>
    <w:numStyleLink w:val="OSCPlainLanguage"/>
  </w:abstractNum>
  <w:abstractNum w:abstractNumId="9" w15:restartNumberingAfterBreak="0">
    <w:nsid w:val="417B497C"/>
    <w:multiLevelType w:val="hybridMultilevel"/>
    <w:tmpl w:val="964A37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1940ADC"/>
    <w:multiLevelType w:val="hybridMultilevel"/>
    <w:tmpl w:val="B9E04572"/>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42EB7B07"/>
    <w:multiLevelType w:val="multilevel"/>
    <w:tmpl w:val="CE564CAC"/>
    <w:name w:val="x"/>
    <w:numStyleLink w:val="OSCPlainLanguage"/>
  </w:abstractNum>
  <w:abstractNum w:abstractNumId="12" w15:restartNumberingAfterBreak="0">
    <w:nsid w:val="440F3DF5"/>
    <w:multiLevelType w:val="hybridMultilevel"/>
    <w:tmpl w:val="F726FB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B095F3C"/>
    <w:multiLevelType w:val="hybridMultilevel"/>
    <w:tmpl w:val="5B58A22E"/>
    <w:lvl w:ilvl="0" w:tplc="689C85F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0A1AF4"/>
    <w:multiLevelType w:val="hybridMultilevel"/>
    <w:tmpl w:val="6D0CC5E0"/>
    <w:lvl w:ilvl="0" w:tplc="379E00C2">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63F6CEB"/>
    <w:multiLevelType w:val="hybridMultilevel"/>
    <w:tmpl w:val="2FD43EAA"/>
    <w:lvl w:ilvl="0" w:tplc="71A661C2">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6F573643"/>
    <w:multiLevelType w:val="hybridMultilevel"/>
    <w:tmpl w:val="894C9B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F5A1E3E"/>
    <w:multiLevelType w:val="hybridMultilevel"/>
    <w:tmpl w:val="9A54FC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021685E"/>
    <w:multiLevelType w:val="hybridMultilevel"/>
    <w:tmpl w:val="579ED2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715352DA"/>
    <w:multiLevelType w:val="multilevel"/>
    <w:tmpl w:val="78560A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21B5546"/>
    <w:multiLevelType w:val="hybridMultilevel"/>
    <w:tmpl w:val="5E149E3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21" w15:restartNumberingAfterBreak="0">
    <w:nsid w:val="77413D59"/>
    <w:multiLevelType w:val="hybridMultilevel"/>
    <w:tmpl w:val="85849274"/>
    <w:lvl w:ilvl="0" w:tplc="E88E26BE">
      <w:start w:val="1"/>
      <w:numFmt w:val="decimal"/>
      <w:lvlText w:val="%1."/>
      <w:lvlJc w:val="left"/>
      <w:pPr>
        <w:ind w:left="720" w:hanging="360"/>
      </w:pPr>
      <w:rPr>
        <w:rFonts w:hint="default"/>
        <w:b/>
        <w:i/>
      </w:rPr>
    </w:lvl>
    <w:lvl w:ilvl="1" w:tplc="D8AE15D2">
      <w:start w:val="1"/>
      <w:numFmt w:val="lowerLetter"/>
      <w:lvlText w:val="(%2)"/>
      <w:lvlJc w:val="left"/>
      <w:pPr>
        <w:ind w:left="1440" w:hanging="360"/>
      </w:pPr>
      <w:rPr>
        <w:rFonts w:ascii="Times New Roman" w:eastAsiaTheme="minorHAnsi" w:hAnsi="Times New Roman" w:cs="Times New Roman"/>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7AA11B6"/>
    <w:multiLevelType w:val="hybridMultilevel"/>
    <w:tmpl w:val="6DDE516C"/>
    <w:lvl w:ilvl="0" w:tplc="EFD6AB2E">
      <w:start w:val="1"/>
      <w:numFmt w:val="lowerLetter"/>
      <w:lvlText w:val="(%1)"/>
      <w:lvlJc w:val="left"/>
      <w:pPr>
        <w:ind w:left="1080" w:hanging="360"/>
      </w:pPr>
      <w:rPr>
        <w:rFonts w:hint="default"/>
        <w:b/>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15:restartNumberingAfterBreak="0">
    <w:nsid w:val="7FD3132B"/>
    <w:multiLevelType w:val="hybridMultilevel"/>
    <w:tmpl w:val="1E8AF5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0"/>
  </w:num>
  <w:num w:numId="4">
    <w:abstractNumId w:val="2"/>
  </w:num>
  <w:num w:numId="5">
    <w:abstractNumId w:val="15"/>
  </w:num>
  <w:num w:numId="6">
    <w:abstractNumId w:val="5"/>
  </w:num>
  <w:num w:numId="7">
    <w:abstractNumId w:val="14"/>
  </w:num>
  <w:num w:numId="8">
    <w:abstractNumId w:val="0"/>
  </w:num>
  <w:num w:numId="9">
    <w:abstractNumId w:val="21"/>
  </w:num>
  <w:num w:numId="10">
    <w:abstractNumId w:val="12"/>
  </w:num>
  <w:num w:numId="11">
    <w:abstractNumId w:val="16"/>
  </w:num>
  <w:num w:numId="12">
    <w:abstractNumId w:val="23"/>
  </w:num>
  <w:num w:numId="13">
    <w:abstractNumId w:val="1"/>
  </w:num>
  <w:num w:numId="14">
    <w:abstractNumId w:val="9"/>
  </w:num>
  <w:num w:numId="15">
    <w:abstractNumId w:val="10"/>
  </w:num>
  <w:num w:numId="16">
    <w:abstractNumId w:val="13"/>
  </w:num>
  <w:num w:numId="17">
    <w:abstractNumId w:val="17"/>
  </w:num>
  <w:num w:numId="18">
    <w:abstractNumId w:val="4"/>
  </w:num>
  <w:num w:numId="19">
    <w:abstractNumId w:val="3"/>
  </w:num>
  <w:num w:numId="20">
    <w:abstractNumId w:val="19"/>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removeDateAndTime/>
  <w:activeWritingStyle w:appName="MSWord" w:lang="fr-CA" w:vendorID="64" w:dllVersion="6" w:nlCheck="1" w:checkStyle="0"/>
  <w:activeWritingStyle w:appName="MSWord" w:lang="en-US" w:vendorID="64" w:dllVersion="6" w:nlCheck="1" w:checkStyle="1"/>
  <w:activeWritingStyle w:appName="MSWord" w:lang="en-CA" w:vendorID="64" w:dllVersion="6" w:nlCheck="1" w:checkStyle="1"/>
  <w:activeWritingStyle w:appName="MSWord" w:lang="en-GB" w:vendorID="64" w:dllVersion="6" w:nlCheck="1" w:checkStyle="1"/>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GB" w:vendorID="64" w:dllVersion="0" w:nlCheck="1" w:checkStyle="0"/>
  <w:activeWritingStyle w:appName="MSWord" w:lang="en-CA"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CA"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547"/>
    <w:rsid w:val="00001233"/>
    <w:rsid w:val="000046A3"/>
    <w:rsid w:val="000065AE"/>
    <w:rsid w:val="000123DB"/>
    <w:rsid w:val="00016552"/>
    <w:rsid w:val="0002075E"/>
    <w:rsid w:val="000318FE"/>
    <w:rsid w:val="00031B59"/>
    <w:rsid w:val="00032EFC"/>
    <w:rsid w:val="00036BA4"/>
    <w:rsid w:val="00040651"/>
    <w:rsid w:val="00041F85"/>
    <w:rsid w:val="00045BDD"/>
    <w:rsid w:val="0005193A"/>
    <w:rsid w:val="0005209D"/>
    <w:rsid w:val="0005284E"/>
    <w:rsid w:val="00054154"/>
    <w:rsid w:val="00054495"/>
    <w:rsid w:val="0005588C"/>
    <w:rsid w:val="000575E4"/>
    <w:rsid w:val="00061018"/>
    <w:rsid w:val="00062006"/>
    <w:rsid w:val="0006653F"/>
    <w:rsid w:val="00067613"/>
    <w:rsid w:val="000677A4"/>
    <w:rsid w:val="0007232D"/>
    <w:rsid w:val="00072688"/>
    <w:rsid w:val="00074E95"/>
    <w:rsid w:val="000755CF"/>
    <w:rsid w:val="00080EB9"/>
    <w:rsid w:val="00081789"/>
    <w:rsid w:val="00083A95"/>
    <w:rsid w:val="0008551A"/>
    <w:rsid w:val="00085F5D"/>
    <w:rsid w:val="000918E3"/>
    <w:rsid w:val="00093A0C"/>
    <w:rsid w:val="000A0091"/>
    <w:rsid w:val="000A0E88"/>
    <w:rsid w:val="000A1A9A"/>
    <w:rsid w:val="000A26ED"/>
    <w:rsid w:val="000A744B"/>
    <w:rsid w:val="000B30B3"/>
    <w:rsid w:val="000B7F9B"/>
    <w:rsid w:val="000C08B5"/>
    <w:rsid w:val="000C368B"/>
    <w:rsid w:val="000C36AC"/>
    <w:rsid w:val="000C4B48"/>
    <w:rsid w:val="000D0CA1"/>
    <w:rsid w:val="000E2B8C"/>
    <w:rsid w:val="000E7920"/>
    <w:rsid w:val="000F0C3E"/>
    <w:rsid w:val="000F288C"/>
    <w:rsid w:val="001020FE"/>
    <w:rsid w:val="001067CD"/>
    <w:rsid w:val="001113BE"/>
    <w:rsid w:val="00113B29"/>
    <w:rsid w:val="001169F7"/>
    <w:rsid w:val="00117C59"/>
    <w:rsid w:val="001264CA"/>
    <w:rsid w:val="00126B4E"/>
    <w:rsid w:val="00131C58"/>
    <w:rsid w:val="00132557"/>
    <w:rsid w:val="00133240"/>
    <w:rsid w:val="00133C19"/>
    <w:rsid w:val="0013443D"/>
    <w:rsid w:val="00134D09"/>
    <w:rsid w:val="00137120"/>
    <w:rsid w:val="00140D35"/>
    <w:rsid w:val="00142421"/>
    <w:rsid w:val="00142D8F"/>
    <w:rsid w:val="00143566"/>
    <w:rsid w:val="00150478"/>
    <w:rsid w:val="0015393B"/>
    <w:rsid w:val="00153E1A"/>
    <w:rsid w:val="00154953"/>
    <w:rsid w:val="00161939"/>
    <w:rsid w:val="00161DD5"/>
    <w:rsid w:val="0016239D"/>
    <w:rsid w:val="001631B8"/>
    <w:rsid w:val="00163769"/>
    <w:rsid w:val="00165772"/>
    <w:rsid w:val="00166603"/>
    <w:rsid w:val="00167953"/>
    <w:rsid w:val="00172F48"/>
    <w:rsid w:val="00177124"/>
    <w:rsid w:val="00177645"/>
    <w:rsid w:val="00181FCE"/>
    <w:rsid w:val="0018220A"/>
    <w:rsid w:val="001843F2"/>
    <w:rsid w:val="00187B3B"/>
    <w:rsid w:val="00187CE5"/>
    <w:rsid w:val="0019121A"/>
    <w:rsid w:val="001929C8"/>
    <w:rsid w:val="00196314"/>
    <w:rsid w:val="001A1209"/>
    <w:rsid w:val="001A458B"/>
    <w:rsid w:val="001A4C8C"/>
    <w:rsid w:val="001A6D36"/>
    <w:rsid w:val="001A71FF"/>
    <w:rsid w:val="001B1E0F"/>
    <w:rsid w:val="001B711D"/>
    <w:rsid w:val="001C1B14"/>
    <w:rsid w:val="001D0AAD"/>
    <w:rsid w:val="001D0D8E"/>
    <w:rsid w:val="001D24B9"/>
    <w:rsid w:val="001D695A"/>
    <w:rsid w:val="001D7FA1"/>
    <w:rsid w:val="001E1E46"/>
    <w:rsid w:val="001E33A3"/>
    <w:rsid w:val="001E7518"/>
    <w:rsid w:val="001F392A"/>
    <w:rsid w:val="001F3D58"/>
    <w:rsid w:val="001F6305"/>
    <w:rsid w:val="0020018F"/>
    <w:rsid w:val="00201855"/>
    <w:rsid w:val="0020383E"/>
    <w:rsid w:val="00206586"/>
    <w:rsid w:val="002155C9"/>
    <w:rsid w:val="00215FC2"/>
    <w:rsid w:val="002161D2"/>
    <w:rsid w:val="00225652"/>
    <w:rsid w:val="00225943"/>
    <w:rsid w:val="0022695A"/>
    <w:rsid w:val="00234484"/>
    <w:rsid w:val="00235EAB"/>
    <w:rsid w:val="002362D7"/>
    <w:rsid w:val="002366F6"/>
    <w:rsid w:val="00237682"/>
    <w:rsid w:val="00237BB6"/>
    <w:rsid w:val="00240F10"/>
    <w:rsid w:val="0024370F"/>
    <w:rsid w:val="00244F71"/>
    <w:rsid w:val="00247A26"/>
    <w:rsid w:val="00252C34"/>
    <w:rsid w:val="0025433C"/>
    <w:rsid w:val="00257CF5"/>
    <w:rsid w:val="0026181A"/>
    <w:rsid w:val="00263033"/>
    <w:rsid w:val="002631FA"/>
    <w:rsid w:val="00266D85"/>
    <w:rsid w:val="0026741C"/>
    <w:rsid w:val="00270203"/>
    <w:rsid w:val="00270A5C"/>
    <w:rsid w:val="00271ED5"/>
    <w:rsid w:val="002738BD"/>
    <w:rsid w:val="0027426F"/>
    <w:rsid w:val="00274F20"/>
    <w:rsid w:val="00275086"/>
    <w:rsid w:val="00281D2E"/>
    <w:rsid w:val="00285C71"/>
    <w:rsid w:val="00286861"/>
    <w:rsid w:val="002936E5"/>
    <w:rsid w:val="00294ACD"/>
    <w:rsid w:val="0029597F"/>
    <w:rsid w:val="002A5634"/>
    <w:rsid w:val="002A5821"/>
    <w:rsid w:val="002A5B0D"/>
    <w:rsid w:val="002A7EB8"/>
    <w:rsid w:val="002B011A"/>
    <w:rsid w:val="002B05DA"/>
    <w:rsid w:val="002B1D61"/>
    <w:rsid w:val="002B61DF"/>
    <w:rsid w:val="002B6279"/>
    <w:rsid w:val="002C0106"/>
    <w:rsid w:val="002C044D"/>
    <w:rsid w:val="002C128D"/>
    <w:rsid w:val="002C2DA5"/>
    <w:rsid w:val="002C6DD9"/>
    <w:rsid w:val="002D04CA"/>
    <w:rsid w:val="002D1448"/>
    <w:rsid w:val="002D1DFF"/>
    <w:rsid w:val="002D22CC"/>
    <w:rsid w:val="002D2D2C"/>
    <w:rsid w:val="002D5A3E"/>
    <w:rsid w:val="002D689B"/>
    <w:rsid w:val="002E17F9"/>
    <w:rsid w:val="002E3946"/>
    <w:rsid w:val="002E3A67"/>
    <w:rsid w:val="002E53A5"/>
    <w:rsid w:val="002F02AE"/>
    <w:rsid w:val="002F03A3"/>
    <w:rsid w:val="002F09C5"/>
    <w:rsid w:val="002F20CA"/>
    <w:rsid w:val="002F348F"/>
    <w:rsid w:val="002F37B6"/>
    <w:rsid w:val="002F6928"/>
    <w:rsid w:val="00300188"/>
    <w:rsid w:val="00303285"/>
    <w:rsid w:val="00303F42"/>
    <w:rsid w:val="00305991"/>
    <w:rsid w:val="003062E5"/>
    <w:rsid w:val="00306896"/>
    <w:rsid w:val="003108C8"/>
    <w:rsid w:val="00311FCD"/>
    <w:rsid w:val="003123B4"/>
    <w:rsid w:val="003128E7"/>
    <w:rsid w:val="00315878"/>
    <w:rsid w:val="00316D1C"/>
    <w:rsid w:val="00321B38"/>
    <w:rsid w:val="00321E2C"/>
    <w:rsid w:val="00323F95"/>
    <w:rsid w:val="00324949"/>
    <w:rsid w:val="00326E90"/>
    <w:rsid w:val="00330A5C"/>
    <w:rsid w:val="00331179"/>
    <w:rsid w:val="00336122"/>
    <w:rsid w:val="00342611"/>
    <w:rsid w:val="0034591F"/>
    <w:rsid w:val="00345A37"/>
    <w:rsid w:val="00347D1C"/>
    <w:rsid w:val="003541A7"/>
    <w:rsid w:val="003563E4"/>
    <w:rsid w:val="00357226"/>
    <w:rsid w:val="0036210A"/>
    <w:rsid w:val="00362808"/>
    <w:rsid w:val="00367599"/>
    <w:rsid w:val="003677B2"/>
    <w:rsid w:val="00373591"/>
    <w:rsid w:val="00374F35"/>
    <w:rsid w:val="00374F70"/>
    <w:rsid w:val="0037604B"/>
    <w:rsid w:val="00382270"/>
    <w:rsid w:val="00385A41"/>
    <w:rsid w:val="0039134D"/>
    <w:rsid w:val="00391B1B"/>
    <w:rsid w:val="0039285C"/>
    <w:rsid w:val="003940FA"/>
    <w:rsid w:val="00394A0F"/>
    <w:rsid w:val="0039578B"/>
    <w:rsid w:val="003966D2"/>
    <w:rsid w:val="00396D03"/>
    <w:rsid w:val="003A5441"/>
    <w:rsid w:val="003A5687"/>
    <w:rsid w:val="003A5B64"/>
    <w:rsid w:val="003A7045"/>
    <w:rsid w:val="003A7AF8"/>
    <w:rsid w:val="003B09B3"/>
    <w:rsid w:val="003B0D83"/>
    <w:rsid w:val="003B1A80"/>
    <w:rsid w:val="003B2878"/>
    <w:rsid w:val="003B2C4A"/>
    <w:rsid w:val="003B371F"/>
    <w:rsid w:val="003B55EF"/>
    <w:rsid w:val="003B5774"/>
    <w:rsid w:val="003C19B5"/>
    <w:rsid w:val="003C2A1D"/>
    <w:rsid w:val="003C4D3D"/>
    <w:rsid w:val="003C673F"/>
    <w:rsid w:val="003C736F"/>
    <w:rsid w:val="003C76BA"/>
    <w:rsid w:val="003D12A3"/>
    <w:rsid w:val="003D6BCF"/>
    <w:rsid w:val="003E1A45"/>
    <w:rsid w:val="003E1F6B"/>
    <w:rsid w:val="003E3963"/>
    <w:rsid w:val="003E4DCC"/>
    <w:rsid w:val="003E6D73"/>
    <w:rsid w:val="003E7268"/>
    <w:rsid w:val="003E7B5D"/>
    <w:rsid w:val="003F2B01"/>
    <w:rsid w:val="003F3893"/>
    <w:rsid w:val="003F413D"/>
    <w:rsid w:val="003F5000"/>
    <w:rsid w:val="003F512D"/>
    <w:rsid w:val="003F5252"/>
    <w:rsid w:val="003F53C4"/>
    <w:rsid w:val="0040696C"/>
    <w:rsid w:val="00406987"/>
    <w:rsid w:val="00413EC3"/>
    <w:rsid w:val="00414022"/>
    <w:rsid w:val="00414E07"/>
    <w:rsid w:val="0041619C"/>
    <w:rsid w:val="004168E7"/>
    <w:rsid w:val="00416EA6"/>
    <w:rsid w:val="00417502"/>
    <w:rsid w:val="0042709A"/>
    <w:rsid w:val="004303B2"/>
    <w:rsid w:val="004313EC"/>
    <w:rsid w:val="00431C2F"/>
    <w:rsid w:val="00431E66"/>
    <w:rsid w:val="004344D2"/>
    <w:rsid w:val="004357DD"/>
    <w:rsid w:val="0043733E"/>
    <w:rsid w:val="00437D93"/>
    <w:rsid w:val="004406BE"/>
    <w:rsid w:val="00442504"/>
    <w:rsid w:val="00443169"/>
    <w:rsid w:val="00444490"/>
    <w:rsid w:val="0044713A"/>
    <w:rsid w:val="00447B4E"/>
    <w:rsid w:val="00454088"/>
    <w:rsid w:val="00454DB0"/>
    <w:rsid w:val="00456C5C"/>
    <w:rsid w:val="00457C06"/>
    <w:rsid w:val="0046035D"/>
    <w:rsid w:val="00461756"/>
    <w:rsid w:val="00462EDA"/>
    <w:rsid w:val="00466423"/>
    <w:rsid w:val="0046767A"/>
    <w:rsid w:val="00471D91"/>
    <w:rsid w:val="00472718"/>
    <w:rsid w:val="00473178"/>
    <w:rsid w:val="00475723"/>
    <w:rsid w:val="00476143"/>
    <w:rsid w:val="00477103"/>
    <w:rsid w:val="004777F1"/>
    <w:rsid w:val="00477E57"/>
    <w:rsid w:val="00480537"/>
    <w:rsid w:val="0049006E"/>
    <w:rsid w:val="004959F8"/>
    <w:rsid w:val="004960ED"/>
    <w:rsid w:val="004975F1"/>
    <w:rsid w:val="004A258C"/>
    <w:rsid w:val="004A31AE"/>
    <w:rsid w:val="004A3BAA"/>
    <w:rsid w:val="004A444E"/>
    <w:rsid w:val="004A664F"/>
    <w:rsid w:val="004B17E6"/>
    <w:rsid w:val="004B3060"/>
    <w:rsid w:val="004B5FFB"/>
    <w:rsid w:val="004C3CD7"/>
    <w:rsid w:val="004C5C48"/>
    <w:rsid w:val="004C6D25"/>
    <w:rsid w:val="004D2E8B"/>
    <w:rsid w:val="004D328A"/>
    <w:rsid w:val="004D4387"/>
    <w:rsid w:val="004D6725"/>
    <w:rsid w:val="004D6DCB"/>
    <w:rsid w:val="004E0478"/>
    <w:rsid w:val="004E391C"/>
    <w:rsid w:val="004F02EF"/>
    <w:rsid w:val="004F1359"/>
    <w:rsid w:val="004F18F8"/>
    <w:rsid w:val="00503244"/>
    <w:rsid w:val="00505827"/>
    <w:rsid w:val="00506A24"/>
    <w:rsid w:val="00506F35"/>
    <w:rsid w:val="00512F76"/>
    <w:rsid w:val="005139DC"/>
    <w:rsid w:val="00516AE1"/>
    <w:rsid w:val="00520AC8"/>
    <w:rsid w:val="00520CAC"/>
    <w:rsid w:val="005228B5"/>
    <w:rsid w:val="00525C4C"/>
    <w:rsid w:val="00531152"/>
    <w:rsid w:val="00531406"/>
    <w:rsid w:val="005322B8"/>
    <w:rsid w:val="00534780"/>
    <w:rsid w:val="00534A15"/>
    <w:rsid w:val="00536276"/>
    <w:rsid w:val="0054065F"/>
    <w:rsid w:val="005443F6"/>
    <w:rsid w:val="00544BE8"/>
    <w:rsid w:val="00546C63"/>
    <w:rsid w:val="00547143"/>
    <w:rsid w:val="00550AD7"/>
    <w:rsid w:val="00552547"/>
    <w:rsid w:val="00556699"/>
    <w:rsid w:val="00563634"/>
    <w:rsid w:val="00563A74"/>
    <w:rsid w:val="005645D8"/>
    <w:rsid w:val="00564E5E"/>
    <w:rsid w:val="00570A44"/>
    <w:rsid w:val="005714AC"/>
    <w:rsid w:val="005715BB"/>
    <w:rsid w:val="00572212"/>
    <w:rsid w:val="00573BF8"/>
    <w:rsid w:val="00573C73"/>
    <w:rsid w:val="00573CDE"/>
    <w:rsid w:val="00575285"/>
    <w:rsid w:val="00575777"/>
    <w:rsid w:val="00576120"/>
    <w:rsid w:val="005769C7"/>
    <w:rsid w:val="005774E0"/>
    <w:rsid w:val="00580125"/>
    <w:rsid w:val="00581B21"/>
    <w:rsid w:val="00582F8E"/>
    <w:rsid w:val="00584856"/>
    <w:rsid w:val="00591769"/>
    <w:rsid w:val="0059323A"/>
    <w:rsid w:val="00596B7F"/>
    <w:rsid w:val="0059794C"/>
    <w:rsid w:val="005A37AD"/>
    <w:rsid w:val="005B0DBB"/>
    <w:rsid w:val="005B1FA8"/>
    <w:rsid w:val="005B32EF"/>
    <w:rsid w:val="005B418A"/>
    <w:rsid w:val="005B69A6"/>
    <w:rsid w:val="005C0216"/>
    <w:rsid w:val="005C10AD"/>
    <w:rsid w:val="005C377A"/>
    <w:rsid w:val="005C3B14"/>
    <w:rsid w:val="005C4B3D"/>
    <w:rsid w:val="005D01CA"/>
    <w:rsid w:val="005D170E"/>
    <w:rsid w:val="005D1A55"/>
    <w:rsid w:val="005D20EF"/>
    <w:rsid w:val="005D233C"/>
    <w:rsid w:val="005D3C72"/>
    <w:rsid w:val="005D48E6"/>
    <w:rsid w:val="005D50EF"/>
    <w:rsid w:val="005D5BCB"/>
    <w:rsid w:val="005E0AAA"/>
    <w:rsid w:val="005E553F"/>
    <w:rsid w:val="005F14C4"/>
    <w:rsid w:val="005F310A"/>
    <w:rsid w:val="005F77E6"/>
    <w:rsid w:val="005F7C11"/>
    <w:rsid w:val="006019CF"/>
    <w:rsid w:val="00603225"/>
    <w:rsid w:val="00607B62"/>
    <w:rsid w:val="0061039B"/>
    <w:rsid w:val="006108BB"/>
    <w:rsid w:val="00613C98"/>
    <w:rsid w:val="0061598B"/>
    <w:rsid w:val="00615DDA"/>
    <w:rsid w:val="006179B5"/>
    <w:rsid w:val="00620582"/>
    <w:rsid w:val="00621414"/>
    <w:rsid w:val="00623109"/>
    <w:rsid w:val="006239D0"/>
    <w:rsid w:val="0063582A"/>
    <w:rsid w:val="00640168"/>
    <w:rsid w:val="00641C46"/>
    <w:rsid w:val="00641D25"/>
    <w:rsid w:val="00645DFE"/>
    <w:rsid w:val="00647647"/>
    <w:rsid w:val="00647CEC"/>
    <w:rsid w:val="00650787"/>
    <w:rsid w:val="006535DE"/>
    <w:rsid w:val="00655AF2"/>
    <w:rsid w:val="006629A8"/>
    <w:rsid w:val="00663FA7"/>
    <w:rsid w:val="00664174"/>
    <w:rsid w:val="0066687E"/>
    <w:rsid w:val="0067112B"/>
    <w:rsid w:val="0067511D"/>
    <w:rsid w:val="0067533B"/>
    <w:rsid w:val="00677F78"/>
    <w:rsid w:val="0068168A"/>
    <w:rsid w:val="00687979"/>
    <w:rsid w:val="00687FCD"/>
    <w:rsid w:val="00691742"/>
    <w:rsid w:val="006951B7"/>
    <w:rsid w:val="00695652"/>
    <w:rsid w:val="006B35A2"/>
    <w:rsid w:val="006B3F26"/>
    <w:rsid w:val="006C1533"/>
    <w:rsid w:val="006C2ED0"/>
    <w:rsid w:val="006C40E8"/>
    <w:rsid w:val="006C5565"/>
    <w:rsid w:val="006C7606"/>
    <w:rsid w:val="006C7A90"/>
    <w:rsid w:val="006D25E0"/>
    <w:rsid w:val="006D382D"/>
    <w:rsid w:val="006D3E36"/>
    <w:rsid w:val="006D7B47"/>
    <w:rsid w:val="006E3785"/>
    <w:rsid w:val="006E3BBC"/>
    <w:rsid w:val="006E3C30"/>
    <w:rsid w:val="006E4A42"/>
    <w:rsid w:val="006E4FA9"/>
    <w:rsid w:val="006E5A92"/>
    <w:rsid w:val="006E71E9"/>
    <w:rsid w:val="006E7BD3"/>
    <w:rsid w:val="006F17FF"/>
    <w:rsid w:val="006F40CE"/>
    <w:rsid w:val="006F4295"/>
    <w:rsid w:val="006F4B54"/>
    <w:rsid w:val="006F507C"/>
    <w:rsid w:val="006F62E5"/>
    <w:rsid w:val="006F7039"/>
    <w:rsid w:val="007011B8"/>
    <w:rsid w:val="00703B01"/>
    <w:rsid w:val="0070496C"/>
    <w:rsid w:val="00710B26"/>
    <w:rsid w:val="00710DC1"/>
    <w:rsid w:val="007124C8"/>
    <w:rsid w:val="00713173"/>
    <w:rsid w:val="00715924"/>
    <w:rsid w:val="007159C1"/>
    <w:rsid w:val="00715EDA"/>
    <w:rsid w:val="00717F6A"/>
    <w:rsid w:val="00720559"/>
    <w:rsid w:val="00720CFB"/>
    <w:rsid w:val="00721FF5"/>
    <w:rsid w:val="00723FB0"/>
    <w:rsid w:val="0072495E"/>
    <w:rsid w:val="007260CF"/>
    <w:rsid w:val="00727237"/>
    <w:rsid w:val="00730850"/>
    <w:rsid w:val="00732CAC"/>
    <w:rsid w:val="00734783"/>
    <w:rsid w:val="007354DB"/>
    <w:rsid w:val="007365EC"/>
    <w:rsid w:val="007374A9"/>
    <w:rsid w:val="00740EF9"/>
    <w:rsid w:val="00743211"/>
    <w:rsid w:val="00747AAF"/>
    <w:rsid w:val="00747E3C"/>
    <w:rsid w:val="007576B5"/>
    <w:rsid w:val="00761476"/>
    <w:rsid w:val="00761A3D"/>
    <w:rsid w:val="00767A80"/>
    <w:rsid w:val="00772564"/>
    <w:rsid w:val="00773973"/>
    <w:rsid w:val="00777A6F"/>
    <w:rsid w:val="00782188"/>
    <w:rsid w:val="00782279"/>
    <w:rsid w:val="007829D3"/>
    <w:rsid w:val="007839A8"/>
    <w:rsid w:val="007906D6"/>
    <w:rsid w:val="007923B2"/>
    <w:rsid w:val="00792976"/>
    <w:rsid w:val="007935D6"/>
    <w:rsid w:val="00793BFE"/>
    <w:rsid w:val="00793DDE"/>
    <w:rsid w:val="00794035"/>
    <w:rsid w:val="0079763D"/>
    <w:rsid w:val="007A0DE4"/>
    <w:rsid w:val="007A0F9B"/>
    <w:rsid w:val="007A14A0"/>
    <w:rsid w:val="007A4ECF"/>
    <w:rsid w:val="007A564D"/>
    <w:rsid w:val="007A5E18"/>
    <w:rsid w:val="007A6852"/>
    <w:rsid w:val="007B0CDF"/>
    <w:rsid w:val="007B0F72"/>
    <w:rsid w:val="007B126C"/>
    <w:rsid w:val="007B2761"/>
    <w:rsid w:val="007B40CD"/>
    <w:rsid w:val="007C241C"/>
    <w:rsid w:val="007C2757"/>
    <w:rsid w:val="007C37AA"/>
    <w:rsid w:val="007C3986"/>
    <w:rsid w:val="007C39F0"/>
    <w:rsid w:val="007C3BDC"/>
    <w:rsid w:val="007C4BF3"/>
    <w:rsid w:val="007D1416"/>
    <w:rsid w:val="007D2A0F"/>
    <w:rsid w:val="007D45B0"/>
    <w:rsid w:val="007D5C7D"/>
    <w:rsid w:val="007D7142"/>
    <w:rsid w:val="007E269A"/>
    <w:rsid w:val="007E3AF6"/>
    <w:rsid w:val="007E70D4"/>
    <w:rsid w:val="007E782A"/>
    <w:rsid w:val="007F000C"/>
    <w:rsid w:val="007F0B1C"/>
    <w:rsid w:val="007F14A4"/>
    <w:rsid w:val="007F4922"/>
    <w:rsid w:val="007F5806"/>
    <w:rsid w:val="007F5EDF"/>
    <w:rsid w:val="007F70AD"/>
    <w:rsid w:val="0080096D"/>
    <w:rsid w:val="00800ECA"/>
    <w:rsid w:val="0080197E"/>
    <w:rsid w:val="00803418"/>
    <w:rsid w:val="00803A81"/>
    <w:rsid w:val="00803CE4"/>
    <w:rsid w:val="00804598"/>
    <w:rsid w:val="00813769"/>
    <w:rsid w:val="00815407"/>
    <w:rsid w:val="008154CD"/>
    <w:rsid w:val="008158C7"/>
    <w:rsid w:val="008164F6"/>
    <w:rsid w:val="00821459"/>
    <w:rsid w:val="008221C8"/>
    <w:rsid w:val="00823CC4"/>
    <w:rsid w:val="00824361"/>
    <w:rsid w:val="00827A04"/>
    <w:rsid w:val="00827A3D"/>
    <w:rsid w:val="00831898"/>
    <w:rsid w:val="00836A9B"/>
    <w:rsid w:val="00840312"/>
    <w:rsid w:val="00842C20"/>
    <w:rsid w:val="008447C3"/>
    <w:rsid w:val="00844ECF"/>
    <w:rsid w:val="0084640E"/>
    <w:rsid w:val="008469FE"/>
    <w:rsid w:val="00850CE6"/>
    <w:rsid w:val="00860733"/>
    <w:rsid w:val="00860CB9"/>
    <w:rsid w:val="00861079"/>
    <w:rsid w:val="0086370A"/>
    <w:rsid w:val="00865DF7"/>
    <w:rsid w:val="00867682"/>
    <w:rsid w:val="00867CAC"/>
    <w:rsid w:val="00871D10"/>
    <w:rsid w:val="00873049"/>
    <w:rsid w:val="008809B8"/>
    <w:rsid w:val="008844B5"/>
    <w:rsid w:val="008865D4"/>
    <w:rsid w:val="00887920"/>
    <w:rsid w:val="008906C0"/>
    <w:rsid w:val="0089171D"/>
    <w:rsid w:val="00893C11"/>
    <w:rsid w:val="008941C9"/>
    <w:rsid w:val="0089482F"/>
    <w:rsid w:val="00894879"/>
    <w:rsid w:val="00895B54"/>
    <w:rsid w:val="00897350"/>
    <w:rsid w:val="008A015A"/>
    <w:rsid w:val="008A0AEE"/>
    <w:rsid w:val="008A3984"/>
    <w:rsid w:val="008A412E"/>
    <w:rsid w:val="008A469E"/>
    <w:rsid w:val="008A54BF"/>
    <w:rsid w:val="008A5B02"/>
    <w:rsid w:val="008A79E3"/>
    <w:rsid w:val="008B27EB"/>
    <w:rsid w:val="008B35C9"/>
    <w:rsid w:val="008B4633"/>
    <w:rsid w:val="008B67A4"/>
    <w:rsid w:val="008C02A6"/>
    <w:rsid w:val="008C0CDA"/>
    <w:rsid w:val="008C1CD2"/>
    <w:rsid w:val="008C22F7"/>
    <w:rsid w:val="008C2694"/>
    <w:rsid w:val="008C2939"/>
    <w:rsid w:val="008C4B1D"/>
    <w:rsid w:val="008C4F7F"/>
    <w:rsid w:val="008C78FA"/>
    <w:rsid w:val="008D54D5"/>
    <w:rsid w:val="008D5CB9"/>
    <w:rsid w:val="008D6788"/>
    <w:rsid w:val="008D7409"/>
    <w:rsid w:val="008D7B58"/>
    <w:rsid w:val="008D7F6F"/>
    <w:rsid w:val="008E087A"/>
    <w:rsid w:val="008E18F4"/>
    <w:rsid w:val="008E5C74"/>
    <w:rsid w:val="008E6194"/>
    <w:rsid w:val="008F0A89"/>
    <w:rsid w:val="008F3DC9"/>
    <w:rsid w:val="008F4829"/>
    <w:rsid w:val="008F4FE9"/>
    <w:rsid w:val="008F5703"/>
    <w:rsid w:val="008F5734"/>
    <w:rsid w:val="008F6362"/>
    <w:rsid w:val="008F6643"/>
    <w:rsid w:val="008F697C"/>
    <w:rsid w:val="009027E8"/>
    <w:rsid w:val="00902A68"/>
    <w:rsid w:val="0090403C"/>
    <w:rsid w:val="0090425E"/>
    <w:rsid w:val="0091107D"/>
    <w:rsid w:val="0091228A"/>
    <w:rsid w:val="00913F26"/>
    <w:rsid w:val="00917709"/>
    <w:rsid w:val="009217CA"/>
    <w:rsid w:val="009227ED"/>
    <w:rsid w:val="00922E28"/>
    <w:rsid w:val="009249C7"/>
    <w:rsid w:val="00925070"/>
    <w:rsid w:val="0092618F"/>
    <w:rsid w:val="009267E1"/>
    <w:rsid w:val="0093143D"/>
    <w:rsid w:val="009319F7"/>
    <w:rsid w:val="00932ECA"/>
    <w:rsid w:val="0093488E"/>
    <w:rsid w:val="009361D2"/>
    <w:rsid w:val="00936E13"/>
    <w:rsid w:val="0094157E"/>
    <w:rsid w:val="00941656"/>
    <w:rsid w:val="00942D8B"/>
    <w:rsid w:val="009439E2"/>
    <w:rsid w:val="00944364"/>
    <w:rsid w:val="009445D4"/>
    <w:rsid w:val="00945697"/>
    <w:rsid w:val="00947192"/>
    <w:rsid w:val="009505E9"/>
    <w:rsid w:val="00954C2B"/>
    <w:rsid w:val="00955F08"/>
    <w:rsid w:val="0096005C"/>
    <w:rsid w:val="009606DC"/>
    <w:rsid w:val="0096380C"/>
    <w:rsid w:val="0096425D"/>
    <w:rsid w:val="0096679D"/>
    <w:rsid w:val="009700D4"/>
    <w:rsid w:val="009718B8"/>
    <w:rsid w:val="00971CA5"/>
    <w:rsid w:val="0097366A"/>
    <w:rsid w:val="00973AF0"/>
    <w:rsid w:val="009740B9"/>
    <w:rsid w:val="00974D1C"/>
    <w:rsid w:val="00974F4C"/>
    <w:rsid w:val="009776FD"/>
    <w:rsid w:val="00977A56"/>
    <w:rsid w:val="00980135"/>
    <w:rsid w:val="00980D3C"/>
    <w:rsid w:val="00980DCA"/>
    <w:rsid w:val="009824FE"/>
    <w:rsid w:val="00982C45"/>
    <w:rsid w:val="00982D59"/>
    <w:rsid w:val="0098336E"/>
    <w:rsid w:val="009833BD"/>
    <w:rsid w:val="00993885"/>
    <w:rsid w:val="009941F2"/>
    <w:rsid w:val="009948CA"/>
    <w:rsid w:val="009952E3"/>
    <w:rsid w:val="00995A62"/>
    <w:rsid w:val="00995BB3"/>
    <w:rsid w:val="0099754D"/>
    <w:rsid w:val="0099763A"/>
    <w:rsid w:val="009B0588"/>
    <w:rsid w:val="009B359B"/>
    <w:rsid w:val="009C7728"/>
    <w:rsid w:val="009D57DC"/>
    <w:rsid w:val="009D771F"/>
    <w:rsid w:val="009E0491"/>
    <w:rsid w:val="009E1AD3"/>
    <w:rsid w:val="009E2C1C"/>
    <w:rsid w:val="009E35E9"/>
    <w:rsid w:val="009E3950"/>
    <w:rsid w:val="009E56A6"/>
    <w:rsid w:val="009F2F78"/>
    <w:rsid w:val="009F718D"/>
    <w:rsid w:val="00A001BE"/>
    <w:rsid w:val="00A0636A"/>
    <w:rsid w:val="00A07D9C"/>
    <w:rsid w:val="00A10464"/>
    <w:rsid w:val="00A10C8B"/>
    <w:rsid w:val="00A13017"/>
    <w:rsid w:val="00A13DA4"/>
    <w:rsid w:val="00A17750"/>
    <w:rsid w:val="00A201E0"/>
    <w:rsid w:val="00A23C14"/>
    <w:rsid w:val="00A27ED2"/>
    <w:rsid w:val="00A30FAD"/>
    <w:rsid w:val="00A318E1"/>
    <w:rsid w:val="00A335D2"/>
    <w:rsid w:val="00A35FB1"/>
    <w:rsid w:val="00A362A2"/>
    <w:rsid w:val="00A3671F"/>
    <w:rsid w:val="00A41561"/>
    <w:rsid w:val="00A424AD"/>
    <w:rsid w:val="00A4711F"/>
    <w:rsid w:val="00A520F3"/>
    <w:rsid w:val="00A523AA"/>
    <w:rsid w:val="00A524F6"/>
    <w:rsid w:val="00A54170"/>
    <w:rsid w:val="00A541E5"/>
    <w:rsid w:val="00A554A6"/>
    <w:rsid w:val="00A56CE6"/>
    <w:rsid w:val="00A60E15"/>
    <w:rsid w:val="00A60F03"/>
    <w:rsid w:val="00A61EAA"/>
    <w:rsid w:val="00A644C0"/>
    <w:rsid w:val="00A67D17"/>
    <w:rsid w:val="00A706D4"/>
    <w:rsid w:val="00A70A5C"/>
    <w:rsid w:val="00A713A8"/>
    <w:rsid w:val="00A720B7"/>
    <w:rsid w:val="00A731A1"/>
    <w:rsid w:val="00A73CED"/>
    <w:rsid w:val="00A742AC"/>
    <w:rsid w:val="00A756FE"/>
    <w:rsid w:val="00A800B8"/>
    <w:rsid w:val="00A81D6A"/>
    <w:rsid w:val="00A822DE"/>
    <w:rsid w:val="00A84833"/>
    <w:rsid w:val="00A8770B"/>
    <w:rsid w:val="00A90D91"/>
    <w:rsid w:val="00A911D2"/>
    <w:rsid w:val="00A917DB"/>
    <w:rsid w:val="00A92986"/>
    <w:rsid w:val="00A9360D"/>
    <w:rsid w:val="00A93E4A"/>
    <w:rsid w:val="00A96A2B"/>
    <w:rsid w:val="00AA214F"/>
    <w:rsid w:val="00AA2ABE"/>
    <w:rsid w:val="00AB0109"/>
    <w:rsid w:val="00AB15F8"/>
    <w:rsid w:val="00AB20A7"/>
    <w:rsid w:val="00AB23C7"/>
    <w:rsid w:val="00AB39FB"/>
    <w:rsid w:val="00AB502E"/>
    <w:rsid w:val="00AB7ADF"/>
    <w:rsid w:val="00AC1854"/>
    <w:rsid w:val="00AC21AF"/>
    <w:rsid w:val="00AC545C"/>
    <w:rsid w:val="00AC6C60"/>
    <w:rsid w:val="00AD16D0"/>
    <w:rsid w:val="00AD64B1"/>
    <w:rsid w:val="00AD66C7"/>
    <w:rsid w:val="00AE404F"/>
    <w:rsid w:val="00AE5F02"/>
    <w:rsid w:val="00AE664A"/>
    <w:rsid w:val="00AE6C6D"/>
    <w:rsid w:val="00AF1390"/>
    <w:rsid w:val="00AF155A"/>
    <w:rsid w:val="00AF18CE"/>
    <w:rsid w:val="00AF5658"/>
    <w:rsid w:val="00AF6195"/>
    <w:rsid w:val="00B01D02"/>
    <w:rsid w:val="00B03416"/>
    <w:rsid w:val="00B0593A"/>
    <w:rsid w:val="00B06F0C"/>
    <w:rsid w:val="00B112CA"/>
    <w:rsid w:val="00B12853"/>
    <w:rsid w:val="00B14DB7"/>
    <w:rsid w:val="00B171F7"/>
    <w:rsid w:val="00B17E30"/>
    <w:rsid w:val="00B253EC"/>
    <w:rsid w:val="00B254FC"/>
    <w:rsid w:val="00B26025"/>
    <w:rsid w:val="00B30F67"/>
    <w:rsid w:val="00B32B38"/>
    <w:rsid w:val="00B34228"/>
    <w:rsid w:val="00B35A5C"/>
    <w:rsid w:val="00B3626D"/>
    <w:rsid w:val="00B4107D"/>
    <w:rsid w:val="00B43528"/>
    <w:rsid w:val="00B44BBF"/>
    <w:rsid w:val="00B477CD"/>
    <w:rsid w:val="00B5125D"/>
    <w:rsid w:val="00B51BB4"/>
    <w:rsid w:val="00B5348A"/>
    <w:rsid w:val="00B5492B"/>
    <w:rsid w:val="00B5647B"/>
    <w:rsid w:val="00B611AB"/>
    <w:rsid w:val="00B652C8"/>
    <w:rsid w:val="00B660D8"/>
    <w:rsid w:val="00B71A35"/>
    <w:rsid w:val="00B77C2E"/>
    <w:rsid w:val="00B84F6E"/>
    <w:rsid w:val="00B86C3A"/>
    <w:rsid w:val="00B86DC5"/>
    <w:rsid w:val="00B92CF7"/>
    <w:rsid w:val="00B93A16"/>
    <w:rsid w:val="00B94AA7"/>
    <w:rsid w:val="00B95E4D"/>
    <w:rsid w:val="00B9777B"/>
    <w:rsid w:val="00BA05A6"/>
    <w:rsid w:val="00BA7196"/>
    <w:rsid w:val="00BA7DD6"/>
    <w:rsid w:val="00BB05B8"/>
    <w:rsid w:val="00BB0E7A"/>
    <w:rsid w:val="00BB5F7F"/>
    <w:rsid w:val="00BC0BF6"/>
    <w:rsid w:val="00BC1210"/>
    <w:rsid w:val="00BC3720"/>
    <w:rsid w:val="00BC3BF7"/>
    <w:rsid w:val="00BC5CC6"/>
    <w:rsid w:val="00BC73CB"/>
    <w:rsid w:val="00BC7F28"/>
    <w:rsid w:val="00BD2EDB"/>
    <w:rsid w:val="00BD306F"/>
    <w:rsid w:val="00BD31B6"/>
    <w:rsid w:val="00BD3599"/>
    <w:rsid w:val="00BD413E"/>
    <w:rsid w:val="00BD7471"/>
    <w:rsid w:val="00BD7A91"/>
    <w:rsid w:val="00BE09C5"/>
    <w:rsid w:val="00BE2D27"/>
    <w:rsid w:val="00BE4ECB"/>
    <w:rsid w:val="00BE54E4"/>
    <w:rsid w:val="00BE6D96"/>
    <w:rsid w:val="00BF10E2"/>
    <w:rsid w:val="00BF1624"/>
    <w:rsid w:val="00BF1940"/>
    <w:rsid w:val="00BF45EA"/>
    <w:rsid w:val="00BF45F3"/>
    <w:rsid w:val="00BF7115"/>
    <w:rsid w:val="00C00270"/>
    <w:rsid w:val="00C00A9D"/>
    <w:rsid w:val="00C04B77"/>
    <w:rsid w:val="00C06465"/>
    <w:rsid w:val="00C06AB0"/>
    <w:rsid w:val="00C10B84"/>
    <w:rsid w:val="00C156F4"/>
    <w:rsid w:val="00C16720"/>
    <w:rsid w:val="00C176E2"/>
    <w:rsid w:val="00C206C2"/>
    <w:rsid w:val="00C2262F"/>
    <w:rsid w:val="00C251F1"/>
    <w:rsid w:val="00C30198"/>
    <w:rsid w:val="00C318CD"/>
    <w:rsid w:val="00C319EF"/>
    <w:rsid w:val="00C34260"/>
    <w:rsid w:val="00C37D7D"/>
    <w:rsid w:val="00C405B1"/>
    <w:rsid w:val="00C41185"/>
    <w:rsid w:val="00C43A13"/>
    <w:rsid w:val="00C4790C"/>
    <w:rsid w:val="00C51386"/>
    <w:rsid w:val="00C51F8F"/>
    <w:rsid w:val="00C52265"/>
    <w:rsid w:val="00C53D70"/>
    <w:rsid w:val="00C55499"/>
    <w:rsid w:val="00C57583"/>
    <w:rsid w:val="00C61305"/>
    <w:rsid w:val="00C6309F"/>
    <w:rsid w:val="00C65805"/>
    <w:rsid w:val="00C71959"/>
    <w:rsid w:val="00C71FEB"/>
    <w:rsid w:val="00C735B8"/>
    <w:rsid w:val="00C7473C"/>
    <w:rsid w:val="00C74A86"/>
    <w:rsid w:val="00C7527F"/>
    <w:rsid w:val="00C752E3"/>
    <w:rsid w:val="00C80701"/>
    <w:rsid w:val="00C810A0"/>
    <w:rsid w:val="00C84151"/>
    <w:rsid w:val="00C90142"/>
    <w:rsid w:val="00C9232E"/>
    <w:rsid w:val="00C94ACC"/>
    <w:rsid w:val="00C954EF"/>
    <w:rsid w:val="00CA0AD5"/>
    <w:rsid w:val="00CA1847"/>
    <w:rsid w:val="00CA3630"/>
    <w:rsid w:val="00CA6712"/>
    <w:rsid w:val="00CA7030"/>
    <w:rsid w:val="00CB0612"/>
    <w:rsid w:val="00CB187B"/>
    <w:rsid w:val="00CB45A9"/>
    <w:rsid w:val="00CB7DAA"/>
    <w:rsid w:val="00CC2134"/>
    <w:rsid w:val="00CC2E9F"/>
    <w:rsid w:val="00CC3BB7"/>
    <w:rsid w:val="00CC6248"/>
    <w:rsid w:val="00CC6D0F"/>
    <w:rsid w:val="00CC7236"/>
    <w:rsid w:val="00CC7F05"/>
    <w:rsid w:val="00CD0D6C"/>
    <w:rsid w:val="00CD60FF"/>
    <w:rsid w:val="00CE343A"/>
    <w:rsid w:val="00CE6056"/>
    <w:rsid w:val="00CF1A8E"/>
    <w:rsid w:val="00CF1C6A"/>
    <w:rsid w:val="00CF462E"/>
    <w:rsid w:val="00CF6723"/>
    <w:rsid w:val="00D03561"/>
    <w:rsid w:val="00D044D9"/>
    <w:rsid w:val="00D05844"/>
    <w:rsid w:val="00D062EE"/>
    <w:rsid w:val="00D104BB"/>
    <w:rsid w:val="00D10FE8"/>
    <w:rsid w:val="00D11A61"/>
    <w:rsid w:val="00D15B6D"/>
    <w:rsid w:val="00D20740"/>
    <w:rsid w:val="00D20D79"/>
    <w:rsid w:val="00D23019"/>
    <w:rsid w:val="00D2727F"/>
    <w:rsid w:val="00D30A91"/>
    <w:rsid w:val="00D342D7"/>
    <w:rsid w:val="00D3482F"/>
    <w:rsid w:val="00D3562B"/>
    <w:rsid w:val="00D359FA"/>
    <w:rsid w:val="00D36C13"/>
    <w:rsid w:val="00D37DBA"/>
    <w:rsid w:val="00D4273D"/>
    <w:rsid w:val="00D428FA"/>
    <w:rsid w:val="00D44795"/>
    <w:rsid w:val="00D44A71"/>
    <w:rsid w:val="00D45F4F"/>
    <w:rsid w:val="00D46403"/>
    <w:rsid w:val="00D50967"/>
    <w:rsid w:val="00D51695"/>
    <w:rsid w:val="00D5319F"/>
    <w:rsid w:val="00D53BD5"/>
    <w:rsid w:val="00D54E32"/>
    <w:rsid w:val="00D5568E"/>
    <w:rsid w:val="00D5745E"/>
    <w:rsid w:val="00D578A0"/>
    <w:rsid w:val="00D64EBE"/>
    <w:rsid w:val="00D655E7"/>
    <w:rsid w:val="00D65A82"/>
    <w:rsid w:val="00D74A3E"/>
    <w:rsid w:val="00D74B79"/>
    <w:rsid w:val="00D754B3"/>
    <w:rsid w:val="00D757DC"/>
    <w:rsid w:val="00D75AC9"/>
    <w:rsid w:val="00D76A94"/>
    <w:rsid w:val="00D80988"/>
    <w:rsid w:val="00D80C81"/>
    <w:rsid w:val="00D81039"/>
    <w:rsid w:val="00D83A92"/>
    <w:rsid w:val="00D84B35"/>
    <w:rsid w:val="00D8503C"/>
    <w:rsid w:val="00D85741"/>
    <w:rsid w:val="00D87E02"/>
    <w:rsid w:val="00D87FA0"/>
    <w:rsid w:val="00D9216E"/>
    <w:rsid w:val="00D92AD9"/>
    <w:rsid w:val="00D9793D"/>
    <w:rsid w:val="00DA0041"/>
    <w:rsid w:val="00DA0325"/>
    <w:rsid w:val="00DA23E9"/>
    <w:rsid w:val="00DA4B15"/>
    <w:rsid w:val="00DA5D9D"/>
    <w:rsid w:val="00DA6887"/>
    <w:rsid w:val="00DA6DBE"/>
    <w:rsid w:val="00DB2177"/>
    <w:rsid w:val="00DB3E63"/>
    <w:rsid w:val="00DB3FBC"/>
    <w:rsid w:val="00DB4A55"/>
    <w:rsid w:val="00DB4F21"/>
    <w:rsid w:val="00DB778A"/>
    <w:rsid w:val="00DC25C6"/>
    <w:rsid w:val="00DC4B64"/>
    <w:rsid w:val="00DC5440"/>
    <w:rsid w:val="00DD1698"/>
    <w:rsid w:val="00DD1A78"/>
    <w:rsid w:val="00DD4F89"/>
    <w:rsid w:val="00DD6B3E"/>
    <w:rsid w:val="00DE0B8B"/>
    <w:rsid w:val="00DE1AAC"/>
    <w:rsid w:val="00DE1CE3"/>
    <w:rsid w:val="00DE5D7A"/>
    <w:rsid w:val="00DE76F1"/>
    <w:rsid w:val="00DF199C"/>
    <w:rsid w:val="00DF5856"/>
    <w:rsid w:val="00DF6ADC"/>
    <w:rsid w:val="00DF6B3E"/>
    <w:rsid w:val="00DF7AB6"/>
    <w:rsid w:val="00DF7C89"/>
    <w:rsid w:val="00E02652"/>
    <w:rsid w:val="00E044E0"/>
    <w:rsid w:val="00E05DF2"/>
    <w:rsid w:val="00E06041"/>
    <w:rsid w:val="00E06866"/>
    <w:rsid w:val="00E07BF8"/>
    <w:rsid w:val="00E12288"/>
    <w:rsid w:val="00E1355B"/>
    <w:rsid w:val="00E15822"/>
    <w:rsid w:val="00E15C1B"/>
    <w:rsid w:val="00E21266"/>
    <w:rsid w:val="00E227FF"/>
    <w:rsid w:val="00E236E1"/>
    <w:rsid w:val="00E31876"/>
    <w:rsid w:val="00E32855"/>
    <w:rsid w:val="00E36209"/>
    <w:rsid w:val="00E36B80"/>
    <w:rsid w:val="00E401C6"/>
    <w:rsid w:val="00E41FF3"/>
    <w:rsid w:val="00E43144"/>
    <w:rsid w:val="00E43174"/>
    <w:rsid w:val="00E46304"/>
    <w:rsid w:val="00E50B8D"/>
    <w:rsid w:val="00E5326F"/>
    <w:rsid w:val="00E55555"/>
    <w:rsid w:val="00E55CAD"/>
    <w:rsid w:val="00E56263"/>
    <w:rsid w:val="00E57BE9"/>
    <w:rsid w:val="00E605F4"/>
    <w:rsid w:val="00E60EAB"/>
    <w:rsid w:val="00E60F32"/>
    <w:rsid w:val="00E62388"/>
    <w:rsid w:val="00E64FFE"/>
    <w:rsid w:val="00E70797"/>
    <w:rsid w:val="00E71348"/>
    <w:rsid w:val="00E7181B"/>
    <w:rsid w:val="00E73C4E"/>
    <w:rsid w:val="00E77ABF"/>
    <w:rsid w:val="00E81287"/>
    <w:rsid w:val="00E83460"/>
    <w:rsid w:val="00E834DB"/>
    <w:rsid w:val="00E84AA6"/>
    <w:rsid w:val="00E90629"/>
    <w:rsid w:val="00E96BAD"/>
    <w:rsid w:val="00E97396"/>
    <w:rsid w:val="00EA0AFA"/>
    <w:rsid w:val="00EA1E3C"/>
    <w:rsid w:val="00EA2C30"/>
    <w:rsid w:val="00EA38F9"/>
    <w:rsid w:val="00EA45B8"/>
    <w:rsid w:val="00EA5EE9"/>
    <w:rsid w:val="00EB25C8"/>
    <w:rsid w:val="00EB281B"/>
    <w:rsid w:val="00EB713E"/>
    <w:rsid w:val="00EB76AE"/>
    <w:rsid w:val="00EC086D"/>
    <w:rsid w:val="00EC1266"/>
    <w:rsid w:val="00EC248C"/>
    <w:rsid w:val="00EC58C3"/>
    <w:rsid w:val="00EC75D6"/>
    <w:rsid w:val="00ED1D2D"/>
    <w:rsid w:val="00ED36D5"/>
    <w:rsid w:val="00ED4DBF"/>
    <w:rsid w:val="00EE1FFD"/>
    <w:rsid w:val="00EE23D2"/>
    <w:rsid w:val="00EE6801"/>
    <w:rsid w:val="00EF16E4"/>
    <w:rsid w:val="00EF1EFD"/>
    <w:rsid w:val="00EF707D"/>
    <w:rsid w:val="00F003BF"/>
    <w:rsid w:val="00F01078"/>
    <w:rsid w:val="00F01124"/>
    <w:rsid w:val="00F026BA"/>
    <w:rsid w:val="00F02B21"/>
    <w:rsid w:val="00F052E9"/>
    <w:rsid w:val="00F10189"/>
    <w:rsid w:val="00F13D1F"/>
    <w:rsid w:val="00F146F3"/>
    <w:rsid w:val="00F15497"/>
    <w:rsid w:val="00F20C43"/>
    <w:rsid w:val="00F20EC2"/>
    <w:rsid w:val="00F21358"/>
    <w:rsid w:val="00F21380"/>
    <w:rsid w:val="00F21CED"/>
    <w:rsid w:val="00F30FFA"/>
    <w:rsid w:val="00F31EA7"/>
    <w:rsid w:val="00F3458D"/>
    <w:rsid w:val="00F34D7D"/>
    <w:rsid w:val="00F374E2"/>
    <w:rsid w:val="00F41820"/>
    <w:rsid w:val="00F42703"/>
    <w:rsid w:val="00F43354"/>
    <w:rsid w:val="00F43D46"/>
    <w:rsid w:val="00F44E05"/>
    <w:rsid w:val="00F47FCD"/>
    <w:rsid w:val="00F5403C"/>
    <w:rsid w:val="00F54BDF"/>
    <w:rsid w:val="00F558FE"/>
    <w:rsid w:val="00F56B6B"/>
    <w:rsid w:val="00F5753D"/>
    <w:rsid w:val="00F57B7A"/>
    <w:rsid w:val="00F60A50"/>
    <w:rsid w:val="00F62C5E"/>
    <w:rsid w:val="00F65899"/>
    <w:rsid w:val="00F65AE1"/>
    <w:rsid w:val="00F7003E"/>
    <w:rsid w:val="00F70665"/>
    <w:rsid w:val="00F707FC"/>
    <w:rsid w:val="00F70C07"/>
    <w:rsid w:val="00F74E4F"/>
    <w:rsid w:val="00F8112B"/>
    <w:rsid w:val="00F82CBE"/>
    <w:rsid w:val="00F82F27"/>
    <w:rsid w:val="00F84E9D"/>
    <w:rsid w:val="00F85AC2"/>
    <w:rsid w:val="00F874D1"/>
    <w:rsid w:val="00F90065"/>
    <w:rsid w:val="00F91CE6"/>
    <w:rsid w:val="00F9218F"/>
    <w:rsid w:val="00F925B7"/>
    <w:rsid w:val="00F9357F"/>
    <w:rsid w:val="00F95FE7"/>
    <w:rsid w:val="00F96CB7"/>
    <w:rsid w:val="00FA1A02"/>
    <w:rsid w:val="00FA2559"/>
    <w:rsid w:val="00FA33FD"/>
    <w:rsid w:val="00FA3DB4"/>
    <w:rsid w:val="00FA7389"/>
    <w:rsid w:val="00FB08FD"/>
    <w:rsid w:val="00FB1135"/>
    <w:rsid w:val="00FB5145"/>
    <w:rsid w:val="00FB51CB"/>
    <w:rsid w:val="00FB6530"/>
    <w:rsid w:val="00FB6CD2"/>
    <w:rsid w:val="00FB7997"/>
    <w:rsid w:val="00FC035D"/>
    <w:rsid w:val="00FC0EB7"/>
    <w:rsid w:val="00FC183A"/>
    <w:rsid w:val="00FC1983"/>
    <w:rsid w:val="00FC7BBA"/>
    <w:rsid w:val="00FD3016"/>
    <w:rsid w:val="00FD393A"/>
    <w:rsid w:val="00FD3ECC"/>
    <w:rsid w:val="00FD664F"/>
    <w:rsid w:val="00FF0B39"/>
    <w:rsid w:val="00FF1AD8"/>
    <w:rsid w:val="00FF531A"/>
    <w:rsid w:val="00FF63DD"/>
    <w:rsid w:val="00FF6684"/>
    <w:rsid w:val="00FF7CCB"/>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8BE5D3D"/>
  <w15:docId w15:val="{27042150-E176-4D66-B19A-67BB3AB5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zh-TW"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4" w:unhideWhenUsed="1" w:qFormat="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A2B"/>
    <w:pPr>
      <w:spacing w:after="120" w:line="240" w:lineRule="auto"/>
    </w:pPr>
    <w:rPr>
      <w:rFonts w:ascii="Times New Roman" w:hAnsi="Times New Roman"/>
      <w:sz w:val="24"/>
    </w:rPr>
  </w:style>
  <w:style w:type="paragraph" w:styleId="Heading1">
    <w:name w:val="heading 1"/>
    <w:basedOn w:val="Normal"/>
    <w:next w:val="Normal"/>
    <w:link w:val="Heading1Char"/>
    <w:uiPriority w:val="2"/>
    <w:qFormat/>
    <w:rsid w:val="00E21266"/>
    <w:pPr>
      <w:keepNext/>
      <w:keepLines/>
      <w:spacing w:after="0"/>
      <w:outlineLvl w:val="0"/>
    </w:pPr>
    <w:rPr>
      <w:rFonts w:eastAsiaTheme="majorEastAsia" w:cstheme="majorBidi"/>
      <w:b/>
      <w:bCs/>
      <w:szCs w:val="28"/>
    </w:rPr>
  </w:style>
  <w:style w:type="paragraph" w:styleId="Heading2">
    <w:name w:val="heading 2"/>
    <w:basedOn w:val="Normal"/>
    <w:next w:val="Normal"/>
    <w:link w:val="Heading2Char"/>
    <w:uiPriority w:val="3"/>
    <w:qFormat/>
    <w:rsid w:val="00E21266"/>
    <w:pPr>
      <w:keepNext/>
      <w:keepLines/>
      <w:spacing w:before="120"/>
      <w:outlineLvl w:val="1"/>
    </w:pPr>
    <w:rPr>
      <w:rFonts w:eastAsiaTheme="majorEastAsia" w:cstheme="majorBidi"/>
      <w:b/>
      <w:bCs/>
      <w:szCs w:val="26"/>
    </w:rPr>
  </w:style>
  <w:style w:type="paragraph" w:styleId="Heading3">
    <w:name w:val="heading 3"/>
    <w:basedOn w:val="Normal"/>
    <w:next w:val="Normal"/>
    <w:link w:val="Heading3Char"/>
    <w:uiPriority w:val="4"/>
    <w:qFormat/>
    <w:rsid w:val="00E21266"/>
    <w:pPr>
      <w:keepNext/>
      <w:keepLines/>
      <w:spacing w:after="0"/>
      <w:outlineLvl w:val="2"/>
    </w:pPr>
    <w:rPr>
      <w:rFonts w:ascii="Arial" w:eastAsiaTheme="majorEastAsia" w:hAnsi="Arial" w:cstheme="majorBidi"/>
      <w:b/>
      <w:bCs/>
    </w:rPr>
  </w:style>
  <w:style w:type="paragraph" w:styleId="Heading4">
    <w:name w:val="heading 4"/>
    <w:basedOn w:val="Normal"/>
    <w:next w:val="Normal"/>
    <w:link w:val="Heading4Char"/>
    <w:uiPriority w:val="9"/>
    <w:qFormat/>
    <w:rsid w:val="00E21266"/>
    <w:pPr>
      <w:keepNext/>
      <w:keepLines/>
      <w:spacing w:before="12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E21266"/>
    <w:pPr>
      <w:keepNext/>
      <w:keepLines/>
      <w:spacing w:after="0"/>
      <w:outlineLvl w:val="4"/>
    </w:pPr>
    <w:rPr>
      <w:rFonts w:eastAsiaTheme="majorEastAsia" w:cstheme="majorBidi"/>
      <w:u w:val="single"/>
    </w:rPr>
  </w:style>
  <w:style w:type="paragraph" w:styleId="Heading6">
    <w:name w:val="heading 6"/>
    <w:basedOn w:val="Normal"/>
    <w:next w:val="Normal"/>
    <w:link w:val="Heading6Char"/>
    <w:uiPriority w:val="9"/>
    <w:semiHidden/>
    <w:unhideWhenUsed/>
    <w:qFormat/>
    <w:rsid w:val="00E21266"/>
    <w:pPr>
      <w:keepNext/>
      <w:keepLines/>
      <w:spacing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E2126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126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126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E21266"/>
    <w:rPr>
      <w:rFonts w:ascii="Verdana" w:eastAsiaTheme="majorEastAsia" w:hAnsi="Verdana" w:cstheme="majorBidi"/>
      <w:b/>
      <w:bCs/>
      <w:sz w:val="24"/>
      <w:szCs w:val="28"/>
    </w:rPr>
  </w:style>
  <w:style w:type="character" w:customStyle="1" w:styleId="Heading2Char">
    <w:name w:val="Heading 2 Char"/>
    <w:basedOn w:val="DefaultParagraphFont"/>
    <w:link w:val="Heading2"/>
    <w:uiPriority w:val="3"/>
    <w:rsid w:val="00E21266"/>
    <w:rPr>
      <w:rFonts w:ascii="Verdana" w:eastAsiaTheme="majorEastAsia" w:hAnsi="Verdana" w:cstheme="majorBidi"/>
      <w:b/>
      <w:bCs/>
      <w:sz w:val="24"/>
      <w:szCs w:val="26"/>
    </w:rPr>
  </w:style>
  <w:style w:type="character" w:customStyle="1" w:styleId="Heading3Char">
    <w:name w:val="Heading 3 Char"/>
    <w:basedOn w:val="DefaultParagraphFont"/>
    <w:link w:val="Heading3"/>
    <w:uiPriority w:val="4"/>
    <w:rsid w:val="00E21266"/>
    <w:rPr>
      <w:rFonts w:ascii="Arial" w:eastAsiaTheme="majorEastAsia" w:hAnsi="Arial" w:cstheme="majorBidi"/>
      <w:b/>
      <w:bCs/>
      <w:sz w:val="24"/>
    </w:rPr>
  </w:style>
  <w:style w:type="paragraph" w:styleId="Title">
    <w:name w:val="Title"/>
    <w:basedOn w:val="Normal"/>
    <w:next w:val="Normal"/>
    <w:link w:val="TitleChar"/>
    <w:uiPriority w:val="10"/>
    <w:qFormat/>
    <w:rsid w:val="00E21266"/>
    <w:pPr>
      <w:keepNext/>
      <w:spacing w:after="24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E21266"/>
    <w:rPr>
      <w:rFonts w:ascii="Verdana" w:eastAsiaTheme="majorEastAsia" w:hAnsi="Verdana" w:cstheme="majorBidi"/>
      <w:b/>
      <w:spacing w:val="5"/>
      <w:kern w:val="28"/>
      <w:sz w:val="28"/>
      <w:szCs w:val="52"/>
    </w:rPr>
  </w:style>
  <w:style w:type="character" w:customStyle="1" w:styleId="Heading4Char">
    <w:name w:val="Heading 4 Char"/>
    <w:basedOn w:val="DefaultParagraphFont"/>
    <w:link w:val="Heading4"/>
    <w:uiPriority w:val="9"/>
    <w:rsid w:val="00E21266"/>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E21266"/>
    <w:rPr>
      <w:rFonts w:ascii="Times New Roman" w:eastAsiaTheme="majorEastAsia" w:hAnsi="Times New Roman" w:cstheme="majorBidi"/>
      <w:sz w:val="24"/>
      <w:u w:val="single"/>
    </w:rPr>
  </w:style>
  <w:style w:type="character" w:customStyle="1" w:styleId="Heading6Char">
    <w:name w:val="Heading 6 Char"/>
    <w:basedOn w:val="DefaultParagraphFont"/>
    <w:link w:val="Heading6"/>
    <w:uiPriority w:val="9"/>
    <w:semiHidden/>
    <w:rsid w:val="00E21266"/>
    <w:rPr>
      <w:rFonts w:ascii="Times New Roman" w:eastAsiaTheme="majorEastAsia" w:hAnsi="Times New Roman" w:cstheme="majorBidi"/>
      <w:i/>
      <w:iCs/>
      <w:sz w:val="24"/>
    </w:rPr>
  </w:style>
  <w:style w:type="paragraph" w:styleId="BodyText">
    <w:name w:val="Body Text"/>
    <w:basedOn w:val="Normal"/>
    <w:link w:val="BodyTextChar"/>
    <w:uiPriority w:val="4"/>
    <w:qFormat/>
    <w:rsid w:val="00E21266"/>
    <w:pPr>
      <w:ind w:firstLine="720"/>
    </w:pPr>
  </w:style>
  <w:style w:type="character" w:customStyle="1" w:styleId="BodyTextChar">
    <w:name w:val="Body Text Char"/>
    <w:basedOn w:val="DefaultParagraphFont"/>
    <w:link w:val="BodyText"/>
    <w:uiPriority w:val="4"/>
    <w:rsid w:val="00E21266"/>
    <w:rPr>
      <w:rFonts w:ascii="Verdana" w:hAnsi="Verdana"/>
      <w:sz w:val="21"/>
    </w:rPr>
  </w:style>
  <w:style w:type="paragraph" w:styleId="Subtitle">
    <w:name w:val="Subtitle"/>
    <w:basedOn w:val="Normal"/>
    <w:next w:val="Normal"/>
    <w:link w:val="SubtitleChar"/>
    <w:uiPriority w:val="11"/>
    <w:qFormat/>
    <w:rsid w:val="00E2126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E2126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21266"/>
    <w:pPr>
      <w:ind w:left="720"/>
      <w:contextualSpacing/>
    </w:pPr>
  </w:style>
  <w:style w:type="paragraph" w:styleId="BodyText2">
    <w:name w:val="Body Text 2"/>
    <w:basedOn w:val="Normal"/>
    <w:link w:val="BodyText2Char"/>
    <w:rsid w:val="00D92AD9"/>
    <w:pPr>
      <w:spacing w:line="480" w:lineRule="auto"/>
    </w:pPr>
  </w:style>
  <w:style w:type="paragraph" w:customStyle="1" w:styleId="OSCPLListNumber">
    <w:name w:val="OSC PL List Number"/>
    <w:basedOn w:val="ListNumber"/>
    <w:qFormat/>
    <w:rsid w:val="00E21266"/>
    <w:rPr>
      <w:rFonts w:eastAsia="Times New Roman"/>
    </w:rPr>
  </w:style>
  <w:style w:type="paragraph" w:styleId="ListNumber">
    <w:name w:val="List Number"/>
    <w:basedOn w:val="Normal"/>
    <w:rsid w:val="00575777"/>
  </w:style>
  <w:style w:type="numbering" w:customStyle="1" w:styleId="OSCPlainLanguage">
    <w:name w:val="OSC Plain Language"/>
    <w:uiPriority w:val="99"/>
    <w:rsid w:val="00BD413E"/>
    <w:pPr>
      <w:numPr>
        <w:numId w:val="1"/>
      </w:numPr>
    </w:pPr>
  </w:style>
  <w:style w:type="character" w:customStyle="1" w:styleId="Heading7Char">
    <w:name w:val="Heading 7 Char"/>
    <w:basedOn w:val="DefaultParagraphFont"/>
    <w:link w:val="Heading7"/>
    <w:uiPriority w:val="9"/>
    <w:semiHidden/>
    <w:rsid w:val="00E21266"/>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212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1266"/>
    <w:rPr>
      <w:rFonts w:asciiTheme="majorHAnsi" w:eastAsiaTheme="majorEastAsia" w:hAnsiTheme="majorHAnsi" w:cstheme="majorBidi"/>
      <w:i/>
      <w:iCs/>
      <w:color w:val="404040" w:themeColor="text1" w:themeTint="BF"/>
      <w:sz w:val="20"/>
      <w:szCs w:val="20"/>
    </w:rPr>
  </w:style>
  <w:style w:type="character" w:styleId="Strong">
    <w:name w:val="Strong"/>
    <w:uiPriority w:val="22"/>
    <w:qFormat/>
    <w:rsid w:val="00E21266"/>
    <w:rPr>
      <w:b/>
      <w:bCs/>
    </w:rPr>
  </w:style>
  <w:style w:type="character" w:styleId="Emphasis">
    <w:name w:val="Emphasis"/>
    <w:uiPriority w:val="20"/>
    <w:qFormat/>
    <w:rsid w:val="00E21266"/>
    <w:rPr>
      <w:i/>
      <w:iCs/>
    </w:rPr>
  </w:style>
  <w:style w:type="paragraph" w:styleId="NoSpacing">
    <w:name w:val="No Spacing"/>
    <w:basedOn w:val="Normal"/>
    <w:link w:val="NoSpacingChar"/>
    <w:uiPriority w:val="1"/>
    <w:qFormat/>
    <w:rsid w:val="00E21266"/>
    <w:pPr>
      <w:spacing w:after="0"/>
    </w:pPr>
  </w:style>
  <w:style w:type="paragraph" w:styleId="Quote">
    <w:name w:val="Quote"/>
    <w:basedOn w:val="Normal"/>
    <w:next w:val="Normal"/>
    <w:link w:val="QuoteChar"/>
    <w:uiPriority w:val="29"/>
    <w:qFormat/>
    <w:rsid w:val="00E21266"/>
    <w:rPr>
      <w:i/>
      <w:iCs/>
      <w:color w:val="000000" w:themeColor="text1"/>
    </w:rPr>
  </w:style>
  <w:style w:type="character" w:customStyle="1" w:styleId="QuoteChar">
    <w:name w:val="Quote Char"/>
    <w:basedOn w:val="DefaultParagraphFont"/>
    <w:link w:val="Quote"/>
    <w:uiPriority w:val="29"/>
    <w:rsid w:val="00E21266"/>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E2126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21266"/>
    <w:rPr>
      <w:rFonts w:ascii="Times New Roman" w:hAnsi="Times New Roman"/>
      <w:b/>
      <w:bCs/>
      <w:i/>
      <w:iCs/>
      <w:color w:val="4F81BD" w:themeColor="accent1"/>
      <w:sz w:val="24"/>
    </w:rPr>
  </w:style>
  <w:style w:type="character" w:styleId="SubtleEmphasis">
    <w:name w:val="Subtle Emphasis"/>
    <w:uiPriority w:val="19"/>
    <w:qFormat/>
    <w:rsid w:val="00E21266"/>
    <w:rPr>
      <w:i/>
      <w:iCs/>
      <w:color w:val="808080" w:themeColor="text1" w:themeTint="7F"/>
    </w:rPr>
  </w:style>
  <w:style w:type="character" w:styleId="IntenseEmphasis">
    <w:name w:val="Intense Emphasis"/>
    <w:uiPriority w:val="21"/>
    <w:qFormat/>
    <w:rsid w:val="00E21266"/>
    <w:rPr>
      <w:b/>
      <w:bCs/>
      <w:i/>
      <w:iCs/>
      <w:color w:val="4F81BD" w:themeColor="accent1"/>
    </w:rPr>
  </w:style>
  <w:style w:type="character" w:styleId="SubtleReference">
    <w:name w:val="Subtle Reference"/>
    <w:uiPriority w:val="31"/>
    <w:qFormat/>
    <w:rsid w:val="00E21266"/>
    <w:rPr>
      <w:smallCaps/>
      <w:color w:val="C0504D" w:themeColor="accent2"/>
      <w:u w:val="single"/>
    </w:rPr>
  </w:style>
  <w:style w:type="character" w:styleId="IntenseReference">
    <w:name w:val="Intense Reference"/>
    <w:uiPriority w:val="32"/>
    <w:qFormat/>
    <w:rsid w:val="00E21266"/>
    <w:rPr>
      <w:b/>
      <w:bCs/>
      <w:smallCaps/>
      <w:color w:val="C0504D" w:themeColor="accent2"/>
      <w:spacing w:val="5"/>
      <w:u w:val="single"/>
    </w:rPr>
  </w:style>
  <w:style w:type="character" w:styleId="BookTitle">
    <w:name w:val="Book Title"/>
    <w:uiPriority w:val="33"/>
    <w:qFormat/>
    <w:rsid w:val="00E21266"/>
    <w:rPr>
      <w:b/>
      <w:bCs/>
      <w:smallCaps/>
      <w:spacing w:val="5"/>
    </w:rPr>
  </w:style>
  <w:style w:type="paragraph" w:styleId="TOCHeading">
    <w:name w:val="TOC Heading"/>
    <w:basedOn w:val="Heading1"/>
    <w:next w:val="Normal"/>
    <w:uiPriority w:val="39"/>
    <w:semiHidden/>
    <w:unhideWhenUsed/>
    <w:qFormat/>
    <w:rsid w:val="00E21266"/>
    <w:pPr>
      <w:spacing w:before="480"/>
      <w:outlineLvl w:val="9"/>
    </w:pPr>
    <w:rPr>
      <w:rFonts w:asciiTheme="majorHAnsi" w:hAnsiTheme="majorHAnsi"/>
      <w:color w:val="365F91" w:themeColor="accent1" w:themeShade="BF"/>
    </w:rPr>
  </w:style>
  <w:style w:type="paragraph" w:styleId="Caption">
    <w:name w:val="caption"/>
    <w:basedOn w:val="Normal"/>
    <w:next w:val="Normal"/>
    <w:uiPriority w:val="35"/>
    <w:semiHidden/>
    <w:unhideWhenUsed/>
    <w:qFormat/>
    <w:rsid w:val="00E21266"/>
    <w:pPr>
      <w:spacing w:after="200"/>
    </w:pPr>
    <w:rPr>
      <w:b/>
      <w:bCs/>
      <w:color w:val="4F81BD" w:themeColor="accent1"/>
      <w:sz w:val="18"/>
      <w:szCs w:val="18"/>
    </w:rPr>
  </w:style>
  <w:style w:type="character" w:customStyle="1" w:styleId="NoSpacingChar">
    <w:name w:val="No Spacing Char"/>
    <w:basedOn w:val="DefaultParagraphFont"/>
    <w:link w:val="NoSpacing"/>
    <w:uiPriority w:val="1"/>
    <w:rsid w:val="00E21266"/>
    <w:rPr>
      <w:rFonts w:ascii="Times New Roman" w:hAnsi="Times New Roman"/>
      <w:sz w:val="24"/>
    </w:rPr>
  </w:style>
  <w:style w:type="paragraph" w:styleId="NormalIndent">
    <w:name w:val="Normal Indent"/>
    <w:basedOn w:val="Normal"/>
    <w:rsid w:val="00D92AD9"/>
    <w:pPr>
      <w:ind w:left="720"/>
    </w:pPr>
  </w:style>
  <w:style w:type="character" w:customStyle="1" w:styleId="BodyText2Char">
    <w:name w:val="Body Text 2 Char"/>
    <w:basedOn w:val="DefaultParagraphFont"/>
    <w:link w:val="BodyText2"/>
    <w:rsid w:val="00D92AD9"/>
    <w:rPr>
      <w:rFonts w:ascii="Verdana" w:hAnsi="Verdana"/>
      <w:sz w:val="21"/>
    </w:rPr>
  </w:style>
  <w:style w:type="paragraph" w:styleId="BodyText3">
    <w:name w:val="Body Text 3"/>
    <w:basedOn w:val="Normal"/>
    <w:link w:val="BodyText3Char"/>
    <w:rsid w:val="00D92AD9"/>
    <w:rPr>
      <w:sz w:val="16"/>
      <w:szCs w:val="16"/>
    </w:rPr>
  </w:style>
  <w:style w:type="character" w:customStyle="1" w:styleId="BodyText3Char">
    <w:name w:val="Body Text 3 Char"/>
    <w:basedOn w:val="DefaultParagraphFont"/>
    <w:link w:val="BodyText3"/>
    <w:rsid w:val="00D92AD9"/>
    <w:rPr>
      <w:rFonts w:ascii="Verdana" w:hAnsi="Verdana"/>
      <w:sz w:val="16"/>
      <w:szCs w:val="16"/>
    </w:rPr>
  </w:style>
  <w:style w:type="paragraph" w:styleId="BlockText">
    <w:name w:val="Block Text"/>
    <w:basedOn w:val="Normal"/>
    <w:rsid w:val="00D92AD9"/>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FirstIndent">
    <w:name w:val="Body Text First Indent"/>
    <w:basedOn w:val="BodyText"/>
    <w:link w:val="BodyTextFirstIndentChar"/>
    <w:rsid w:val="00D92AD9"/>
    <w:pPr>
      <w:ind w:firstLine="360"/>
    </w:pPr>
  </w:style>
  <w:style w:type="character" w:customStyle="1" w:styleId="BodyTextFirstIndentChar">
    <w:name w:val="Body Text First Indent Char"/>
    <w:basedOn w:val="BodyTextChar"/>
    <w:link w:val="BodyTextFirstIndent"/>
    <w:rsid w:val="00D92AD9"/>
    <w:rPr>
      <w:rFonts w:ascii="Verdana" w:hAnsi="Verdana"/>
      <w:sz w:val="21"/>
    </w:rPr>
  </w:style>
  <w:style w:type="paragraph" w:styleId="BodyTextIndent">
    <w:name w:val="Body Text Indent"/>
    <w:basedOn w:val="Normal"/>
    <w:link w:val="BodyTextIndentChar"/>
    <w:rsid w:val="00D92AD9"/>
    <w:pPr>
      <w:ind w:left="283"/>
    </w:pPr>
  </w:style>
  <w:style w:type="character" w:customStyle="1" w:styleId="BodyTextIndentChar">
    <w:name w:val="Body Text Indent Char"/>
    <w:basedOn w:val="DefaultParagraphFont"/>
    <w:link w:val="BodyTextIndent"/>
    <w:rsid w:val="00D92AD9"/>
    <w:rPr>
      <w:rFonts w:ascii="Verdana" w:hAnsi="Verdana"/>
      <w:sz w:val="21"/>
    </w:rPr>
  </w:style>
  <w:style w:type="paragraph" w:styleId="BodyTextFirstIndent2">
    <w:name w:val="Body Text First Indent 2"/>
    <w:basedOn w:val="BodyTextIndent"/>
    <w:link w:val="BodyTextFirstIndent2Char"/>
    <w:rsid w:val="00D92AD9"/>
    <w:pPr>
      <w:ind w:left="360" w:firstLine="360"/>
    </w:pPr>
  </w:style>
  <w:style w:type="character" w:customStyle="1" w:styleId="BodyTextFirstIndent2Char">
    <w:name w:val="Body Text First Indent 2 Char"/>
    <w:basedOn w:val="BodyTextIndentChar"/>
    <w:link w:val="BodyTextFirstIndent2"/>
    <w:rsid w:val="00D92AD9"/>
    <w:rPr>
      <w:rFonts w:ascii="Verdana" w:hAnsi="Verdana"/>
      <w:sz w:val="21"/>
    </w:rPr>
  </w:style>
  <w:style w:type="paragraph" w:styleId="FootnoteText">
    <w:name w:val="footnote text"/>
    <w:basedOn w:val="Normal"/>
    <w:link w:val="FootnoteTextChar"/>
    <w:uiPriority w:val="99"/>
    <w:rsid w:val="00552547"/>
    <w:pPr>
      <w:spacing w:after="0"/>
    </w:pPr>
    <w:rPr>
      <w:rFonts w:eastAsia="Times New Roman" w:cs="Times New Roman"/>
      <w:color w:val="000000"/>
      <w:sz w:val="20"/>
      <w:szCs w:val="20"/>
      <w:lang w:eastAsia="en-CA"/>
    </w:rPr>
  </w:style>
  <w:style w:type="character" w:customStyle="1" w:styleId="FootnoteTextChar">
    <w:name w:val="Footnote Text Char"/>
    <w:basedOn w:val="DefaultParagraphFont"/>
    <w:link w:val="FootnoteText"/>
    <w:uiPriority w:val="99"/>
    <w:rsid w:val="00552547"/>
    <w:rPr>
      <w:rFonts w:ascii="Times New Roman" w:eastAsia="Times New Roman" w:hAnsi="Times New Roman" w:cs="Times New Roman"/>
      <w:color w:val="000000"/>
      <w:sz w:val="20"/>
      <w:szCs w:val="20"/>
      <w:lang w:eastAsia="en-CA"/>
    </w:rPr>
  </w:style>
  <w:style w:type="character" w:styleId="FootnoteReference">
    <w:name w:val="footnote reference"/>
    <w:basedOn w:val="DefaultParagraphFont"/>
    <w:uiPriority w:val="99"/>
    <w:rsid w:val="00552547"/>
    <w:rPr>
      <w:vertAlign w:val="superscript"/>
    </w:rPr>
  </w:style>
  <w:style w:type="paragraph" w:styleId="Header">
    <w:name w:val="header"/>
    <w:basedOn w:val="Normal"/>
    <w:link w:val="HeaderChar"/>
    <w:uiPriority w:val="99"/>
    <w:rsid w:val="009F2F78"/>
    <w:pPr>
      <w:tabs>
        <w:tab w:val="center" w:pos="4680"/>
        <w:tab w:val="right" w:pos="9360"/>
      </w:tabs>
      <w:spacing w:after="0"/>
    </w:pPr>
  </w:style>
  <w:style w:type="character" w:customStyle="1" w:styleId="HeaderChar">
    <w:name w:val="Header Char"/>
    <w:basedOn w:val="DefaultParagraphFont"/>
    <w:link w:val="Header"/>
    <w:uiPriority w:val="99"/>
    <w:rsid w:val="009F2F78"/>
    <w:rPr>
      <w:rFonts w:ascii="Verdana" w:hAnsi="Verdana"/>
      <w:sz w:val="21"/>
    </w:rPr>
  </w:style>
  <w:style w:type="paragraph" w:styleId="Footer">
    <w:name w:val="footer"/>
    <w:basedOn w:val="Normal"/>
    <w:link w:val="FooterChar"/>
    <w:uiPriority w:val="99"/>
    <w:rsid w:val="009F2F78"/>
    <w:pPr>
      <w:tabs>
        <w:tab w:val="center" w:pos="4680"/>
        <w:tab w:val="right" w:pos="9360"/>
      </w:tabs>
      <w:spacing w:after="0"/>
    </w:pPr>
  </w:style>
  <w:style w:type="character" w:customStyle="1" w:styleId="FooterChar">
    <w:name w:val="Footer Char"/>
    <w:basedOn w:val="DefaultParagraphFont"/>
    <w:link w:val="Footer"/>
    <w:uiPriority w:val="99"/>
    <w:rsid w:val="009F2F78"/>
    <w:rPr>
      <w:rFonts w:ascii="Verdana" w:hAnsi="Verdana"/>
      <w:sz w:val="21"/>
    </w:rPr>
  </w:style>
  <w:style w:type="character" w:styleId="Hyperlink">
    <w:name w:val="Hyperlink"/>
    <w:basedOn w:val="DefaultParagraphFont"/>
    <w:uiPriority w:val="99"/>
    <w:rsid w:val="00B93A16"/>
    <w:rPr>
      <w:color w:val="0000FF" w:themeColor="hyperlink"/>
      <w:u w:val="single"/>
    </w:rPr>
  </w:style>
  <w:style w:type="paragraph" w:styleId="BalloonText">
    <w:name w:val="Balloon Text"/>
    <w:basedOn w:val="Normal"/>
    <w:link w:val="BalloonTextChar"/>
    <w:rsid w:val="00B253EC"/>
    <w:pPr>
      <w:spacing w:after="0"/>
    </w:pPr>
    <w:rPr>
      <w:rFonts w:ascii="Tahoma" w:hAnsi="Tahoma" w:cs="Tahoma"/>
      <w:sz w:val="16"/>
      <w:szCs w:val="16"/>
    </w:rPr>
  </w:style>
  <w:style w:type="character" w:customStyle="1" w:styleId="BalloonTextChar">
    <w:name w:val="Balloon Text Char"/>
    <w:basedOn w:val="DefaultParagraphFont"/>
    <w:link w:val="BalloonText"/>
    <w:rsid w:val="00B253EC"/>
    <w:rPr>
      <w:rFonts w:ascii="Tahoma" w:hAnsi="Tahoma" w:cs="Tahoma"/>
      <w:sz w:val="16"/>
      <w:szCs w:val="16"/>
    </w:rPr>
  </w:style>
  <w:style w:type="table" w:styleId="TableGrid">
    <w:name w:val="Table Grid"/>
    <w:basedOn w:val="TableNormal"/>
    <w:rsid w:val="007C37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556699"/>
    <w:rPr>
      <w:sz w:val="16"/>
      <w:szCs w:val="16"/>
    </w:rPr>
  </w:style>
  <w:style w:type="paragraph" w:styleId="CommentText">
    <w:name w:val="annotation text"/>
    <w:basedOn w:val="Normal"/>
    <w:link w:val="CommentTextChar"/>
    <w:rsid w:val="00556699"/>
    <w:rPr>
      <w:sz w:val="20"/>
      <w:szCs w:val="20"/>
    </w:rPr>
  </w:style>
  <w:style w:type="character" w:customStyle="1" w:styleId="CommentTextChar">
    <w:name w:val="Comment Text Char"/>
    <w:basedOn w:val="DefaultParagraphFont"/>
    <w:link w:val="CommentText"/>
    <w:rsid w:val="00556699"/>
    <w:rPr>
      <w:rFonts w:ascii="Verdana" w:hAnsi="Verdana"/>
      <w:sz w:val="20"/>
      <w:szCs w:val="20"/>
    </w:rPr>
  </w:style>
  <w:style w:type="paragraph" w:styleId="CommentSubject">
    <w:name w:val="annotation subject"/>
    <w:basedOn w:val="CommentText"/>
    <w:next w:val="CommentText"/>
    <w:link w:val="CommentSubjectChar"/>
    <w:rsid w:val="00556699"/>
    <w:rPr>
      <w:b/>
      <w:bCs/>
    </w:rPr>
  </w:style>
  <w:style w:type="character" w:customStyle="1" w:styleId="CommentSubjectChar">
    <w:name w:val="Comment Subject Char"/>
    <w:basedOn w:val="CommentTextChar"/>
    <w:link w:val="CommentSubject"/>
    <w:rsid w:val="00556699"/>
    <w:rPr>
      <w:rFonts w:ascii="Verdana" w:hAnsi="Verdana"/>
      <w:b/>
      <w:bCs/>
      <w:sz w:val="20"/>
      <w:szCs w:val="20"/>
    </w:rPr>
  </w:style>
  <w:style w:type="paragraph" w:styleId="Revision">
    <w:name w:val="Revision"/>
    <w:hidden/>
    <w:uiPriority w:val="99"/>
    <w:semiHidden/>
    <w:rsid w:val="006B3F26"/>
    <w:pPr>
      <w:spacing w:after="0" w:line="240" w:lineRule="auto"/>
    </w:pPr>
    <w:rPr>
      <w:rFonts w:ascii="Verdana" w:hAnsi="Verdana"/>
      <w:sz w:val="21"/>
    </w:rPr>
  </w:style>
  <w:style w:type="character" w:customStyle="1" w:styleId="Mentionnonrsolue1">
    <w:name w:val="Mention non résolue1"/>
    <w:basedOn w:val="DefaultParagraphFont"/>
    <w:uiPriority w:val="99"/>
    <w:semiHidden/>
    <w:unhideWhenUsed/>
    <w:rsid w:val="00CC6248"/>
    <w:rPr>
      <w:color w:val="605E5C"/>
      <w:shd w:val="clear" w:color="auto" w:fill="E1DFDD"/>
    </w:rPr>
  </w:style>
  <w:style w:type="paragraph" w:customStyle="1" w:styleId="Default">
    <w:name w:val="Default"/>
    <w:rsid w:val="00895B54"/>
    <w:pPr>
      <w:autoSpaceDE w:val="0"/>
      <w:autoSpaceDN w:val="0"/>
      <w:adjustRightInd w:val="0"/>
      <w:spacing w:after="0" w:line="240" w:lineRule="auto"/>
    </w:pPr>
    <w:rPr>
      <w:rFonts w:ascii="Times New Roman" w:eastAsia="Times New Roman" w:hAnsi="Times New Roman" w:cs="Times New Roman"/>
      <w:color w:val="000000"/>
      <w:sz w:val="24"/>
      <w:szCs w:val="24"/>
      <w:lang w:eastAsia="fr-CA"/>
    </w:rPr>
  </w:style>
  <w:style w:type="character" w:customStyle="1" w:styleId="Mentionnonrsolue2">
    <w:name w:val="Mention non résolue2"/>
    <w:basedOn w:val="DefaultParagraphFont"/>
    <w:uiPriority w:val="99"/>
    <w:semiHidden/>
    <w:unhideWhenUsed/>
    <w:rsid w:val="005D01CA"/>
    <w:rPr>
      <w:color w:val="605E5C"/>
      <w:shd w:val="clear" w:color="auto" w:fill="E1DFDD"/>
    </w:rPr>
  </w:style>
  <w:style w:type="paragraph" w:customStyle="1" w:styleId="defclause-e">
    <w:name w:val="defclause-e"/>
    <w:basedOn w:val="Normal"/>
    <w:rsid w:val="00A10464"/>
    <w:pPr>
      <w:tabs>
        <w:tab w:val="right" w:pos="836"/>
        <w:tab w:val="left" w:pos="1076"/>
      </w:tabs>
      <w:spacing w:after="0" w:line="200" w:lineRule="atLeast"/>
      <w:ind w:left="1066" w:hanging="1066"/>
    </w:pPr>
    <w:rPr>
      <w:rFonts w:eastAsia="Times New Roman" w:cs="Times New Roman"/>
      <w:snapToGrid w:val="0"/>
      <w:sz w:val="26"/>
      <w:szCs w:val="20"/>
      <w:lang w:val="en-GB" w:eastAsia="en-US"/>
    </w:rPr>
  </w:style>
  <w:style w:type="paragraph" w:customStyle="1" w:styleId="definition-e">
    <w:name w:val="definition-e"/>
    <w:rsid w:val="00A10464"/>
    <w:pPr>
      <w:tabs>
        <w:tab w:val="left" w:pos="0"/>
      </w:tabs>
      <w:spacing w:after="0" w:line="200" w:lineRule="atLeast"/>
      <w:ind w:left="378" w:hanging="378"/>
    </w:pPr>
    <w:rPr>
      <w:rFonts w:ascii="Times New Roman" w:eastAsia="Times New Roman" w:hAnsi="Times New Roman" w:cs="Times New Roman"/>
      <w:snapToGrid w:val="0"/>
      <w:sz w:val="26"/>
      <w:szCs w:val="20"/>
      <w:lang w:val="en-GB" w:eastAsia="en-US"/>
    </w:rPr>
  </w:style>
  <w:style w:type="character" w:customStyle="1" w:styleId="ovitalic">
    <w:name w:val="ovitalic"/>
    <w:basedOn w:val="DefaultParagraphFont"/>
    <w:rsid w:val="00A10464"/>
    <w:rPr>
      <w:i/>
    </w:rPr>
  </w:style>
  <w:style w:type="character" w:styleId="LineNumber">
    <w:name w:val="line number"/>
    <w:basedOn w:val="DefaultParagraphFont"/>
    <w:semiHidden/>
    <w:unhideWhenUsed/>
    <w:rsid w:val="008137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8817">
      <w:bodyDiv w:val="1"/>
      <w:marLeft w:val="0"/>
      <w:marRight w:val="0"/>
      <w:marTop w:val="0"/>
      <w:marBottom w:val="0"/>
      <w:divBdr>
        <w:top w:val="none" w:sz="0" w:space="0" w:color="auto"/>
        <w:left w:val="none" w:sz="0" w:space="0" w:color="auto"/>
        <w:bottom w:val="none" w:sz="0" w:space="0" w:color="auto"/>
        <w:right w:val="none" w:sz="0" w:space="0" w:color="auto"/>
      </w:divBdr>
    </w:div>
    <w:div w:id="59713532">
      <w:bodyDiv w:val="1"/>
      <w:marLeft w:val="0"/>
      <w:marRight w:val="0"/>
      <w:marTop w:val="0"/>
      <w:marBottom w:val="0"/>
      <w:divBdr>
        <w:top w:val="none" w:sz="0" w:space="0" w:color="auto"/>
        <w:left w:val="none" w:sz="0" w:space="0" w:color="auto"/>
        <w:bottom w:val="none" w:sz="0" w:space="0" w:color="auto"/>
        <w:right w:val="none" w:sz="0" w:space="0" w:color="auto"/>
      </w:divBdr>
    </w:div>
    <w:div w:id="546379901">
      <w:bodyDiv w:val="1"/>
      <w:marLeft w:val="0"/>
      <w:marRight w:val="0"/>
      <w:marTop w:val="0"/>
      <w:marBottom w:val="0"/>
      <w:divBdr>
        <w:top w:val="none" w:sz="0" w:space="0" w:color="auto"/>
        <w:left w:val="none" w:sz="0" w:space="0" w:color="auto"/>
        <w:bottom w:val="none" w:sz="0" w:space="0" w:color="auto"/>
        <w:right w:val="none" w:sz="0" w:space="0" w:color="auto"/>
      </w:divBdr>
    </w:div>
    <w:div w:id="670068152">
      <w:bodyDiv w:val="1"/>
      <w:marLeft w:val="0"/>
      <w:marRight w:val="0"/>
      <w:marTop w:val="0"/>
      <w:marBottom w:val="0"/>
      <w:divBdr>
        <w:top w:val="none" w:sz="0" w:space="0" w:color="auto"/>
        <w:left w:val="none" w:sz="0" w:space="0" w:color="auto"/>
        <w:bottom w:val="none" w:sz="0" w:space="0" w:color="auto"/>
        <w:right w:val="none" w:sz="0" w:space="0" w:color="auto"/>
      </w:divBdr>
    </w:div>
    <w:div w:id="861480720">
      <w:bodyDiv w:val="1"/>
      <w:marLeft w:val="0"/>
      <w:marRight w:val="0"/>
      <w:marTop w:val="0"/>
      <w:marBottom w:val="0"/>
      <w:divBdr>
        <w:top w:val="none" w:sz="0" w:space="0" w:color="auto"/>
        <w:left w:val="none" w:sz="0" w:space="0" w:color="auto"/>
        <w:bottom w:val="none" w:sz="0" w:space="0" w:color="auto"/>
        <w:right w:val="none" w:sz="0" w:space="0" w:color="auto"/>
      </w:divBdr>
    </w:div>
    <w:div w:id="885481910">
      <w:bodyDiv w:val="1"/>
      <w:marLeft w:val="0"/>
      <w:marRight w:val="0"/>
      <w:marTop w:val="0"/>
      <w:marBottom w:val="0"/>
      <w:divBdr>
        <w:top w:val="none" w:sz="0" w:space="0" w:color="auto"/>
        <w:left w:val="none" w:sz="0" w:space="0" w:color="auto"/>
        <w:bottom w:val="none" w:sz="0" w:space="0" w:color="auto"/>
        <w:right w:val="none" w:sz="0" w:space="0" w:color="auto"/>
      </w:divBdr>
    </w:div>
    <w:div w:id="1062871075">
      <w:bodyDiv w:val="1"/>
      <w:marLeft w:val="0"/>
      <w:marRight w:val="0"/>
      <w:marTop w:val="0"/>
      <w:marBottom w:val="0"/>
      <w:divBdr>
        <w:top w:val="none" w:sz="0" w:space="0" w:color="auto"/>
        <w:left w:val="none" w:sz="0" w:space="0" w:color="auto"/>
        <w:bottom w:val="none" w:sz="0" w:space="0" w:color="auto"/>
        <w:right w:val="none" w:sz="0" w:space="0" w:color="auto"/>
      </w:divBdr>
    </w:div>
    <w:div w:id="1111898614">
      <w:bodyDiv w:val="1"/>
      <w:marLeft w:val="0"/>
      <w:marRight w:val="0"/>
      <w:marTop w:val="0"/>
      <w:marBottom w:val="0"/>
      <w:divBdr>
        <w:top w:val="none" w:sz="0" w:space="0" w:color="auto"/>
        <w:left w:val="none" w:sz="0" w:space="0" w:color="auto"/>
        <w:bottom w:val="none" w:sz="0" w:space="0" w:color="auto"/>
        <w:right w:val="none" w:sz="0" w:space="0" w:color="auto"/>
      </w:divBdr>
    </w:div>
    <w:div w:id="1163467115">
      <w:bodyDiv w:val="1"/>
      <w:marLeft w:val="0"/>
      <w:marRight w:val="0"/>
      <w:marTop w:val="0"/>
      <w:marBottom w:val="0"/>
      <w:divBdr>
        <w:top w:val="none" w:sz="0" w:space="0" w:color="auto"/>
        <w:left w:val="none" w:sz="0" w:space="0" w:color="auto"/>
        <w:bottom w:val="none" w:sz="0" w:space="0" w:color="auto"/>
        <w:right w:val="none" w:sz="0" w:space="0" w:color="auto"/>
      </w:divBdr>
    </w:div>
    <w:div w:id="1169298250">
      <w:bodyDiv w:val="1"/>
      <w:marLeft w:val="0"/>
      <w:marRight w:val="0"/>
      <w:marTop w:val="0"/>
      <w:marBottom w:val="0"/>
      <w:divBdr>
        <w:top w:val="none" w:sz="0" w:space="0" w:color="auto"/>
        <w:left w:val="none" w:sz="0" w:space="0" w:color="auto"/>
        <w:bottom w:val="none" w:sz="0" w:space="0" w:color="auto"/>
        <w:right w:val="none" w:sz="0" w:space="0" w:color="auto"/>
      </w:divBdr>
    </w:div>
    <w:div w:id="1664503389">
      <w:bodyDiv w:val="1"/>
      <w:marLeft w:val="0"/>
      <w:marRight w:val="0"/>
      <w:marTop w:val="0"/>
      <w:marBottom w:val="0"/>
      <w:divBdr>
        <w:top w:val="none" w:sz="0" w:space="0" w:color="auto"/>
        <w:left w:val="none" w:sz="0" w:space="0" w:color="auto"/>
        <w:bottom w:val="none" w:sz="0" w:space="0" w:color="auto"/>
        <w:right w:val="none" w:sz="0" w:space="0" w:color="auto"/>
      </w:divBdr>
    </w:div>
    <w:div w:id="170744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ennifer.smith@asc.c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thieu.laberge@lautorite.qc.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steeves@bcsc.bc.c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consultation-en-cours@lautorite.qc.ca" TargetMode="External"/><Relationship Id="rId4" Type="http://schemas.openxmlformats.org/officeDocument/2006/relationships/settings" Target="settings.xml"/><Relationship Id="rId9" Type="http://schemas.openxmlformats.org/officeDocument/2006/relationships/hyperlink" Target="mailto:comment@osc.gov.on.ca" TargetMode="External"/><Relationship Id="rId14" Type="http://schemas.openxmlformats.org/officeDocument/2006/relationships/hyperlink" Target="mailto:owiner@osc.gov.on.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92AE2-C7A1-473B-8DE0-C51D00815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1477</Words>
  <Characters>8425</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Pateras Sylvia</dc:creator>
  <cp:keywords/>
  <dc:description/>
  <cp:lastModifiedBy>Susan Chong</cp:lastModifiedBy>
  <cp:revision>2</cp:revision>
  <dcterms:created xsi:type="dcterms:W3CDTF">2021-04-19T16:06:00Z</dcterms:created>
  <dcterms:modified xsi:type="dcterms:W3CDTF">2021-04-19T16:06:00Z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Number">
    <vt:lpwstr>5884508</vt:lpwstr>
  </property>
  <property fmtid="{D5CDD505-2E9C-101B-9397-08002B2CF9AE}" pid="3" name="DMFooterText">
    <vt:lpwstr>#5884508 v16</vt:lpwstr>
  </property>
</Properties>
</file>