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C18" w:rsidRDefault="00847C18" w:rsidP="00847C18">
      <w:pPr>
        <w:sectPr w:rsidR="00847C18" w:rsidSect="00BC7EE5">
          <w:headerReference w:type="default" r:id="rId7"/>
          <w:headerReference w:type="first" r:id="rId8"/>
          <w:pgSz w:w="12240" w:h="15840" w:code="1"/>
          <w:pgMar w:top="1440" w:right="1440" w:bottom="1440" w:left="2160" w:header="576" w:footer="576" w:gutter="0"/>
          <w:cols w:space="720"/>
          <w:titlePg/>
          <w:docGrid w:linePitch="326"/>
        </w:sectPr>
      </w:pPr>
      <w:bookmarkStart w:id="1" w:name="_GoBack"/>
      <w:bookmarkEnd w:id="1"/>
    </w:p>
    <w:p w:rsidR="00847C18" w:rsidRPr="00847C18" w:rsidRDefault="00847C18" w:rsidP="00847C18">
      <w:pPr>
        <w:ind w:left="-540"/>
        <w:rPr>
          <w:rFonts w:eastAsia="Calibri"/>
          <w:szCs w:val="22"/>
          <w:lang w:val="en-US"/>
        </w:rPr>
      </w:pPr>
      <w:r w:rsidRPr="00847C18">
        <w:rPr>
          <w:rFonts w:eastAsia="Calibri"/>
          <w:szCs w:val="22"/>
          <w:lang w:val="en-US"/>
        </w:rPr>
        <w:t>BC Notice 2021/01</w:t>
      </w:r>
    </w:p>
    <w:p w:rsidR="00847C18" w:rsidRPr="00847C18" w:rsidRDefault="00847C18" w:rsidP="00847C18">
      <w:pPr>
        <w:rPr>
          <w:rFonts w:eastAsia="Calibri"/>
          <w:b/>
          <w:szCs w:val="22"/>
          <w:lang w:val="en-US"/>
        </w:rPr>
      </w:pPr>
    </w:p>
    <w:p w:rsidR="00847C18" w:rsidRPr="00847C18" w:rsidRDefault="00847C18" w:rsidP="00847C18">
      <w:pPr>
        <w:ind w:left="-540"/>
        <w:jc w:val="center"/>
        <w:rPr>
          <w:rFonts w:eastAsia="Calibri"/>
          <w:b/>
          <w:szCs w:val="22"/>
          <w:lang w:val="en-US"/>
        </w:rPr>
      </w:pPr>
      <w:r w:rsidRPr="00847C18">
        <w:rPr>
          <w:rFonts w:eastAsia="Calibri"/>
          <w:b/>
          <w:szCs w:val="22"/>
          <w:lang w:val="en-US"/>
        </w:rPr>
        <w:t>ICBC-related Amendments to the Securities Act</w:t>
      </w:r>
    </w:p>
    <w:p w:rsidR="00847C18" w:rsidRPr="00847C18" w:rsidRDefault="00847C18" w:rsidP="00847C18">
      <w:pPr>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 xml:space="preserve">On March 29, 2021, the British Columbia government passed Order in Council No. 194, proclaiming into force additional amendments in the </w:t>
      </w:r>
      <w:r w:rsidRPr="00847C18">
        <w:rPr>
          <w:rFonts w:eastAsia="Calibri"/>
          <w:i/>
          <w:szCs w:val="22"/>
          <w:lang w:val="en-US"/>
        </w:rPr>
        <w:t>Securities Amendment Act, 2019</w:t>
      </w:r>
      <w:r w:rsidRPr="00847C18">
        <w:rPr>
          <w:rFonts w:eastAsia="Calibri"/>
          <w:szCs w:val="22"/>
          <w:lang w:val="en-US"/>
        </w:rPr>
        <w:t xml:space="preserve"> (the ICBC-related Act amendments). The amendments give the British Columbia Securities Commission (the BCSC) the power to require the Insurance Corporation of British Columbia (ICBC) not to issue or renew a driver’s license and a vehicle license and vehicle number plates when debts owing to the BCSC have not been paid. The ICBC-related amendments were effective March 29, 2021.</w:t>
      </w: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 xml:space="preserve">The BCSC previously published BC Notice 2020/04 and BC Notice 2020/03 describing the </w:t>
      </w:r>
      <w:r w:rsidRPr="00847C18">
        <w:rPr>
          <w:rFonts w:eastAsia="Calibri"/>
          <w:i/>
          <w:szCs w:val="22"/>
          <w:lang w:val="en-US"/>
        </w:rPr>
        <w:t xml:space="preserve">Securities Amendment Act, 2019 </w:t>
      </w:r>
      <w:r w:rsidRPr="00847C18">
        <w:rPr>
          <w:rFonts w:eastAsia="Calibri"/>
          <w:szCs w:val="22"/>
          <w:lang w:val="en-US"/>
        </w:rPr>
        <w:t xml:space="preserve">and related changes, most of which came into force on March 27, 2020. The Act amendments are significant and extensive and provide the BCSC with new enforcement, compliance, investor protection and sanction collection tools. </w:t>
      </w:r>
    </w:p>
    <w:p w:rsidR="00847C18" w:rsidRPr="00847C18" w:rsidRDefault="00847C18" w:rsidP="00847C18">
      <w:pPr>
        <w:ind w:firstLine="720"/>
        <w:rPr>
          <w:rFonts w:eastAsia="Calibri"/>
          <w:szCs w:val="22"/>
          <w:lang w:val="en-US"/>
        </w:rPr>
      </w:pPr>
    </w:p>
    <w:p w:rsidR="00847C18" w:rsidRPr="00847C18" w:rsidRDefault="00847C18" w:rsidP="00847C18">
      <w:pPr>
        <w:ind w:left="-540"/>
        <w:rPr>
          <w:rFonts w:eastAsia="Calibri"/>
          <w:b/>
          <w:szCs w:val="22"/>
          <w:lang w:val="en-US"/>
        </w:rPr>
      </w:pPr>
      <w:r w:rsidRPr="00847C18">
        <w:rPr>
          <w:rFonts w:eastAsia="Calibri"/>
          <w:b/>
          <w:szCs w:val="22"/>
          <w:lang w:val="en-US"/>
        </w:rPr>
        <w:t>Where to find the Act amendments</w:t>
      </w:r>
    </w:p>
    <w:p w:rsidR="00847C18" w:rsidRPr="00847C18" w:rsidRDefault="00847C18" w:rsidP="00847C18">
      <w:pPr>
        <w:ind w:left="-540"/>
        <w:rPr>
          <w:rFonts w:eastAsia="Calibri"/>
          <w:szCs w:val="22"/>
          <w:lang w:val="en-US"/>
        </w:rPr>
      </w:pPr>
      <w:r w:rsidRPr="00847C18">
        <w:rPr>
          <w:rFonts w:eastAsia="Calibri"/>
          <w:szCs w:val="22"/>
          <w:lang w:val="en-US"/>
        </w:rPr>
        <w:t xml:space="preserve">A link to the </w:t>
      </w:r>
      <w:r w:rsidRPr="00847C18">
        <w:rPr>
          <w:rFonts w:eastAsia="Calibri"/>
          <w:i/>
          <w:szCs w:val="22"/>
          <w:lang w:val="en-US"/>
        </w:rPr>
        <w:t xml:space="preserve">Securities Amendment Act, 2019 </w:t>
      </w:r>
      <w:r w:rsidRPr="00847C18">
        <w:rPr>
          <w:rFonts w:eastAsia="Calibri"/>
          <w:szCs w:val="22"/>
          <w:lang w:val="en-US"/>
        </w:rPr>
        <w:t>is located on the BCSC’s website under “Securities Law” and on the BC Legislative Assembly’s website at leg.bc.ca under “Parliamentary Business – Progress of Bills” under Bill 33. A consolidation of the updated Act is also available on the BCSC’s website under Securities Law – Act, Regulations and Rules.</w:t>
      </w:r>
    </w:p>
    <w:p w:rsidR="00847C18" w:rsidRPr="00847C18" w:rsidRDefault="00847C18" w:rsidP="00847C18">
      <w:pPr>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Please refer any questions to:</w:t>
      </w: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Noreen Bent</w:t>
      </w:r>
    </w:p>
    <w:p w:rsidR="00847C18" w:rsidRPr="00847C18" w:rsidRDefault="00847C18" w:rsidP="00847C18">
      <w:pPr>
        <w:ind w:left="-547"/>
        <w:rPr>
          <w:rFonts w:eastAsia="Calibri"/>
          <w:szCs w:val="22"/>
          <w:lang w:val="en-US"/>
        </w:rPr>
      </w:pPr>
      <w:r w:rsidRPr="00847C18">
        <w:rPr>
          <w:rFonts w:eastAsia="Calibri"/>
          <w:szCs w:val="22"/>
          <w:lang w:val="en-US"/>
        </w:rPr>
        <w:t>Chief, Corporate Finance Legal Services</w:t>
      </w:r>
    </w:p>
    <w:p w:rsidR="00847C18" w:rsidRPr="00847C18" w:rsidRDefault="00847C18" w:rsidP="00847C18">
      <w:pPr>
        <w:ind w:left="-547"/>
        <w:rPr>
          <w:rFonts w:eastAsia="Calibri"/>
          <w:szCs w:val="22"/>
          <w:lang w:val="en-US"/>
        </w:rPr>
      </w:pPr>
      <w:r w:rsidRPr="00847C18">
        <w:rPr>
          <w:rFonts w:eastAsia="Calibri"/>
          <w:szCs w:val="22"/>
          <w:lang w:val="en-US"/>
        </w:rPr>
        <w:t>604-899-6741</w:t>
      </w:r>
    </w:p>
    <w:p w:rsidR="00847C18" w:rsidRPr="00847C18" w:rsidRDefault="00847C18" w:rsidP="00847C18">
      <w:pPr>
        <w:ind w:left="-547"/>
        <w:rPr>
          <w:rFonts w:eastAsia="Calibri"/>
          <w:szCs w:val="22"/>
          <w:lang w:val="en-US"/>
        </w:rPr>
      </w:pPr>
      <w:r w:rsidRPr="00847C18">
        <w:rPr>
          <w:rFonts w:eastAsia="Calibri"/>
          <w:szCs w:val="22"/>
          <w:lang w:val="en-US"/>
        </w:rPr>
        <w:t>nbent@bcsc.bc.ca</w:t>
      </w: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Sarah Corrigall-Brown</w:t>
      </w:r>
    </w:p>
    <w:p w:rsidR="00847C18" w:rsidRPr="00847C18" w:rsidRDefault="00847C18" w:rsidP="00847C18">
      <w:pPr>
        <w:ind w:left="-547"/>
        <w:rPr>
          <w:rFonts w:eastAsia="Calibri"/>
          <w:szCs w:val="22"/>
          <w:lang w:val="en-US"/>
        </w:rPr>
      </w:pPr>
      <w:r w:rsidRPr="00847C18">
        <w:rPr>
          <w:rFonts w:eastAsia="Calibri"/>
          <w:szCs w:val="22"/>
          <w:lang w:val="en-US"/>
        </w:rPr>
        <w:t>General Counsel</w:t>
      </w:r>
    </w:p>
    <w:p w:rsidR="00847C18" w:rsidRPr="00847C18" w:rsidRDefault="00847C18" w:rsidP="00847C18">
      <w:pPr>
        <w:ind w:left="-547"/>
        <w:rPr>
          <w:rFonts w:eastAsia="Calibri"/>
          <w:szCs w:val="22"/>
          <w:lang w:val="en-US"/>
        </w:rPr>
      </w:pPr>
      <w:r w:rsidRPr="00847C18">
        <w:rPr>
          <w:rFonts w:eastAsia="Calibri"/>
          <w:szCs w:val="22"/>
          <w:lang w:val="en-US"/>
        </w:rPr>
        <w:t>604-899-6738</w:t>
      </w:r>
    </w:p>
    <w:p w:rsidR="00847C18" w:rsidRPr="00847C18" w:rsidRDefault="00847C18" w:rsidP="00847C18">
      <w:pPr>
        <w:ind w:left="-547"/>
        <w:rPr>
          <w:rFonts w:eastAsia="Calibri"/>
          <w:szCs w:val="22"/>
          <w:lang w:val="en-US"/>
        </w:rPr>
      </w:pPr>
      <w:r w:rsidRPr="00847C18">
        <w:rPr>
          <w:rFonts w:eastAsia="Calibri"/>
          <w:szCs w:val="22"/>
          <w:lang w:val="en-US"/>
        </w:rPr>
        <w:t>scorrigall-brown@bcsc.bc.ca</w:t>
      </w: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March 30, 2021</w:t>
      </w: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p>
    <w:p w:rsidR="00847C18" w:rsidRPr="00847C18" w:rsidRDefault="00847C18" w:rsidP="00847C18">
      <w:pPr>
        <w:ind w:left="-547"/>
        <w:rPr>
          <w:rFonts w:eastAsia="Calibri"/>
          <w:szCs w:val="22"/>
          <w:lang w:val="en-US"/>
        </w:rPr>
      </w:pPr>
    </w:p>
    <w:p w:rsidR="00847C18" w:rsidRPr="00847C18" w:rsidRDefault="00847C18" w:rsidP="00847C18">
      <w:pPr>
        <w:rPr>
          <w:rFonts w:eastAsia="Calibri"/>
          <w:szCs w:val="22"/>
          <w:lang w:val="en-US"/>
        </w:rPr>
      </w:pPr>
    </w:p>
    <w:p w:rsidR="00847C18" w:rsidRPr="00847C18" w:rsidRDefault="00847C18" w:rsidP="00847C18">
      <w:pPr>
        <w:ind w:left="-547"/>
        <w:rPr>
          <w:rFonts w:eastAsia="Calibri"/>
          <w:szCs w:val="22"/>
          <w:lang w:val="en-US"/>
        </w:rPr>
      </w:pPr>
      <w:r w:rsidRPr="00847C18">
        <w:rPr>
          <w:rFonts w:eastAsia="Calibri"/>
          <w:szCs w:val="22"/>
          <w:lang w:val="en-US"/>
        </w:rPr>
        <w:t>Brenda M. Leong</w:t>
      </w:r>
    </w:p>
    <w:p w:rsidR="00645D00" w:rsidRPr="00847C18" w:rsidRDefault="00847C18" w:rsidP="00847C18">
      <w:pPr>
        <w:ind w:left="-549"/>
        <w:jc w:val="both"/>
      </w:pPr>
      <w:r w:rsidRPr="00847C18">
        <w:rPr>
          <w:rFonts w:eastAsia="Calibri"/>
          <w:szCs w:val="22"/>
          <w:lang w:val="en-US"/>
        </w:rPr>
        <w:t>Chair</w:t>
      </w:r>
    </w:p>
    <w:sectPr w:rsidR="00645D00" w:rsidRPr="00847C18" w:rsidSect="00847C18">
      <w:type w:val="continuous"/>
      <w:pgSz w:w="12240" w:h="15840" w:code="1"/>
      <w:pgMar w:top="1440" w:right="1440" w:bottom="1440" w:left="2160" w:header="576" w:footer="576"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C18" w:rsidRDefault="00847C18">
      <w:r>
        <w:separator/>
      </w:r>
    </w:p>
  </w:endnote>
  <w:endnote w:type="continuationSeparator" w:id="0">
    <w:p w:rsidR="00847C18" w:rsidRDefault="00847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otham Book">
    <w:altName w:val="Arial"/>
    <w:panose1 w:val="00000000000000000000"/>
    <w:charset w:val="00"/>
    <w:family w:val="modern"/>
    <w:notTrueType/>
    <w:pitch w:val="variable"/>
    <w:sig w:usb0="00000001" w:usb1="4000005B"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C18" w:rsidRDefault="00847C18">
      <w:r>
        <w:separator/>
      </w:r>
    </w:p>
  </w:footnote>
  <w:footnote w:type="continuationSeparator" w:id="0">
    <w:p w:rsidR="00847C18" w:rsidRDefault="00847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7EE5" w:rsidRDefault="00BC7EE5" w:rsidP="00BC7EE5">
    <w:pPr>
      <w:pStyle w:val="Header"/>
      <w:jc w:val="center"/>
    </w:pPr>
    <w:r>
      <w:fldChar w:fldCharType="begin"/>
    </w:r>
    <w:r>
      <w:instrText xml:space="preserve"> PAGE   \* MERGEFORMAT </w:instrText>
    </w:r>
    <w:r>
      <w:fldChar w:fldCharType="separate"/>
    </w:r>
    <w:r w:rsidR="00850129">
      <w:rPr>
        <w:noProof/>
      </w:rP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965" w:type="dxa"/>
      <w:tblInd w:w="-1445" w:type="dxa"/>
      <w:tblLayout w:type="fixed"/>
      <w:tblCellMar>
        <w:left w:w="0" w:type="dxa"/>
        <w:right w:w="0" w:type="dxa"/>
      </w:tblCellMar>
      <w:tblLook w:val="0000" w:firstRow="0" w:lastRow="0" w:firstColumn="0" w:lastColumn="0" w:noHBand="0" w:noVBand="0"/>
    </w:tblPr>
    <w:tblGrid>
      <w:gridCol w:w="2075"/>
      <w:gridCol w:w="4405"/>
      <w:gridCol w:w="5485"/>
    </w:tblGrid>
    <w:tr w:rsidR="00751DA5" w:rsidTr="00847C18">
      <w:trPr>
        <w:cantSplit/>
        <w:trHeight w:hRule="exact" w:val="910"/>
      </w:trPr>
      <w:tc>
        <w:tcPr>
          <w:tcW w:w="2075" w:type="dxa"/>
        </w:tcPr>
        <w:p w:rsidR="00751DA5" w:rsidRDefault="00751DA5" w:rsidP="00847C18">
          <w:pPr>
            <w:ind w:left="446"/>
            <w:jc w:val="center"/>
          </w:pPr>
          <w:r>
            <w:rPr>
              <w:noProof/>
              <w:lang w:val="en-US"/>
            </w:rPr>
            <w:drawing>
              <wp:inline distT="0" distB="0" distL="0" distR="0" wp14:anchorId="7A557796" wp14:editId="3BD9B120">
                <wp:extent cx="480060" cy="457200"/>
                <wp:effectExtent l="0" t="0" r="0" b="0"/>
                <wp:docPr id="1" name="Picture 1" descr="Q:\Communication and Education\Media\Design\BCSC LOGO\For templates\BCSC logo without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Q:\Communication and Education\Media\Design\BCSC LOGO\For templates\BCSC logo without tex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0060" cy="457200"/>
                        </a:xfrm>
                        <a:prstGeom prst="rect">
                          <a:avLst/>
                        </a:prstGeom>
                        <a:noFill/>
                        <a:ln>
                          <a:noFill/>
                        </a:ln>
                      </pic:spPr>
                    </pic:pic>
                  </a:graphicData>
                </a:graphic>
              </wp:inline>
            </w:drawing>
          </w:r>
        </w:p>
      </w:tc>
      <w:tc>
        <w:tcPr>
          <w:tcW w:w="4405" w:type="dxa"/>
        </w:tcPr>
        <w:p w:rsidR="00751DA5" w:rsidRDefault="00751DA5" w:rsidP="00751DA5">
          <w:pPr>
            <w:tabs>
              <w:tab w:val="left" w:pos="3121"/>
            </w:tabs>
            <w:spacing w:before="120"/>
            <w:jc w:val="both"/>
            <w:rPr>
              <w:rFonts w:ascii="Arial" w:hAnsi="Arial"/>
              <w:b/>
            </w:rPr>
          </w:pPr>
          <w:r>
            <w:rPr>
              <w:noProof/>
              <w:lang w:val="en-US"/>
            </w:rPr>
            <w:drawing>
              <wp:anchor distT="0" distB="0" distL="114300" distR="114300" simplePos="0" relativeHeight="251661312" behindDoc="1" locked="0" layoutInCell="1" allowOverlap="1" wp14:anchorId="296CE760" wp14:editId="51F5240B">
                <wp:simplePos x="0" y="0"/>
                <wp:positionH relativeFrom="column">
                  <wp:posOffset>0</wp:posOffset>
                </wp:positionH>
                <wp:positionV relativeFrom="paragraph">
                  <wp:posOffset>50165</wp:posOffset>
                </wp:positionV>
                <wp:extent cx="2011680" cy="384175"/>
                <wp:effectExtent l="0" t="0" r="7620" b="0"/>
                <wp:wrapTight wrapText="bothSides">
                  <wp:wrapPolygon edited="0">
                    <wp:start x="0" y="0"/>
                    <wp:lineTo x="0" y="20350"/>
                    <wp:lineTo x="21477" y="20350"/>
                    <wp:lineTo x="21477" y="0"/>
                    <wp:lineTo x="0" y="0"/>
                  </wp:wrapPolygon>
                </wp:wrapTight>
                <wp:docPr id="2" name="Picture 2" descr="Q:\Communication and Education\Media\Design\BCSC LOGO\For templates\BCSC Black 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Communication and Education\Media\Design\BCSC LOGO\For templates\BCSC Black tex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11680" cy="38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DA5" w:rsidRDefault="00751DA5" w:rsidP="009718AB">
          <w:pPr>
            <w:tabs>
              <w:tab w:val="left" w:pos="6462"/>
            </w:tabs>
            <w:jc w:val="both"/>
            <w:rPr>
              <w:rFonts w:ascii="Arial" w:hAnsi="Arial"/>
              <w:sz w:val="16"/>
            </w:rPr>
          </w:pPr>
        </w:p>
        <w:p w:rsidR="00751DA5" w:rsidRDefault="00751DA5" w:rsidP="009718AB">
          <w:pPr>
            <w:tabs>
              <w:tab w:val="left" w:pos="6462"/>
            </w:tabs>
            <w:spacing w:before="40"/>
            <w:jc w:val="both"/>
            <w:rPr>
              <w:rFonts w:ascii="Arial" w:hAnsi="Arial"/>
              <w:sz w:val="16"/>
            </w:rPr>
          </w:pPr>
          <w:bookmarkStart w:id="0" w:name="Division"/>
          <w:bookmarkEnd w:id="0"/>
        </w:p>
        <w:p w:rsidR="00751DA5" w:rsidRDefault="00751DA5" w:rsidP="009718AB">
          <w:pPr>
            <w:jc w:val="both"/>
            <w:rPr>
              <w:rFonts w:ascii="Arial" w:hAnsi="Arial"/>
            </w:rPr>
          </w:pPr>
        </w:p>
      </w:tc>
      <w:tc>
        <w:tcPr>
          <w:tcW w:w="5485" w:type="dxa"/>
        </w:tcPr>
        <w:p w:rsidR="00751DA5" w:rsidRPr="009718AB" w:rsidRDefault="00751DA5" w:rsidP="009718AB">
          <w:pPr>
            <w:tabs>
              <w:tab w:val="left" w:pos="856"/>
            </w:tabs>
            <w:jc w:val="center"/>
            <w:rPr>
              <w:rFonts w:ascii="Gotham Book" w:hAnsi="Gotham Book"/>
              <w:sz w:val="52"/>
              <w:szCs w:val="52"/>
            </w:rPr>
          </w:pPr>
        </w:p>
      </w:tc>
    </w:tr>
  </w:tbl>
  <w:p w:rsidR="00137A76" w:rsidRDefault="00137A76" w:rsidP="00A2593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C6"/>
    <w:rsid w:val="00022E38"/>
    <w:rsid w:val="0005356F"/>
    <w:rsid w:val="000816BE"/>
    <w:rsid w:val="00137A76"/>
    <w:rsid w:val="00320A6D"/>
    <w:rsid w:val="00353043"/>
    <w:rsid w:val="00386455"/>
    <w:rsid w:val="003E3832"/>
    <w:rsid w:val="00492DA8"/>
    <w:rsid w:val="005E36A6"/>
    <w:rsid w:val="00645D00"/>
    <w:rsid w:val="006A39AB"/>
    <w:rsid w:val="006D794A"/>
    <w:rsid w:val="00751DA5"/>
    <w:rsid w:val="007A4EF4"/>
    <w:rsid w:val="007D583F"/>
    <w:rsid w:val="008228B8"/>
    <w:rsid w:val="00847C18"/>
    <w:rsid w:val="00850129"/>
    <w:rsid w:val="00877BF0"/>
    <w:rsid w:val="008877C4"/>
    <w:rsid w:val="008973B0"/>
    <w:rsid w:val="008B1660"/>
    <w:rsid w:val="008C1D5E"/>
    <w:rsid w:val="009718AB"/>
    <w:rsid w:val="00A104A1"/>
    <w:rsid w:val="00A25932"/>
    <w:rsid w:val="00A42367"/>
    <w:rsid w:val="00A77083"/>
    <w:rsid w:val="00A85810"/>
    <w:rsid w:val="00B776C6"/>
    <w:rsid w:val="00BA1021"/>
    <w:rsid w:val="00BC7EE5"/>
    <w:rsid w:val="00C232A2"/>
    <w:rsid w:val="00CB39A7"/>
    <w:rsid w:val="00D01912"/>
    <w:rsid w:val="00D821C2"/>
    <w:rsid w:val="00D852E7"/>
    <w:rsid w:val="00DD353B"/>
    <w:rsid w:val="00F031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BBDF3824-DFA8-4224-8D6A-56313911C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TTERHEAD">
    <w:name w:val="LETTERHEAD"/>
    <w:basedOn w:val="Normal"/>
    <w:pPr>
      <w:tabs>
        <w:tab w:val="left" w:pos="6480"/>
      </w:tabs>
    </w:p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alloonText">
    <w:name w:val="Balloon Text"/>
    <w:basedOn w:val="Normal"/>
    <w:link w:val="BalloonTextChar"/>
    <w:uiPriority w:val="99"/>
    <w:semiHidden/>
    <w:unhideWhenUsed/>
    <w:rsid w:val="0005356F"/>
    <w:rPr>
      <w:rFonts w:ascii="Tahoma" w:hAnsi="Tahoma" w:cs="Tahoma"/>
      <w:sz w:val="16"/>
      <w:szCs w:val="16"/>
    </w:rPr>
  </w:style>
  <w:style w:type="character" w:customStyle="1" w:styleId="BalloonTextChar">
    <w:name w:val="Balloon Text Char"/>
    <w:basedOn w:val="DefaultParagraphFont"/>
    <w:link w:val="BalloonText"/>
    <w:uiPriority w:val="99"/>
    <w:semiHidden/>
    <w:rsid w:val="0005356F"/>
    <w:rPr>
      <w:rFonts w:ascii="Tahoma" w:hAnsi="Tahoma" w:cs="Tahoma"/>
      <w:sz w:val="16"/>
      <w:szCs w:val="16"/>
      <w:lang w:val="en-GB" w:eastAsia="en-US"/>
    </w:rPr>
  </w:style>
  <w:style w:type="character" w:styleId="Hyperlink">
    <w:name w:val="Hyperlink"/>
    <w:rsid w:val="005E36A6"/>
    <w:rPr>
      <w:color w:val="0000FF"/>
      <w:u w:val="single"/>
    </w:rPr>
  </w:style>
  <w:style w:type="character" w:customStyle="1" w:styleId="FooterChar">
    <w:name w:val="Footer Char"/>
    <w:basedOn w:val="DefaultParagraphFont"/>
    <w:link w:val="Footer"/>
    <w:uiPriority w:val="99"/>
    <w:rsid w:val="005E36A6"/>
    <w:rPr>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71898-BD94-432A-8126-765D9318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232</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British Columbia Securities Commission</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dc:creator>
  <cp:lastModifiedBy>Susan Chong</cp:lastModifiedBy>
  <cp:revision>2</cp:revision>
  <dcterms:created xsi:type="dcterms:W3CDTF">2021-03-30T16:12:00Z</dcterms:created>
  <dcterms:modified xsi:type="dcterms:W3CDTF">2021-03-30T16:12:00Z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SCNumber">
    <vt:lpwstr> 2573465.v5</vt:lpwstr>
  </property>
  <property fmtid="{D5CDD505-2E9C-101B-9397-08002B2CF9AE}" pid="3" name="BCSCFooterText">
    <vt:lpwstr>DM#  2573465.v5</vt:lpwstr>
  </property>
  <property fmtid="{D5CDD505-2E9C-101B-9397-08002B2CF9AE}" pid="4" name="BCSCTemplate">
    <vt:lpwstr>True</vt:lpwstr>
  </property>
</Properties>
</file>