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F68B6" w14:textId="42ABA7C1" w:rsidR="00EB5CF7" w:rsidRDefault="00BA6DE5" w:rsidP="00023CF7">
      <w:pPr>
        <w:pStyle w:val="Default"/>
        <w:spacing w:after="240"/>
        <w:jc w:val="center"/>
        <w:rPr>
          <w:b/>
          <w:bCs/>
        </w:rPr>
      </w:pPr>
      <w:bookmarkStart w:id="0" w:name="_GoBack"/>
      <w:bookmarkEnd w:id="0"/>
      <w:r>
        <w:rPr>
          <w:b/>
          <w:bCs/>
        </w:rPr>
        <w:t>Annex</w:t>
      </w:r>
      <w:r w:rsidR="00EB5CF7">
        <w:rPr>
          <w:b/>
          <w:bCs/>
        </w:rPr>
        <w:t xml:space="preserve"> A</w:t>
      </w:r>
    </w:p>
    <w:p w14:paraId="5FCA6EA3" w14:textId="3F6BE723" w:rsidR="00351B25" w:rsidRPr="00023CF7" w:rsidRDefault="00BA6DE5" w:rsidP="00023CF7">
      <w:pPr>
        <w:pStyle w:val="Default"/>
        <w:spacing w:after="240"/>
        <w:jc w:val="center"/>
        <w:rPr>
          <w:b/>
          <w:bCs/>
          <w:i/>
          <w:iCs/>
        </w:rPr>
      </w:pPr>
      <w:r w:rsidRPr="00023CF7">
        <w:rPr>
          <w:b/>
          <w:bCs/>
        </w:rPr>
        <w:t>Proposed Changes to</w:t>
      </w:r>
      <w:r w:rsidR="00023CF7" w:rsidRPr="00023CF7">
        <w:rPr>
          <w:b/>
          <w:bCs/>
        </w:rPr>
        <w:br/>
      </w:r>
      <w:r w:rsidRPr="00023CF7">
        <w:rPr>
          <w:b/>
          <w:bCs/>
        </w:rPr>
        <w:t xml:space="preserve">Companion Policy </w:t>
      </w:r>
      <w:r w:rsidR="00BE1AF7" w:rsidRPr="00023CF7">
        <w:rPr>
          <w:b/>
          <w:bCs/>
        </w:rPr>
        <w:t>4</w:t>
      </w:r>
      <w:r w:rsidR="007846FC" w:rsidRPr="00023CF7">
        <w:rPr>
          <w:b/>
          <w:bCs/>
        </w:rPr>
        <w:t>1</w:t>
      </w:r>
      <w:r w:rsidR="00BE1AF7" w:rsidRPr="00023CF7">
        <w:rPr>
          <w:b/>
          <w:bCs/>
        </w:rPr>
        <w:t xml:space="preserve">-101CP </w:t>
      </w:r>
      <w:r w:rsidRPr="00023CF7">
        <w:rPr>
          <w:b/>
          <w:bCs/>
        </w:rPr>
        <w:t>to</w:t>
      </w:r>
      <w:r w:rsidR="00BE1AF7" w:rsidRPr="00023CF7">
        <w:rPr>
          <w:b/>
          <w:bCs/>
        </w:rPr>
        <w:t xml:space="preserve"> </w:t>
      </w:r>
      <w:r w:rsidRPr="00023CF7">
        <w:rPr>
          <w:b/>
          <w:bCs/>
        </w:rPr>
        <w:t xml:space="preserve">National Instrument 41-101 </w:t>
      </w:r>
      <w:r w:rsidRPr="00023CF7">
        <w:rPr>
          <w:b/>
          <w:bCs/>
          <w:i/>
          <w:iCs/>
        </w:rPr>
        <w:t>General Prospectus Requirements</w:t>
      </w:r>
    </w:p>
    <w:p w14:paraId="0A37501D" w14:textId="77777777" w:rsidR="003950CC" w:rsidRPr="00023CF7" w:rsidRDefault="003950CC" w:rsidP="00023CF7">
      <w:pPr>
        <w:pStyle w:val="Default"/>
        <w:spacing w:after="240"/>
      </w:pPr>
    </w:p>
    <w:p w14:paraId="73B87EE4" w14:textId="098CF563" w:rsidR="00DA32B0" w:rsidRPr="00023CF7" w:rsidRDefault="00BE1AF7" w:rsidP="00023CF7">
      <w:pPr>
        <w:pStyle w:val="ListParagraph"/>
        <w:numPr>
          <w:ilvl w:val="0"/>
          <w:numId w:val="12"/>
        </w:numPr>
        <w:spacing w:after="240"/>
        <w:ind w:hanging="720"/>
        <w:contextualSpacing w:val="0"/>
        <w:rPr>
          <w:b/>
          <w:bCs/>
          <w:i/>
          <w:iCs/>
          <w:szCs w:val="24"/>
        </w:rPr>
      </w:pPr>
      <w:r w:rsidRPr="00023CF7">
        <w:rPr>
          <w:b/>
          <w:bCs/>
          <w:i/>
          <w:iCs/>
          <w:szCs w:val="24"/>
        </w:rPr>
        <w:t>Companion Policy 4</w:t>
      </w:r>
      <w:r w:rsidR="00FC13BB" w:rsidRPr="00023CF7">
        <w:rPr>
          <w:b/>
          <w:bCs/>
          <w:i/>
          <w:iCs/>
          <w:szCs w:val="24"/>
        </w:rPr>
        <w:t>1</w:t>
      </w:r>
      <w:r w:rsidRPr="00023CF7">
        <w:rPr>
          <w:b/>
          <w:bCs/>
          <w:i/>
          <w:iCs/>
          <w:szCs w:val="24"/>
        </w:rPr>
        <w:t>-101CP to National Instrument 4</w:t>
      </w:r>
      <w:r w:rsidR="00FC13BB" w:rsidRPr="00023CF7">
        <w:rPr>
          <w:b/>
          <w:bCs/>
          <w:i/>
          <w:iCs/>
          <w:szCs w:val="24"/>
        </w:rPr>
        <w:t>1</w:t>
      </w:r>
      <w:r w:rsidRPr="00023CF7">
        <w:rPr>
          <w:b/>
          <w:bCs/>
          <w:i/>
          <w:iCs/>
          <w:szCs w:val="24"/>
        </w:rPr>
        <w:t xml:space="preserve">-101 </w:t>
      </w:r>
      <w:r w:rsidR="00FC13BB" w:rsidRPr="00023CF7">
        <w:rPr>
          <w:b/>
          <w:bCs/>
          <w:i/>
          <w:iCs/>
          <w:szCs w:val="24"/>
        </w:rPr>
        <w:t>General Prospectus Requirements</w:t>
      </w:r>
      <w:r w:rsidRPr="00023CF7">
        <w:rPr>
          <w:b/>
          <w:bCs/>
          <w:i/>
          <w:iCs/>
          <w:szCs w:val="24"/>
        </w:rPr>
        <w:t xml:space="preserve"> is changed by this Document.</w:t>
      </w:r>
    </w:p>
    <w:p w14:paraId="06792796" w14:textId="58CFE588" w:rsidR="00717D61" w:rsidRPr="00023CF7" w:rsidRDefault="00BE1AF7" w:rsidP="00023CF7">
      <w:pPr>
        <w:pStyle w:val="ListParagraph"/>
        <w:numPr>
          <w:ilvl w:val="0"/>
          <w:numId w:val="12"/>
        </w:numPr>
        <w:spacing w:after="240"/>
        <w:ind w:hanging="720"/>
        <w:contextualSpacing w:val="0"/>
        <w:rPr>
          <w:szCs w:val="24"/>
        </w:rPr>
      </w:pPr>
      <w:bookmarkStart w:id="1" w:name="_Hlk66715605"/>
      <w:r w:rsidRPr="00023CF7">
        <w:rPr>
          <w:b/>
          <w:bCs/>
          <w:szCs w:val="24"/>
        </w:rPr>
        <w:t>Section 5.1 is changed by replacing</w:t>
      </w:r>
      <w:r w:rsidRPr="00023CF7">
        <w:rPr>
          <w:szCs w:val="24"/>
        </w:rPr>
        <w:t xml:space="preserve"> </w:t>
      </w:r>
      <w:r w:rsidRPr="00023CF7">
        <w:rPr>
          <w:b/>
          <w:bCs/>
          <w:i/>
          <w:iCs/>
          <w:szCs w:val="24"/>
        </w:rPr>
        <w:t>"</w:t>
      </w:r>
      <w:r w:rsidRPr="00023CF7">
        <w:rPr>
          <w:bCs/>
          <w:iCs/>
          <w:szCs w:val="24"/>
        </w:rPr>
        <w:t>Request for exemptions</w:t>
      </w:r>
      <w:r w:rsidRPr="00023CF7">
        <w:rPr>
          <w:b/>
          <w:bCs/>
          <w:i/>
          <w:iCs/>
          <w:szCs w:val="24"/>
        </w:rPr>
        <w:t>" with "</w:t>
      </w:r>
      <w:r w:rsidRPr="00023CF7">
        <w:rPr>
          <w:bCs/>
          <w:iCs/>
          <w:szCs w:val="24"/>
        </w:rPr>
        <w:t>Requests for exemptions</w:t>
      </w:r>
      <w:r w:rsidRPr="00023CF7">
        <w:rPr>
          <w:b/>
          <w:bCs/>
          <w:i/>
          <w:iCs/>
          <w:szCs w:val="24"/>
        </w:rPr>
        <w:t>"</w:t>
      </w:r>
      <w:r w:rsidRPr="00023CF7">
        <w:rPr>
          <w:b/>
          <w:i/>
          <w:szCs w:val="24"/>
        </w:rPr>
        <w:t>.</w:t>
      </w:r>
    </w:p>
    <w:p w14:paraId="1D732467" w14:textId="7C1132DE" w:rsidR="00DE5129" w:rsidRPr="00023CF7" w:rsidRDefault="00BE1AF7" w:rsidP="00023CF7">
      <w:pPr>
        <w:pStyle w:val="ListParagraph"/>
        <w:numPr>
          <w:ilvl w:val="0"/>
          <w:numId w:val="12"/>
        </w:numPr>
        <w:spacing w:after="240"/>
        <w:ind w:hanging="720"/>
        <w:contextualSpacing w:val="0"/>
        <w:rPr>
          <w:szCs w:val="24"/>
        </w:rPr>
      </w:pPr>
      <w:r w:rsidRPr="00023CF7">
        <w:rPr>
          <w:b/>
          <w:bCs/>
          <w:i/>
          <w:iCs/>
          <w:szCs w:val="24"/>
        </w:rPr>
        <w:t xml:space="preserve">First paragraph of </w:t>
      </w:r>
      <w:r w:rsidR="00CC167A" w:rsidRPr="00023CF7">
        <w:rPr>
          <w:b/>
          <w:bCs/>
          <w:i/>
          <w:iCs/>
          <w:szCs w:val="24"/>
        </w:rPr>
        <w:t xml:space="preserve">Section 5.2 is changed </w:t>
      </w:r>
      <w:r w:rsidRPr="00023CF7">
        <w:rPr>
          <w:b/>
          <w:bCs/>
          <w:i/>
          <w:iCs/>
          <w:szCs w:val="24"/>
        </w:rPr>
        <w:t xml:space="preserve">by adding </w:t>
      </w:r>
      <w:bookmarkStart w:id="2" w:name="_Hlk66715007"/>
      <w:r w:rsidRPr="00023CF7">
        <w:rPr>
          <w:b/>
          <w:bCs/>
          <w:i/>
          <w:iCs/>
          <w:szCs w:val="24"/>
        </w:rPr>
        <w:t>"</w:t>
      </w:r>
      <w:bookmarkEnd w:id="2"/>
      <w:r w:rsidRPr="00023CF7">
        <w:rPr>
          <w:bCs/>
          <w:iCs/>
          <w:szCs w:val="24"/>
        </w:rPr>
        <w:t>an</w:t>
      </w:r>
      <w:r w:rsidRPr="00023CF7">
        <w:rPr>
          <w:b/>
          <w:bCs/>
          <w:i/>
          <w:iCs/>
          <w:szCs w:val="24"/>
        </w:rPr>
        <w:t>" immediately before "</w:t>
      </w:r>
      <w:r w:rsidRPr="00023CF7">
        <w:rPr>
          <w:bCs/>
          <w:iCs/>
          <w:szCs w:val="24"/>
        </w:rPr>
        <w:t>interim financial report for periods that are more recent</w:t>
      </w:r>
      <w:r w:rsidRPr="00023CF7">
        <w:rPr>
          <w:b/>
          <w:bCs/>
          <w:i/>
          <w:iCs/>
          <w:szCs w:val="24"/>
        </w:rPr>
        <w:t>"</w:t>
      </w:r>
      <w:r w:rsidRPr="00023CF7">
        <w:rPr>
          <w:szCs w:val="24"/>
        </w:rPr>
        <w:t>.</w:t>
      </w:r>
      <w:r w:rsidRPr="00023CF7">
        <w:rPr>
          <w:b/>
          <w:i/>
          <w:szCs w:val="24"/>
        </w:rPr>
        <w:t>.</w:t>
      </w:r>
    </w:p>
    <w:bookmarkEnd w:id="1"/>
    <w:p w14:paraId="66EE4999" w14:textId="5D364A14" w:rsidR="00211B28" w:rsidRPr="00023CF7" w:rsidRDefault="00BE1AF7" w:rsidP="00023CF7">
      <w:pPr>
        <w:pStyle w:val="ListParagraph"/>
        <w:numPr>
          <w:ilvl w:val="0"/>
          <w:numId w:val="12"/>
        </w:numPr>
        <w:spacing w:after="240"/>
        <w:ind w:hanging="720"/>
        <w:contextualSpacing w:val="0"/>
        <w:rPr>
          <w:b/>
          <w:bCs/>
          <w:i/>
          <w:iCs/>
          <w:szCs w:val="24"/>
        </w:rPr>
      </w:pPr>
      <w:r w:rsidRPr="00023CF7">
        <w:rPr>
          <w:b/>
          <w:bCs/>
          <w:i/>
          <w:iCs/>
          <w:szCs w:val="24"/>
        </w:rPr>
        <w:t xml:space="preserve">Section 5.3 is </w:t>
      </w:r>
      <w:r w:rsidR="00947E02" w:rsidRPr="00023CF7">
        <w:rPr>
          <w:b/>
          <w:bCs/>
          <w:i/>
          <w:iCs/>
          <w:szCs w:val="24"/>
        </w:rPr>
        <w:t xml:space="preserve">changed by </w:t>
      </w:r>
      <w:r w:rsidRPr="00023CF7">
        <w:rPr>
          <w:b/>
          <w:bCs/>
          <w:i/>
          <w:iCs/>
          <w:szCs w:val="24"/>
        </w:rPr>
        <w:t>replac</w:t>
      </w:r>
      <w:r w:rsidR="00947E02" w:rsidRPr="00023CF7">
        <w:rPr>
          <w:b/>
          <w:bCs/>
          <w:i/>
          <w:iCs/>
          <w:szCs w:val="24"/>
        </w:rPr>
        <w:t>ing the text</w:t>
      </w:r>
      <w:r w:rsidRPr="00023CF7">
        <w:rPr>
          <w:b/>
          <w:bCs/>
          <w:i/>
          <w:iCs/>
          <w:szCs w:val="24"/>
        </w:rPr>
        <w:t xml:space="preserve"> with the following:</w:t>
      </w:r>
    </w:p>
    <w:p w14:paraId="39152207" w14:textId="6B7EE7AE" w:rsidR="00211B28" w:rsidRPr="00023CF7" w:rsidRDefault="00BE1AF7" w:rsidP="00023CF7">
      <w:pPr>
        <w:spacing w:after="240" w:line="263" w:lineRule="exact"/>
        <w:ind w:left="709" w:right="72"/>
        <w:textAlignment w:val="baseline"/>
        <w:rPr>
          <w:rFonts w:eastAsia="Arial"/>
          <w:b/>
          <w:color w:val="000000"/>
          <w:spacing w:val="-1"/>
          <w:szCs w:val="24"/>
        </w:rPr>
      </w:pPr>
      <w:r w:rsidRPr="00023CF7">
        <w:rPr>
          <w:rFonts w:eastAsia="Arial"/>
          <w:b/>
          <w:color w:val="000000"/>
          <w:spacing w:val="-1"/>
          <w:szCs w:val="24"/>
        </w:rPr>
        <w:t>Interpretation of issuer – primary business</w:t>
      </w:r>
    </w:p>
    <w:p w14:paraId="48514908" w14:textId="225D4DF6" w:rsidR="00211B28" w:rsidRPr="00023CF7" w:rsidRDefault="00BE1AF7" w:rsidP="00246299">
      <w:pPr>
        <w:tabs>
          <w:tab w:val="left" w:pos="1080"/>
          <w:tab w:val="left" w:pos="1440"/>
        </w:tabs>
        <w:spacing w:after="240" w:line="253" w:lineRule="exact"/>
        <w:ind w:left="1440" w:right="72" w:hanging="731"/>
        <w:textAlignment w:val="baseline"/>
        <w:rPr>
          <w:rFonts w:eastAsia="Arial"/>
          <w:color w:val="000000"/>
          <w:szCs w:val="24"/>
        </w:rPr>
      </w:pPr>
      <w:r w:rsidRPr="00023CF7">
        <w:rPr>
          <w:rFonts w:eastAsia="Arial"/>
          <w:b/>
          <w:color w:val="000000"/>
          <w:szCs w:val="24"/>
        </w:rPr>
        <w:t xml:space="preserve">5.3 </w:t>
      </w:r>
      <w:r w:rsidR="00013437">
        <w:rPr>
          <w:rFonts w:eastAsia="Arial"/>
          <w:b/>
          <w:color w:val="000000"/>
          <w:szCs w:val="24"/>
        </w:rPr>
        <w:tab/>
      </w:r>
      <w:r w:rsidRPr="00023CF7">
        <w:rPr>
          <w:rFonts w:eastAsia="Arial"/>
          <w:b/>
          <w:color w:val="000000"/>
          <w:szCs w:val="24"/>
        </w:rPr>
        <w:t xml:space="preserve">(1) </w:t>
      </w:r>
      <w:r w:rsidR="00013437">
        <w:rPr>
          <w:rFonts w:eastAsia="Arial"/>
          <w:b/>
          <w:color w:val="000000"/>
          <w:szCs w:val="24"/>
        </w:rPr>
        <w:tab/>
      </w:r>
      <w:r w:rsidRPr="00023CF7">
        <w:rPr>
          <w:rFonts w:eastAsia="Arial"/>
          <w:color w:val="000000"/>
          <w:szCs w:val="24"/>
        </w:rPr>
        <w:t xml:space="preserve">An issuer is required to provide historical financial statements under Item 32 of Form 41-101F1 for a business or related businesses that a reasonable investor would regard as the primary business of the issuer. </w:t>
      </w:r>
      <w:bookmarkStart w:id="3" w:name="_Hlk74118542"/>
      <w:r w:rsidRPr="00023CF7">
        <w:rPr>
          <w:rFonts w:eastAsia="Arial"/>
          <w:color w:val="000000"/>
          <w:szCs w:val="24"/>
        </w:rPr>
        <w:t>The issuer is also required to include the applicable MD&amp;A for the primary business.</w:t>
      </w:r>
      <w:bookmarkEnd w:id="3"/>
      <w:r w:rsidRPr="00023CF7">
        <w:rPr>
          <w:rFonts w:eastAsia="Arial"/>
          <w:color w:val="000000"/>
          <w:szCs w:val="24"/>
        </w:rPr>
        <w:t xml:space="preserve"> </w:t>
      </w:r>
    </w:p>
    <w:p w14:paraId="49470117" w14:textId="2F3DE198" w:rsidR="00211B28" w:rsidRPr="00023CF7" w:rsidRDefault="00BE1AF7" w:rsidP="00013437">
      <w:pPr>
        <w:spacing w:after="240" w:line="253" w:lineRule="exact"/>
        <w:ind w:left="1440" w:right="72"/>
        <w:textAlignment w:val="baseline"/>
        <w:rPr>
          <w:rFonts w:eastAsia="Arial"/>
          <w:b/>
          <w:color w:val="000000"/>
          <w:szCs w:val="24"/>
        </w:rPr>
      </w:pPr>
      <w:r w:rsidRPr="00023CF7">
        <w:rPr>
          <w:rFonts w:eastAsia="Arial"/>
          <w:color w:val="000000"/>
          <w:szCs w:val="24"/>
        </w:rPr>
        <w:t xml:space="preserve">However, if the issuer is a reporting issuer whose principal assets are not cash, cash equivalents or an exchange listing, and the acquisition of the primary business represents a significant acquisition, the reporting issuer is subject to the requirements of Item 35 </w:t>
      </w:r>
      <w:bookmarkStart w:id="4" w:name="_Hlk74118675"/>
      <w:r w:rsidRPr="00023CF7">
        <w:rPr>
          <w:rFonts w:eastAsia="Arial"/>
          <w:color w:val="000000"/>
          <w:szCs w:val="24"/>
        </w:rPr>
        <w:t>of Form 41-101F1, and not Item 32 of Form 41-101F1,</w:t>
      </w:r>
      <w:bookmarkEnd w:id="4"/>
      <w:r w:rsidRPr="00023CF7">
        <w:rPr>
          <w:rFonts w:eastAsia="Arial"/>
          <w:color w:val="000000"/>
          <w:szCs w:val="24"/>
        </w:rPr>
        <w:t xml:space="preserve"> in respect of the financial statement</w:t>
      </w:r>
      <w:r w:rsidR="003D36B3" w:rsidRPr="00023CF7">
        <w:rPr>
          <w:rFonts w:eastAsia="Arial"/>
          <w:color w:val="000000"/>
          <w:szCs w:val="24"/>
        </w:rPr>
        <w:t>s</w:t>
      </w:r>
      <w:r w:rsidRPr="00023CF7">
        <w:rPr>
          <w:rFonts w:eastAsia="Arial"/>
          <w:color w:val="000000"/>
          <w:szCs w:val="24"/>
        </w:rPr>
        <w:t xml:space="preserve"> and other disclosure for that acquisition.</w:t>
      </w:r>
    </w:p>
    <w:p w14:paraId="0E5D397F" w14:textId="740461A7" w:rsidR="00211B28" w:rsidRPr="00023CF7" w:rsidRDefault="00BE1AF7" w:rsidP="00013437">
      <w:pPr>
        <w:spacing w:after="240" w:line="253" w:lineRule="exact"/>
        <w:ind w:left="1440" w:right="72"/>
        <w:textAlignment w:val="baseline"/>
        <w:rPr>
          <w:rFonts w:eastAsia="Arial"/>
          <w:color w:val="000000"/>
          <w:szCs w:val="24"/>
        </w:rPr>
      </w:pPr>
      <w:r w:rsidRPr="00023CF7">
        <w:rPr>
          <w:rFonts w:eastAsia="Arial"/>
          <w:color w:val="000000"/>
          <w:szCs w:val="24"/>
        </w:rPr>
        <w:t>A reporting issuer cannot rely on the exemption in subsection 32.1(2)</w:t>
      </w:r>
      <w:r w:rsidR="00882FFE" w:rsidRPr="00023CF7">
        <w:rPr>
          <w:rFonts w:eastAsia="Arial"/>
          <w:color w:val="000000"/>
          <w:szCs w:val="24"/>
        </w:rPr>
        <w:t xml:space="preserve"> </w:t>
      </w:r>
      <w:bookmarkStart w:id="5" w:name="_Hlk74118793"/>
      <w:r w:rsidR="00882FFE" w:rsidRPr="00023CF7">
        <w:rPr>
          <w:rFonts w:eastAsia="Arial"/>
          <w:color w:val="000000"/>
          <w:szCs w:val="24"/>
        </w:rPr>
        <w:t>of Form</w:t>
      </w:r>
      <w:r w:rsidR="00023CF7">
        <w:rPr>
          <w:rFonts w:eastAsia="Arial"/>
          <w:color w:val="000000"/>
          <w:szCs w:val="24"/>
        </w:rPr>
        <w:t> </w:t>
      </w:r>
      <w:r w:rsidR="00882FFE" w:rsidRPr="00023CF7">
        <w:rPr>
          <w:rFonts w:eastAsia="Arial"/>
          <w:color w:val="000000"/>
          <w:szCs w:val="24"/>
        </w:rPr>
        <w:t>41-101F1</w:t>
      </w:r>
      <w:bookmarkEnd w:id="5"/>
      <w:r w:rsidRPr="00023CF7">
        <w:rPr>
          <w:rFonts w:eastAsia="Arial"/>
          <w:color w:val="000000"/>
          <w:szCs w:val="24"/>
        </w:rPr>
        <w:t xml:space="preserve"> if the applicable transaction is a reverse takeover. </w:t>
      </w:r>
      <w:bookmarkStart w:id="6" w:name="_Hlk74118860"/>
      <w:r w:rsidRPr="00023CF7">
        <w:rPr>
          <w:rFonts w:eastAsia="Arial"/>
          <w:color w:val="000000"/>
          <w:szCs w:val="24"/>
        </w:rPr>
        <w:t xml:space="preserve">In such circumstances, the reverse takeover acquirer would be considered the primary business under either paragraph 32.1(1)(a) or (b) of Form 41-101F1. </w:t>
      </w:r>
      <w:bookmarkEnd w:id="6"/>
    </w:p>
    <w:p w14:paraId="4BDF5247" w14:textId="672330E9" w:rsidR="00211B28" w:rsidRPr="00023CF7" w:rsidRDefault="00BE1AF7" w:rsidP="00013437">
      <w:pPr>
        <w:spacing w:after="240" w:line="253" w:lineRule="exact"/>
        <w:ind w:left="1440" w:right="72"/>
        <w:textAlignment w:val="baseline"/>
        <w:rPr>
          <w:rFonts w:eastAsia="Arial"/>
          <w:color w:val="000000"/>
          <w:szCs w:val="24"/>
        </w:rPr>
      </w:pPr>
      <w:r w:rsidRPr="00023CF7">
        <w:rPr>
          <w:rFonts w:eastAsia="Arial"/>
          <w:color w:val="000000"/>
          <w:szCs w:val="24"/>
        </w:rPr>
        <w:t xml:space="preserve">Examples of when a reasonable investor would regard the acquired business or related businesses to be the primary business of the issuer, thereby triggering the application of Item 32 </w:t>
      </w:r>
      <w:bookmarkStart w:id="7" w:name="_Hlk74119234"/>
      <w:r w:rsidRPr="00023CF7">
        <w:rPr>
          <w:rFonts w:eastAsia="Arial"/>
          <w:color w:val="000000"/>
          <w:szCs w:val="24"/>
        </w:rPr>
        <w:t>of Form 41-101F1</w:t>
      </w:r>
      <w:bookmarkEnd w:id="7"/>
      <w:r w:rsidRPr="00023CF7">
        <w:rPr>
          <w:rFonts w:eastAsia="Arial"/>
          <w:color w:val="000000"/>
          <w:szCs w:val="24"/>
        </w:rPr>
        <w:t>, are when the acquisition(s) was</w:t>
      </w:r>
    </w:p>
    <w:p w14:paraId="0EC0E7AA" w14:textId="77777777" w:rsidR="00211B28" w:rsidRPr="00023CF7" w:rsidRDefault="00BE1AF7" w:rsidP="00246299">
      <w:pPr>
        <w:numPr>
          <w:ilvl w:val="0"/>
          <w:numId w:val="20"/>
        </w:numPr>
        <w:tabs>
          <w:tab w:val="clear" w:pos="864"/>
        </w:tabs>
        <w:spacing w:after="240" w:line="251" w:lineRule="exact"/>
        <w:ind w:left="1800" w:right="72" w:hanging="360"/>
        <w:textAlignment w:val="baseline"/>
        <w:rPr>
          <w:rFonts w:eastAsia="Arial"/>
          <w:color w:val="000000"/>
          <w:szCs w:val="24"/>
          <w:lang w:val="fr-FR"/>
        </w:rPr>
      </w:pPr>
      <w:r w:rsidRPr="00023CF7">
        <w:rPr>
          <w:rFonts w:eastAsia="Arial"/>
          <w:color w:val="000000"/>
          <w:szCs w:val="24"/>
          <w:lang w:val="fr-FR"/>
        </w:rPr>
        <w:t xml:space="preserve">a reverse </w:t>
      </w:r>
      <w:proofErr w:type="spellStart"/>
      <w:r w:rsidRPr="00023CF7">
        <w:rPr>
          <w:rFonts w:eastAsia="Arial"/>
          <w:color w:val="000000"/>
          <w:szCs w:val="24"/>
          <w:lang w:val="fr-FR"/>
        </w:rPr>
        <w:t>takeover</w:t>
      </w:r>
      <w:proofErr w:type="spellEnd"/>
      <w:r w:rsidRPr="00023CF7">
        <w:rPr>
          <w:rFonts w:eastAsia="Arial"/>
          <w:color w:val="000000"/>
          <w:szCs w:val="24"/>
          <w:lang w:val="fr-FR"/>
        </w:rPr>
        <w:t>,</w:t>
      </w:r>
    </w:p>
    <w:p w14:paraId="7E152B46" w14:textId="77777777" w:rsidR="00211B28" w:rsidRPr="00023CF7" w:rsidRDefault="00BE1AF7" w:rsidP="00246299">
      <w:pPr>
        <w:numPr>
          <w:ilvl w:val="0"/>
          <w:numId w:val="20"/>
        </w:numPr>
        <w:tabs>
          <w:tab w:val="clear" w:pos="864"/>
        </w:tabs>
        <w:spacing w:after="240" w:line="251" w:lineRule="exact"/>
        <w:ind w:left="1800" w:right="72" w:hanging="360"/>
        <w:textAlignment w:val="baseline"/>
        <w:rPr>
          <w:rFonts w:eastAsia="Arial"/>
          <w:color w:val="000000"/>
          <w:szCs w:val="24"/>
        </w:rPr>
      </w:pPr>
      <w:r w:rsidRPr="00023CF7">
        <w:rPr>
          <w:rFonts w:eastAsia="Arial"/>
          <w:color w:val="000000"/>
          <w:szCs w:val="24"/>
        </w:rPr>
        <w:t xml:space="preserve">a qualifying transaction for a capital pool company </w:t>
      </w:r>
      <w:bookmarkStart w:id="8" w:name="_Hlk74119282"/>
      <w:r w:rsidRPr="00023CF7">
        <w:rPr>
          <w:rFonts w:eastAsia="Arial"/>
          <w:color w:val="000000"/>
          <w:szCs w:val="24"/>
        </w:rPr>
        <w:t>under the policies of the TSX Venture Exchange</w:t>
      </w:r>
      <w:bookmarkEnd w:id="8"/>
      <w:r w:rsidRPr="00023CF7">
        <w:rPr>
          <w:rFonts w:eastAsia="Arial"/>
          <w:color w:val="000000"/>
          <w:szCs w:val="24"/>
        </w:rPr>
        <w:t>,</w:t>
      </w:r>
    </w:p>
    <w:p w14:paraId="2120E10D" w14:textId="77777777" w:rsidR="00211B28" w:rsidRPr="00023CF7" w:rsidRDefault="00BE1AF7" w:rsidP="00246299">
      <w:pPr>
        <w:numPr>
          <w:ilvl w:val="0"/>
          <w:numId w:val="20"/>
        </w:numPr>
        <w:tabs>
          <w:tab w:val="clear" w:pos="864"/>
        </w:tabs>
        <w:spacing w:after="240" w:line="251" w:lineRule="exact"/>
        <w:ind w:left="1800" w:right="72" w:hanging="360"/>
        <w:textAlignment w:val="baseline"/>
        <w:rPr>
          <w:rFonts w:eastAsia="Arial"/>
          <w:color w:val="000000"/>
          <w:szCs w:val="24"/>
        </w:rPr>
      </w:pPr>
      <w:bookmarkStart w:id="9" w:name="_Hlk74119355"/>
      <w:r w:rsidRPr="00023CF7">
        <w:rPr>
          <w:rFonts w:eastAsia="Arial"/>
          <w:color w:val="000000"/>
          <w:szCs w:val="24"/>
        </w:rPr>
        <w:t>a qualifying acquisition or qualification transaction by a special purpose acquisition corporation under the policies of a recognized exchange,</w:t>
      </w:r>
      <w:bookmarkEnd w:id="9"/>
      <w:r w:rsidRPr="00023CF7">
        <w:rPr>
          <w:rFonts w:eastAsia="Arial"/>
          <w:color w:val="000000"/>
          <w:szCs w:val="24"/>
        </w:rPr>
        <w:t xml:space="preserve"> </w:t>
      </w:r>
    </w:p>
    <w:p w14:paraId="4895D80C" w14:textId="77777777" w:rsidR="00211B28" w:rsidRPr="00023CF7" w:rsidRDefault="00BE1AF7" w:rsidP="00246299">
      <w:pPr>
        <w:numPr>
          <w:ilvl w:val="0"/>
          <w:numId w:val="20"/>
        </w:numPr>
        <w:tabs>
          <w:tab w:val="clear" w:pos="864"/>
        </w:tabs>
        <w:spacing w:after="240" w:line="250" w:lineRule="exact"/>
        <w:ind w:left="1800" w:right="216" w:hanging="360"/>
        <w:textAlignment w:val="baseline"/>
        <w:rPr>
          <w:rFonts w:eastAsia="Arial"/>
          <w:color w:val="000000"/>
          <w:szCs w:val="24"/>
        </w:rPr>
      </w:pPr>
      <w:r w:rsidRPr="00023CF7">
        <w:rPr>
          <w:rFonts w:eastAsia="Arial"/>
          <w:color w:val="000000"/>
          <w:szCs w:val="24"/>
        </w:rPr>
        <w:lastRenderedPageBreak/>
        <w:t xml:space="preserve">an acquisition that exceeds the 100% significance </w:t>
      </w:r>
      <w:bookmarkStart w:id="10" w:name="_Hlk74119444"/>
      <w:r w:rsidRPr="00023CF7">
        <w:rPr>
          <w:rFonts w:eastAsia="Arial"/>
          <w:color w:val="000000"/>
          <w:szCs w:val="24"/>
        </w:rPr>
        <w:t>threshold calculated</w:t>
      </w:r>
      <w:bookmarkEnd w:id="10"/>
      <w:r w:rsidRPr="00023CF7">
        <w:rPr>
          <w:rFonts w:eastAsia="Arial"/>
          <w:color w:val="000000"/>
          <w:szCs w:val="24"/>
        </w:rPr>
        <w:t xml:space="preserve"> under subsection 35.1(4) of Form 41-101F1 </w:t>
      </w:r>
      <w:bookmarkStart w:id="11" w:name="_Hlk74119479"/>
      <w:r w:rsidRPr="00023CF7">
        <w:rPr>
          <w:rFonts w:eastAsia="Arial"/>
          <w:color w:val="000000"/>
          <w:szCs w:val="24"/>
        </w:rPr>
        <w:t>(see example 1 below), or</w:t>
      </w:r>
      <w:bookmarkEnd w:id="11"/>
    </w:p>
    <w:p w14:paraId="613AC6EE" w14:textId="77777777" w:rsidR="00211B28" w:rsidRPr="00023CF7" w:rsidRDefault="00BE1AF7" w:rsidP="00246299">
      <w:pPr>
        <w:numPr>
          <w:ilvl w:val="0"/>
          <w:numId w:val="20"/>
        </w:numPr>
        <w:tabs>
          <w:tab w:val="clear" w:pos="864"/>
        </w:tabs>
        <w:spacing w:after="240" w:line="250" w:lineRule="exact"/>
        <w:ind w:left="1800" w:right="216" w:hanging="360"/>
        <w:textAlignment w:val="baseline"/>
        <w:rPr>
          <w:rFonts w:eastAsia="Arial"/>
          <w:color w:val="000000"/>
          <w:szCs w:val="24"/>
        </w:rPr>
      </w:pPr>
      <w:bookmarkStart w:id="12" w:name="_Hlk74119550"/>
      <w:bookmarkStart w:id="13" w:name="_Hlk74119511"/>
      <w:r w:rsidRPr="00023CF7">
        <w:rPr>
          <w:rFonts w:eastAsia="Arial"/>
          <w:color w:val="000000"/>
          <w:szCs w:val="24"/>
        </w:rPr>
        <w:t>an acquisition that is less than the 100% significance threshold calculated under subsection 35.1(4) of Form 41-101F1 but still changes the primary business of the issuer, as disclosed in the prospectus (see example 2 below)</w:t>
      </w:r>
      <w:bookmarkEnd w:id="12"/>
      <w:r w:rsidRPr="00023CF7">
        <w:rPr>
          <w:rFonts w:eastAsia="Arial"/>
          <w:color w:val="000000"/>
          <w:szCs w:val="24"/>
        </w:rPr>
        <w:t xml:space="preserve">. </w:t>
      </w:r>
    </w:p>
    <w:bookmarkEnd w:id="13"/>
    <w:p w14:paraId="29D6A9C5" w14:textId="1B314C48" w:rsidR="00211B28" w:rsidRPr="00023CF7" w:rsidRDefault="00BE1AF7" w:rsidP="00013437">
      <w:pPr>
        <w:spacing w:after="240" w:line="252" w:lineRule="exact"/>
        <w:ind w:left="1440" w:right="72"/>
        <w:textAlignment w:val="baseline"/>
        <w:rPr>
          <w:rFonts w:eastAsia="Arial"/>
          <w:color w:val="000000"/>
          <w:szCs w:val="24"/>
        </w:rPr>
      </w:pPr>
      <w:r w:rsidRPr="00023CF7">
        <w:rPr>
          <w:rFonts w:eastAsia="Arial"/>
          <w:color w:val="000000"/>
          <w:szCs w:val="24"/>
        </w:rPr>
        <w:t xml:space="preserve">In addition to the above, the issuer should consider the facts of each situation, </w:t>
      </w:r>
      <w:bookmarkStart w:id="14" w:name="_Hlk74119649"/>
      <w:r w:rsidRPr="00023CF7">
        <w:rPr>
          <w:rFonts w:eastAsia="Arial"/>
          <w:color w:val="000000"/>
          <w:szCs w:val="24"/>
        </w:rPr>
        <w:t xml:space="preserve">including the facts of the business or related businesses acquired or proposed to be acquired, </w:t>
      </w:r>
      <w:bookmarkEnd w:id="14"/>
      <w:r w:rsidRPr="00023CF7">
        <w:rPr>
          <w:rFonts w:eastAsia="Arial"/>
          <w:color w:val="000000"/>
          <w:szCs w:val="24"/>
        </w:rPr>
        <w:t xml:space="preserve">and determine whether a reasonable investor would regard the primary business of the issuer to be the acquired business or related businesses. </w:t>
      </w:r>
      <w:bookmarkStart w:id="15" w:name="_Hlk74119702"/>
      <w:r w:rsidRPr="00023CF7">
        <w:rPr>
          <w:rFonts w:eastAsia="Arial"/>
          <w:color w:val="000000"/>
          <w:szCs w:val="24"/>
        </w:rPr>
        <w:t>The disclosure in the prospectus, including financial statements and applicable MD&amp;A, must satisfy the requirement that the long form prospectus contain full, true and plain disclosure of all material facts relating to the securities being distributed. If the issuer is uncertain as to whether this standard is met, the issuer should utilize the pre-filing procedures in NP</w:t>
      </w:r>
      <w:r w:rsidR="00023CF7">
        <w:rPr>
          <w:rFonts w:eastAsia="Arial"/>
          <w:color w:val="000000"/>
          <w:szCs w:val="24"/>
        </w:rPr>
        <w:t> </w:t>
      </w:r>
      <w:r w:rsidRPr="00023CF7">
        <w:rPr>
          <w:rFonts w:eastAsia="Arial"/>
          <w:color w:val="000000"/>
          <w:szCs w:val="24"/>
        </w:rPr>
        <w:t>11</w:t>
      </w:r>
      <w:r w:rsidR="00023CF7">
        <w:rPr>
          <w:rFonts w:eastAsia="Arial"/>
          <w:color w:val="000000"/>
          <w:szCs w:val="24"/>
        </w:rPr>
        <w:noBreakHyphen/>
      </w:r>
      <w:r w:rsidRPr="00023CF7">
        <w:rPr>
          <w:rFonts w:eastAsia="Arial"/>
          <w:color w:val="000000"/>
          <w:szCs w:val="24"/>
        </w:rPr>
        <w:t xml:space="preserve">202 to determine whether </w:t>
      </w:r>
      <w:r w:rsidR="00692EDA" w:rsidRPr="00023CF7">
        <w:rPr>
          <w:rFonts w:eastAsia="Arial"/>
          <w:color w:val="000000"/>
          <w:szCs w:val="24"/>
        </w:rPr>
        <w:t>additional</w:t>
      </w:r>
      <w:r w:rsidRPr="00023CF7">
        <w:rPr>
          <w:rFonts w:eastAsia="Arial"/>
          <w:color w:val="000000"/>
          <w:szCs w:val="24"/>
        </w:rPr>
        <w:t xml:space="preserve"> disclosure is required for full, true and plain disclosure of all material facts relating to the securities being distributed. </w:t>
      </w:r>
      <w:bookmarkEnd w:id="15"/>
    </w:p>
    <w:p w14:paraId="2A9DACFD" w14:textId="77777777" w:rsidR="00211B28" w:rsidRPr="00023CF7" w:rsidRDefault="00BE1AF7" w:rsidP="00013437">
      <w:pPr>
        <w:spacing w:after="240" w:line="252" w:lineRule="exact"/>
        <w:ind w:left="1440" w:right="72"/>
        <w:textAlignment w:val="baseline"/>
        <w:rPr>
          <w:rFonts w:eastAsia="Arial"/>
          <w:b/>
          <w:bCs/>
          <w:color w:val="000000"/>
          <w:szCs w:val="24"/>
        </w:rPr>
      </w:pPr>
      <w:bookmarkStart w:id="16" w:name="_Hlk74119741"/>
      <w:r w:rsidRPr="00023CF7">
        <w:rPr>
          <w:rFonts w:eastAsia="Arial"/>
          <w:b/>
          <w:bCs/>
          <w:color w:val="000000"/>
          <w:szCs w:val="24"/>
        </w:rPr>
        <w:t>Example 1: A non-venture issuer completed an acquisition exceeding the 100% significance threshold in the year prior to its most recently completed financial year</w:t>
      </w:r>
    </w:p>
    <w:p w14:paraId="325553F9" w14:textId="4668562C" w:rsidR="00211B28" w:rsidRPr="00023CF7" w:rsidRDefault="00BE1AF7" w:rsidP="00013437">
      <w:pPr>
        <w:spacing w:after="240" w:line="252" w:lineRule="exact"/>
        <w:ind w:left="1440" w:right="72"/>
        <w:textAlignment w:val="baseline"/>
        <w:rPr>
          <w:rFonts w:eastAsia="Arial"/>
          <w:b/>
          <w:bCs/>
          <w:color w:val="000000"/>
          <w:szCs w:val="24"/>
        </w:rPr>
      </w:pPr>
      <w:r w:rsidRPr="00023CF7">
        <w:rPr>
          <w:rFonts w:eastAsia="Arial"/>
          <w:b/>
          <w:bCs/>
          <w:color w:val="000000"/>
          <w:szCs w:val="24"/>
        </w:rPr>
        <w:t>Facts:</w:t>
      </w:r>
    </w:p>
    <w:p w14:paraId="0E83495B" w14:textId="38E6A8A9" w:rsidR="00211B28" w:rsidRPr="00023CF7" w:rsidRDefault="00BE1AF7" w:rsidP="00246299">
      <w:pPr>
        <w:pStyle w:val="ListParagraph"/>
        <w:widowControl w:val="0"/>
        <w:numPr>
          <w:ilvl w:val="0"/>
          <w:numId w:val="23"/>
        </w:numPr>
        <w:autoSpaceDE w:val="0"/>
        <w:autoSpaceDN w:val="0"/>
        <w:spacing w:after="240" w:line="252" w:lineRule="exact"/>
        <w:ind w:left="1800" w:right="72"/>
        <w:contextualSpacing w:val="0"/>
        <w:textAlignment w:val="baseline"/>
        <w:rPr>
          <w:bCs/>
          <w:szCs w:val="24"/>
        </w:rPr>
      </w:pPr>
      <w:r w:rsidRPr="00023CF7">
        <w:rPr>
          <w:rFonts w:eastAsia="Arial"/>
          <w:color w:val="000000"/>
          <w:szCs w:val="24"/>
        </w:rPr>
        <w:t>A non-venture issuer filed a preliminary IPO prospectus on April 1, 2021 that included audited annual financial statements for its financial year ended December</w:t>
      </w:r>
      <w:r w:rsidR="00023CF7">
        <w:rPr>
          <w:rFonts w:eastAsia="Arial"/>
          <w:color w:val="000000"/>
          <w:szCs w:val="24"/>
        </w:rPr>
        <w:t> </w:t>
      </w:r>
      <w:r w:rsidRPr="00023CF7">
        <w:rPr>
          <w:rFonts w:eastAsia="Arial"/>
          <w:color w:val="000000"/>
          <w:szCs w:val="24"/>
        </w:rPr>
        <w:t>31, 2020.</w:t>
      </w:r>
    </w:p>
    <w:p w14:paraId="5DA1EFFD" w14:textId="3BB498A1" w:rsidR="00211B28" w:rsidRPr="00023CF7" w:rsidRDefault="00BE1AF7" w:rsidP="00246299">
      <w:pPr>
        <w:pStyle w:val="ListParagraph"/>
        <w:widowControl w:val="0"/>
        <w:numPr>
          <w:ilvl w:val="0"/>
          <w:numId w:val="23"/>
        </w:numPr>
        <w:autoSpaceDE w:val="0"/>
        <w:autoSpaceDN w:val="0"/>
        <w:spacing w:after="240" w:line="252" w:lineRule="exact"/>
        <w:ind w:left="1800" w:right="72"/>
        <w:contextualSpacing w:val="0"/>
        <w:textAlignment w:val="baseline"/>
        <w:rPr>
          <w:bCs/>
          <w:szCs w:val="24"/>
        </w:rPr>
      </w:pPr>
      <w:r w:rsidRPr="00023CF7">
        <w:rPr>
          <w:rFonts w:eastAsia="Arial"/>
          <w:color w:val="000000"/>
          <w:szCs w:val="24"/>
        </w:rPr>
        <w:t xml:space="preserve">The issuer disclosed in the prospectus that it had completed Acquisition A on October 1, 2019. </w:t>
      </w:r>
    </w:p>
    <w:p w14:paraId="2880A523" w14:textId="77777777" w:rsidR="00211B28" w:rsidRPr="00023CF7" w:rsidRDefault="00BE1AF7" w:rsidP="00246299">
      <w:pPr>
        <w:pStyle w:val="ListParagraph"/>
        <w:widowControl w:val="0"/>
        <w:numPr>
          <w:ilvl w:val="0"/>
          <w:numId w:val="23"/>
        </w:numPr>
        <w:autoSpaceDE w:val="0"/>
        <w:autoSpaceDN w:val="0"/>
        <w:spacing w:after="240" w:line="252" w:lineRule="exact"/>
        <w:ind w:left="1800" w:right="72"/>
        <w:contextualSpacing w:val="0"/>
        <w:textAlignment w:val="baseline"/>
        <w:rPr>
          <w:bCs/>
          <w:szCs w:val="24"/>
        </w:rPr>
      </w:pPr>
      <w:r w:rsidRPr="00023CF7">
        <w:rPr>
          <w:rFonts w:eastAsia="Arial"/>
          <w:color w:val="000000"/>
          <w:szCs w:val="24"/>
        </w:rPr>
        <w:t xml:space="preserve">Both the </w:t>
      </w:r>
      <w:r w:rsidRPr="00023CF7">
        <w:rPr>
          <w:bCs/>
          <w:szCs w:val="24"/>
        </w:rPr>
        <w:t>issuer and Acquisition A have a December 31 year-end.</w:t>
      </w:r>
    </w:p>
    <w:p w14:paraId="002614A3" w14:textId="15798F72" w:rsidR="00211B28" w:rsidRPr="00023CF7" w:rsidRDefault="00BE1AF7" w:rsidP="00013437">
      <w:pPr>
        <w:spacing w:after="240" w:line="252" w:lineRule="exact"/>
        <w:ind w:left="1440" w:right="72"/>
        <w:textAlignment w:val="baseline"/>
        <w:rPr>
          <w:rFonts w:eastAsia="Arial"/>
          <w:color w:val="000000"/>
          <w:szCs w:val="24"/>
        </w:rPr>
      </w:pPr>
      <w:r w:rsidRPr="00023CF7">
        <w:rPr>
          <w:rFonts w:eastAsia="Arial"/>
          <w:color w:val="000000"/>
          <w:szCs w:val="24"/>
        </w:rPr>
        <w:t xml:space="preserve">The initial determination of the significance of an acquisition would be calculated based on the financial statements of the issuer and the acquired business or related businesses for the most recently completed financial year of each that ended before the acquisition date. In this case, the test of significance would be </w:t>
      </w:r>
      <w:r w:rsidRPr="00023CF7">
        <w:rPr>
          <w:rFonts w:eastAsia="Arial"/>
          <w:bCs/>
          <w:color w:val="000000"/>
          <w:szCs w:val="24"/>
        </w:rPr>
        <w:t>based on the most recently completed financial year before the acquisition date (i.e., December 31, 2018) - applying paragraph 35.1(4)(b)</w:t>
      </w:r>
      <w:r w:rsidR="008E084F" w:rsidRPr="00023CF7">
        <w:rPr>
          <w:rFonts w:eastAsia="Arial"/>
          <w:bCs/>
          <w:color w:val="000000"/>
          <w:szCs w:val="24"/>
        </w:rPr>
        <w:t xml:space="preserve"> of Form 41-101F1</w:t>
      </w:r>
      <w:r w:rsidRPr="00023CF7">
        <w:rPr>
          <w:rFonts w:eastAsia="Arial"/>
          <w:bCs/>
          <w:color w:val="000000"/>
          <w:szCs w:val="24"/>
        </w:rPr>
        <w:t>.</w:t>
      </w:r>
    </w:p>
    <w:p w14:paraId="1E98284C" w14:textId="77777777" w:rsidR="00211B28" w:rsidRPr="00023CF7" w:rsidRDefault="00BE1AF7" w:rsidP="00013437">
      <w:pPr>
        <w:spacing w:after="240" w:line="252" w:lineRule="exact"/>
        <w:ind w:left="1440" w:right="72"/>
        <w:textAlignment w:val="baseline"/>
        <w:rPr>
          <w:rFonts w:eastAsia="Arial"/>
          <w:b/>
          <w:bCs/>
          <w:color w:val="000000"/>
          <w:szCs w:val="24"/>
        </w:rPr>
      </w:pPr>
      <w:r w:rsidRPr="00023CF7">
        <w:rPr>
          <w:rFonts w:eastAsia="Arial"/>
          <w:b/>
          <w:bCs/>
          <w:color w:val="000000"/>
          <w:szCs w:val="24"/>
        </w:rPr>
        <w:t xml:space="preserve">Initial test: Significance test results based on the most recently completed financial year before the acquisition date (i.e., December 31, 2018) </w:t>
      </w:r>
    </w:p>
    <w:p w14:paraId="3E55C5D2" w14:textId="7380B7D7" w:rsidR="00211B28" w:rsidRPr="00023CF7" w:rsidRDefault="00BE1AF7" w:rsidP="00246299">
      <w:pPr>
        <w:pStyle w:val="ListParagraph"/>
        <w:widowControl w:val="0"/>
        <w:numPr>
          <w:ilvl w:val="0"/>
          <w:numId w:val="23"/>
        </w:numPr>
        <w:autoSpaceDE w:val="0"/>
        <w:autoSpaceDN w:val="0"/>
        <w:spacing w:after="240" w:line="252" w:lineRule="exact"/>
        <w:ind w:left="1800" w:right="72"/>
        <w:contextualSpacing w:val="0"/>
        <w:textAlignment w:val="baseline"/>
        <w:rPr>
          <w:rFonts w:eastAsia="Arial"/>
          <w:color w:val="000000"/>
          <w:szCs w:val="24"/>
        </w:rPr>
      </w:pPr>
      <w:r w:rsidRPr="00023CF7">
        <w:rPr>
          <w:rFonts w:eastAsia="Arial"/>
          <w:color w:val="000000"/>
          <w:szCs w:val="24"/>
        </w:rPr>
        <w:t>The following is a summary of certain key information:</w:t>
      </w:r>
    </w:p>
    <w:tbl>
      <w:tblPr>
        <w:tblStyle w:val="TableGrid"/>
        <w:tblW w:w="8272" w:type="dxa"/>
        <w:tblInd w:w="1345" w:type="dxa"/>
        <w:tblLook w:val="04A0" w:firstRow="1" w:lastRow="0" w:firstColumn="1" w:lastColumn="0" w:noHBand="0" w:noVBand="1"/>
      </w:tblPr>
      <w:tblGrid>
        <w:gridCol w:w="1843"/>
        <w:gridCol w:w="1997"/>
        <w:gridCol w:w="2237"/>
        <w:gridCol w:w="2195"/>
      </w:tblGrid>
      <w:tr w:rsidR="005F1B6C" w14:paraId="06A96C3F" w14:textId="77777777" w:rsidTr="00013437">
        <w:tc>
          <w:tcPr>
            <w:tcW w:w="1843" w:type="dxa"/>
            <w:tcBorders>
              <w:top w:val="single" w:sz="4" w:space="0" w:color="auto"/>
              <w:left w:val="single" w:sz="4" w:space="0" w:color="auto"/>
              <w:bottom w:val="single" w:sz="4" w:space="0" w:color="auto"/>
              <w:right w:val="single" w:sz="4" w:space="0" w:color="auto"/>
            </w:tcBorders>
            <w:hideMark/>
          </w:tcPr>
          <w:p w14:paraId="4DC4134A" w14:textId="77777777" w:rsidR="00211B28" w:rsidRPr="00023CF7" w:rsidRDefault="00BE1AF7" w:rsidP="00023CF7">
            <w:pPr>
              <w:spacing w:after="240" w:line="252" w:lineRule="exact"/>
              <w:ind w:right="72"/>
              <w:textAlignment w:val="baseline"/>
              <w:rPr>
                <w:rFonts w:eastAsia="Arial"/>
                <w:b/>
                <w:bCs/>
                <w:color w:val="000000"/>
                <w:szCs w:val="24"/>
              </w:rPr>
            </w:pPr>
            <w:r w:rsidRPr="00023CF7">
              <w:rPr>
                <w:rFonts w:eastAsia="Arial"/>
                <w:b/>
                <w:bCs/>
                <w:color w:val="000000"/>
                <w:szCs w:val="24"/>
              </w:rPr>
              <w:t>Entity</w:t>
            </w:r>
          </w:p>
        </w:tc>
        <w:tc>
          <w:tcPr>
            <w:tcW w:w="1997" w:type="dxa"/>
            <w:tcBorders>
              <w:top w:val="single" w:sz="4" w:space="0" w:color="auto"/>
              <w:left w:val="single" w:sz="4" w:space="0" w:color="auto"/>
              <w:bottom w:val="single" w:sz="4" w:space="0" w:color="auto"/>
              <w:right w:val="single" w:sz="4" w:space="0" w:color="auto"/>
            </w:tcBorders>
            <w:hideMark/>
          </w:tcPr>
          <w:p w14:paraId="7624D2A0" w14:textId="77777777" w:rsidR="00211B28" w:rsidRPr="00023CF7" w:rsidRDefault="00BE1AF7" w:rsidP="00023CF7">
            <w:pPr>
              <w:spacing w:after="240" w:line="252" w:lineRule="exact"/>
              <w:ind w:left="709" w:right="72"/>
              <w:textAlignment w:val="baseline"/>
              <w:rPr>
                <w:rFonts w:eastAsia="Arial"/>
                <w:b/>
                <w:bCs/>
                <w:color w:val="000000"/>
                <w:szCs w:val="24"/>
              </w:rPr>
            </w:pPr>
            <w:r w:rsidRPr="00023CF7">
              <w:rPr>
                <w:rFonts w:eastAsia="Arial"/>
                <w:b/>
                <w:bCs/>
                <w:color w:val="000000"/>
                <w:szCs w:val="24"/>
              </w:rPr>
              <w:t>Assets</w:t>
            </w:r>
          </w:p>
        </w:tc>
        <w:tc>
          <w:tcPr>
            <w:tcW w:w="2237" w:type="dxa"/>
            <w:tcBorders>
              <w:top w:val="single" w:sz="4" w:space="0" w:color="auto"/>
              <w:left w:val="single" w:sz="4" w:space="0" w:color="auto"/>
              <w:bottom w:val="single" w:sz="4" w:space="0" w:color="auto"/>
              <w:right w:val="single" w:sz="4" w:space="0" w:color="auto"/>
            </w:tcBorders>
            <w:hideMark/>
          </w:tcPr>
          <w:p w14:paraId="7DB12EAB" w14:textId="77777777" w:rsidR="00211B28" w:rsidRPr="00023CF7" w:rsidRDefault="00BE1AF7" w:rsidP="006B445E">
            <w:pPr>
              <w:spacing w:after="240" w:line="252" w:lineRule="exact"/>
              <w:ind w:left="709" w:right="72"/>
              <w:textAlignment w:val="baseline"/>
              <w:rPr>
                <w:rFonts w:eastAsia="Arial"/>
                <w:b/>
                <w:bCs/>
                <w:color w:val="000000"/>
                <w:szCs w:val="24"/>
              </w:rPr>
            </w:pPr>
            <w:r w:rsidRPr="00023CF7">
              <w:rPr>
                <w:rFonts w:eastAsia="Arial"/>
                <w:b/>
                <w:bCs/>
                <w:color w:val="000000"/>
                <w:szCs w:val="24"/>
              </w:rPr>
              <w:t>Investments</w:t>
            </w:r>
          </w:p>
        </w:tc>
        <w:tc>
          <w:tcPr>
            <w:tcW w:w="2195" w:type="dxa"/>
            <w:tcBorders>
              <w:top w:val="single" w:sz="4" w:space="0" w:color="auto"/>
              <w:left w:val="single" w:sz="4" w:space="0" w:color="auto"/>
              <w:bottom w:val="single" w:sz="4" w:space="0" w:color="auto"/>
              <w:right w:val="single" w:sz="4" w:space="0" w:color="auto"/>
            </w:tcBorders>
            <w:hideMark/>
          </w:tcPr>
          <w:p w14:paraId="115861B7" w14:textId="77777777" w:rsidR="00211B28" w:rsidRPr="00023CF7" w:rsidRDefault="00BE1AF7" w:rsidP="00023CF7">
            <w:pPr>
              <w:spacing w:after="240" w:line="252" w:lineRule="exact"/>
              <w:ind w:left="8" w:right="72" w:hanging="8"/>
              <w:textAlignment w:val="baseline"/>
              <w:rPr>
                <w:rFonts w:eastAsia="Arial"/>
                <w:b/>
                <w:bCs/>
                <w:color w:val="000000"/>
                <w:szCs w:val="24"/>
              </w:rPr>
            </w:pPr>
            <w:r w:rsidRPr="00023CF7">
              <w:rPr>
                <w:rFonts w:eastAsia="Arial"/>
                <w:b/>
                <w:bCs/>
                <w:color w:val="000000"/>
                <w:szCs w:val="24"/>
              </w:rPr>
              <w:t>Specified profit or loss</w:t>
            </w:r>
          </w:p>
        </w:tc>
      </w:tr>
      <w:tr w:rsidR="005F1B6C" w14:paraId="7D6E40BC" w14:textId="77777777" w:rsidTr="00013437">
        <w:tc>
          <w:tcPr>
            <w:tcW w:w="1843" w:type="dxa"/>
            <w:tcBorders>
              <w:top w:val="single" w:sz="4" w:space="0" w:color="auto"/>
              <w:left w:val="single" w:sz="4" w:space="0" w:color="auto"/>
              <w:bottom w:val="single" w:sz="4" w:space="0" w:color="auto"/>
              <w:right w:val="single" w:sz="4" w:space="0" w:color="auto"/>
            </w:tcBorders>
            <w:hideMark/>
          </w:tcPr>
          <w:p w14:paraId="2CAA5A4B" w14:textId="77777777" w:rsidR="00211B28" w:rsidRPr="00023CF7" w:rsidRDefault="00BE1AF7" w:rsidP="00023CF7">
            <w:pPr>
              <w:spacing w:after="240" w:line="252" w:lineRule="exact"/>
              <w:ind w:left="170" w:right="72"/>
              <w:textAlignment w:val="baseline"/>
              <w:rPr>
                <w:rFonts w:eastAsia="Arial"/>
                <w:color w:val="000000"/>
                <w:szCs w:val="24"/>
              </w:rPr>
            </w:pPr>
            <w:r w:rsidRPr="00023CF7">
              <w:rPr>
                <w:rFonts w:eastAsia="Arial"/>
                <w:color w:val="000000"/>
                <w:szCs w:val="24"/>
              </w:rPr>
              <w:lastRenderedPageBreak/>
              <w:t xml:space="preserve">Issuer </w:t>
            </w:r>
          </w:p>
        </w:tc>
        <w:tc>
          <w:tcPr>
            <w:tcW w:w="1997" w:type="dxa"/>
            <w:tcBorders>
              <w:top w:val="single" w:sz="4" w:space="0" w:color="auto"/>
              <w:left w:val="single" w:sz="4" w:space="0" w:color="auto"/>
              <w:bottom w:val="single" w:sz="4" w:space="0" w:color="auto"/>
              <w:right w:val="single" w:sz="4" w:space="0" w:color="auto"/>
            </w:tcBorders>
            <w:hideMark/>
          </w:tcPr>
          <w:p w14:paraId="1E56CBEF"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$ 100</w:t>
            </w:r>
          </w:p>
        </w:tc>
        <w:tc>
          <w:tcPr>
            <w:tcW w:w="2237" w:type="dxa"/>
            <w:tcBorders>
              <w:top w:val="single" w:sz="4" w:space="0" w:color="auto"/>
              <w:left w:val="single" w:sz="4" w:space="0" w:color="auto"/>
              <w:bottom w:val="single" w:sz="4" w:space="0" w:color="auto"/>
              <w:right w:val="single" w:sz="4" w:space="0" w:color="auto"/>
            </w:tcBorders>
            <w:hideMark/>
          </w:tcPr>
          <w:p w14:paraId="02DA5DC1"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n/a</w:t>
            </w:r>
          </w:p>
        </w:tc>
        <w:tc>
          <w:tcPr>
            <w:tcW w:w="2195" w:type="dxa"/>
            <w:tcBorders>
              <w:top w:val="single" w:sz="4" w:space="0" w:color="auto"/>
              <w:left w:val="single" w:sz="4" w:space="0" w:color="auto"/>
              <w:bottom w:val="single" w:sz="4" w:space="0" w:color="auto"/>
              <w:right w:val="single" w:sz="4" w:space="0" w:color="auto"/>
            </w:tcBorders>
            <w:hideMark/>
          </w:tcPr>
          <w:p w14:paraId="0E4B64FF"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$ 8</w:t>
            </w:r>
          </w:p>
        </w:tc>
      </w:tr>
      <w:tr w:rsidR="005F1B6C" w14:paraId="5F9C2DDC" w14:textId="77777777" w:rsidTr="00013437">
        <w:tc>
          <w:tcPr>
            <w:tcW w:w="1843" w:type="dxa"/>
            <w:tcBorders>
              <w:top w:val="single" w:sz="4" w:space="0" w:color="auto"/>
              <w:left w:val="single" w:sz="4" w:space="0" w:color="auto"/>
              <w:bottom w:val="single" w:sz="4" w:space="0" w:color="auto"/>
              <w:right w:val="single" w:sz="4" w:space="0" w:color="auto"/>
            </w:tcBorders>
            <w:hideMark/>
          </w:tcPr>
          <w:p w14:paraId="09B662B0" w14:textId="77777777" w:rsidR="00211B28" w:rsidRPr="00023CF7" w:rsidRDefault="00BE1AF7" w:rsidP="00023CF7">
            <w:pPr>
              <w:spacing w:after="240" w:line="252" w:lineRule="exact"/>
              <w:ind w:left="170" w:right="72"/>
              <w:textAlignment w:val="baseline"/>
              <w:rPr>
                <w:rFonts w:eastAsia="Arial"/>
                <w:color w:val="000000"/>
                <w:szCs w:val="24"/>
              </w:rPr>
            </w:pPr>
            <w:r w:rsidRPr="00023CF7">
              <w:rPr>
                <w:rFonts w:eastAsia="Arial"/>
                <w:color w:val="000000"/>
                <w:szCs w:val="24"/>
              </w:rPr>
              <w:t>Acquisition A</w:t>
            </w:r>
          </w:p>
        </w:tc>
        <w:tc>
          <w:tcPr>
            <w:tcW w:w="1997" w:type="dxa"/>
            <w:tcBorders>
              <w:top w:val="single" w:sz="4" w:space="0" w:color="auto"/>
              <w:left w:val="single" w:sz="4" w:space="0" w:color="auto"/>
              <w:bottom w:val="single" w:sz="4" w:space="0" w:color="auto"/>
              <w:right w:val="single" w:sz="4" w:space="0" w:color="auto"/>
            </w:tcBorders>
            <w:hideMark/>
          </w:tcPr>
          <w:p w14:paraId="34F4AD1D"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$ 125</w:t>
            </w:r>
          </w:p>
        </w:tc>
        <w:tc>
          <w:tcPr>
            <w:tcW w:w="2237" w:type="dxa"/>
            <w:tcBorders>
              <w:top w:val="single" w:sz="4" w:space="0" w:color="auto"/>
              <w:left w:val="single" w:sz="4" w:space="0" w:color="auto"/>
              <w:bottom w:val="single" w:sz="4" w:space="0" w:color="auto"/>
              <w:right w:val="single" w:sz="4" w:space="0" w:color="auto"/>
            </w:tcBorders>
            <w:hideMark/>
          </w:tcPr>
          <w:p w14:paraId="29A20DB3"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$ 80</w:t>
            </w:r>
          </w:p>
        </w:tc>
        <w:tc>
          <w:tcPr>
            <w:tcW w:w="2195" w:type="dxa"/>
            <w:tcBorders>
              <w:top w:val="single" w:sz="4" w:space="0" w:color="auto"/>
              <w:left w:val="single" w:sz="4" w:space="0" w:color="auto"/>
              <w:bottom w:val="single" w:sz="4" w:space="0" w:color="auto"/>
              <w:right w:val="single" w:sz="4" w:space="0" w:color="auto"/>
            </w:tcBorders>
            <w:hideMark/>
          </w:tcPr>
          <w:p w14:paraId="48F44F8A"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$ 7</w:t>
            </w:r>
          </w:p>
        </w:tc>
      </w:tr>
      <w:tr w:rsidR="005F1B6C" w14:paraId="6CA3ACE5" w14:textId="77777777" w:rsidTr="00013437">
        <w:tc>
          <w:tcPr>
            <w:tcW w:w="1843" w:type="dxa"/>
            <w:tcBorders>
              <w:top w:val="single" w:sz="4" w:space="0" w:color="auto"/>
              <w:left w:val="single" w:sz="4" w:space="0" w:color="auto"/>
              <w:bottom w:val="single" w:sz="4" w:space="0" w:color="auto"/>
              <w:right w:val="single" w:sz="4" w:space="0" w:color="auto"/>
            </w:tcBorders>
            <w:hideMark/>
          </w:tcPr>
          <w:p w14:paraId="05982AC4" w14:textId="77777777" w:rsidR="00211B28" w:rsidRPr="00023CF7" w:rsidRDefault="00BE1AF7" w:rsidP="00023CF7">
            <w:pPr>
              <w:spacing w:after="240" w:line="252" w:lineRule="exact"/>
              <w:ind w:left="170" w:right="72"/>
              <w:textAlignment w:val="baseline"/>
              <w:rPr>
                <w:rFonts w:eastAsia="Arial"/>
                <w:i/>
                <w:iCs/>
                <w:color w:val="000000"/>
                <w:szCs w:val="24"/>
              </w:rPr>
            </w:pPr>
            <w:r w:rsidRPr="00023CF7">
              <w:rPr>
                <w:rFonts w:eastAsia="Arial"/>
                <w:i/>
                <w:iCs/>
                <w:color w:val="000000"/>
                <w:szCs w:val="24"/>
              </w:rPr>
              <w:t>Significance test results</w:t>
            </w:r>
          </w:p>
        </w:tc>
        <w:tc>
          <w:tcPr>
            <w:tcW w:w="1997" w:type="dxa"/>
            <w:tcBorders>
              <w:top w:val="single" w:sz="4" w:space="0" w:color="auto"/>
              <w:left w:val="single" w:sz="4" w:space="0" w:color="auto"/>
              <w:bottom w:val="single" w:sz="4" w:space="0" w:color="auto"/>
              <w:right w:val="single" w:sz="4" w:space="0" w:color="auto"/>
            </w:tcBorders>
            <w:hideMark/>
          </w:tcPr>
          <w:p w14:paraId="39AD4C83" w14:textId="77777777" w:rsidR="00211B28" w:rsidRPr="00023CF7" w:rsidRDefault="00BE1AF7" w:rsidP="00023CF7">
            <w:pPr>
              <w:spacing w:after="240" w:line="252" w:lineRule="exact"/>
              <w:ind w:left="709" w:right="72"/>
              <w:textAlignment w:val="baseline"/>
              <w:rPr>
                <w:rFonts w:eastAsia="Arial"/>
                <w:i/>
                <w:iCs/>
                <w:color w:val="000000"/>
                <w:szCs w:val="24"/>
              </w:rPr>
            </w:pPr>
            <w:r w:rsidRPr="00023CF7">
              <w:rPr>
                <w:rFonts w:eastAsia="Arial"/>
                <w:i/>
                <w:iCs/>
                <w:color w:val="000000"/>
                <w:szCs w:val="24"/>
              </w:rPr>
              <w:t>125%</w:t>
            </w:r>
          </w:p>
        </w:tc>
        <w:tc>
          <w:tcPr>
            <w:tcW w:w="2237" w:type="dxa"/>
            <w:tcBorders>
              <w:top w:val="single" w:sz="4" w:space="0" w:color="auto"/>
              <w:left w:val="single" w:sz="4" w:space="0" w:color="auto"/>
              <w:bottom w:val="single" w:sz="4" w:space="0" w:color="auto"/>
              <w:right w:val="single" w:sz="4" w:space="0" w:color="auto"/>
            </w:tcBorders>
            <w:hideMark/>
          </w:tcPr>
          <w:p w14:paraId="485D16FB" w14:textId="77777777" w:rsidR="00211B28" w:rsidRPr="00023CF7" w:rsidRDefault="00BE1AF7" w:rsidP="00023CF7">
            <w:pPr>
              <w:spacing w:after="240" w:line="252" w:lineRule="exact"/>
              <w:ind w:left="709" w:right="72"/>
              <w:textAlignment w:val="baseline"/>
              <w:rPr>
                <w:rFonts w:eastAsia="Arial"/>
                <w:i/>
                <w:iCs/>
                <w:color w:val="000000"/>
                <w:szCs w:val="24"/>
              </w:rPr>
            </w:pPr>
            <w:r w:rsidRPr="00023CF7">
              <w:rPr>
                <w:rFonts w:eastAsia="Arial"/>
                <w:i/>
                <w:iCs/>
                <w:color w:val="000000"/>
                <w:szCs w:val="24"/>
              </w:rPr>
              <w:t>80%</w:t>
            </w:r>
          </w:p>
        </w:tc>
        <w:tc>
          <w:tcPr>
            <w:tcW w:w="2195" w:type="dxa"/>
            <w:tcBorders>
              <w:top w:val="single" w:sz="4" w:space="0" w:color="auto"/>
              <w:left w:val="single" w:sz="4" w:space="0" w:color="auto"/>
              <w:bottom w:val="single" w:sz="4" w:space="0" w:color="auto"/>
              <w:right w:val="single" w:sz="4" w:space="0" w:color="auto"/>
            </w:tcBorders>
            <w:hideMark/>
          </w:tcPr>
          <w:p w14:paraId="36476969" w14:textId="77777777" w:rsidR="00211B28" w:rsidRPr="00023CF7" w:rsidRDefault="00BE1AF7" w:rsidP="00023CF7">
            <w:pPr>
              <w:spacing w:after="240" w:line="252" w:lineRule="exact"/>
              <w:ind w:left="709" w:right="72"/>
              <w:textAlignment w:val="baseline"/>
              <w:rPr>
                <w:rFonts w:eastAsia="Arial"/>
                <w:i/>
                <w:iCs/>
                <w:color w:val="000000"/>
                <w:szCs w:val="24"/>
              </w:rPr>
            </w:pPr>
            <w:r w:rsidRPr="00023CF7">
              <w:rPr>
                <w:rFonts w:eastAsia="Arial"/>
                <w:i/>
                <w:iCs/>
                <w:color w:val="000000"/>
                <w:szCs w:val="24"/>
              </w:rPr>
              <w:t>87.5%</w:t>
            </w:r>
          </w:p>
        </w:tc>
      </w:tr>
    </w:tbl>
    <w:p w14:paraId="58B43616" w14:textId="77777777" w:rsidR="00013437" w:rsidRDefault="00013437" w:rsidP="00246299">
      <w:pPr>
        <w:spacing w:after="240" w:line="252" w:lineRule="exact"/>
        <w:ind w:left="1440" w:right="72"/>
        <w:textAlignment w:val="baseline"/>
        <w:rPr>
          <w:rFonts w:eastAsia="Arial"/>
          <w:color w:val="000000"/>
          <w:spacing w:val="-2"/>
          <w:szCs w:val="24"/>
        </w:rPr>
      </w:pPr>
    </w:p>
    <w:p w14:paraId="75BCA56F" w14:textId="148BC7CE" w:rsidR="00211B28" w:rsidRPr="00023CF7" w:rsidRDefault="00BE1AF7" w:rsidP="00013437">
      <w:pPr>
        <w:spacing w:after="240" w:line="252" w:lineRule="exact"/>
        <w:ind w:left="1440" w:right="72"/>
        <w:textAlignment w:val="baseline"/>
        <w:rPr>
          <w:rFonts w:eastAsia="Arial"/>
          <w:color w:val="000000"/>
          <w:spacing w:val="-2"/>
          <w:szCs w:val="24"/>
        </w:rPr>
      </w:pPr>
      <w:r w:rsidRPr="00023CF7">
        <w:rPr>
          <w:rFonts w:eastAsia="Arial"/>
          <w:color w:val="000000"/>
          <w:spacing w:val="-2"/>
          <w:szCs w:val="24"/>
        </w:rPr>
        <w:t>In some circumstances, an issuer may have grown between the date on which the significance test is calculated and the date of the IPO such that the acquisition is no longer significant enough for a reasonable investor to regard the acquisition as the primary business of the issuer. An issuer could demonstrate this by testing significance using an optional test similar to the ones set out in subsection 8.3(4) of NI 51-102, for the periods set out in subparagraphs 35.1(4)(b)(iii) and (iv) of Form 41-101F1. In this specific example, the applicable time period for the optional test is the year-ended December</w:t>
      </w:r>
      <w:r w:rsidR="00023CF7">
        <w:rPr>
          <w:rFonts w:eastAsia="Arial"/>
          <w:color w:val="000000"/>
          <w:spacing w:val="-2"/>
          <w:szCs w:val="24"/>
        </w:rPr>
        <w:t> </w:t>
      </w:r>
      <w:r w:rsidRPr="00023CF7">
        <w:rPr>
          <w:rFonts w:eastAsia="Arial"/>
          <w:color w:val="000000"/>
          <w:spacing w:val="-2"/>
          <w:szCs w:val="24"/>
        </w:rPr>
        <w:t>31,</w:t>
      </w:r>
      <w:r w:rsidR="00023CF7">
        <w:rPr>
          <w:rFonts w:eastAsia="Arial"/>
          <w:color w:val="000000"/>
          <w:spacing w:val="-2"/>
          <w:szCs w:val="24"/>
        </w:rPr>
        <w:t> </w:t>
      </w:r>
      <w:r w:rsidRPr="00023CF7">
        <w:rPr>
          <w:rFonts w:eastAsia="Arial"/>
          <w:color w:val="000000"/>
          <w:spacing w:val="-2"/>
          <w:szCs w:val="24"/>
        </w:rPr>
        <w:t>2020 for both the issuer and Acquisition A.</w:t>
      </w:r>
    </w:p>
    <w:p w14:paraId="2E2A04FE" w14:textId="517CED32" w:rsidR="00211B28" w:rsidRPr="00023CF7" w:rsidRDefault="00BE1AF7" w:rsidP="00013437">
      <w:pPr>
        <w:spacing w:after="240" w:line="252" w:lineRule="exact"/>
        <w:ind w:left="1440" w:right="72"/>
        <w:textAlignment w:val="baseline"/>
        <w:rPr>
          <w:rFonts w:eastAsia="Arial"/>
          <w:color w:val="000000"/>
          <w:szCs w:val="24"/>
        </w:rPr>
      </w:pPr>
      <w:r w:rsidRPr="00023CF7">
        <w:rPr>
          <w:rFonts w:eastAsia="Arial"/>
          <w:color w:val="000000"/>
          <w:spacing w:val="-2"/>
          <w:szCs w:val="24"/>
        </w:rPr>
        <w:t>We note that financial statements for the year ended December 31, 2020 for Acquisition A are required for the issuer to use the optional test, which can only be used by the issuer after the acquisition date if the business remained substantially intact and was not significantly reorganized, and no significant assets or liabilities were transferred to other entities, as set out in subsection 8.3(6) of NI 51-102.</w:t>
      </w:r>
    </w:p>
    <w:p w14:paraId="4B3A7056" w14:textId="77777777" w:rsidR="00211B28" w:rsidRPr="00023CF7" w:rsidRDefault="00BE1AF7" w:rsidP="00013437">
      <w:pPr>
        <w:spacing w:after="240" w:line="252" w:lineRule="exact"/>
        <w:ind w:left="1440" w:right="72"/>
        <w:textAlignment w:val="baseline"/>
        <w:rPr>
          <w:rFonts w:eastAsia="Arial"/>
          <w:b/>
          <w:bCs/>
          <w:color w:val="000000"/>
          <w:szCs w:val="24"/>
        </w:rPr>
      </w:pPr>
      <w:r w:rsidRPr="00023CF7">
        <w:rPr>
          <w:rFonts w:eastAsia="Arial"/>
          <w:b/>
          <w:bCs/>
          <w:color w:val="000000"/>
          <w:szCs w:val="24"/>
        </w:rPr>
        <w:t xml:space="preserve">Optional test: Significance test results based on the most recently completed financial year (i.e., as at December 31, 2020) </w:t>
      </w:r>
    </w:p>
    <w:p w14:paraId="0B9669F8" w14:textId="77777777" w:rsidR="00211B28" w:rsidRPr="00023CF7" w:rsidRDefault="00BE1AF7" w:rsidP="00246299">
      <w:pPr>
        <w:pStyle w:val="ListParagraph"/>
        <w:widowControl w:val="0"/>
        <w:numPr>
          <w:ilvl w:val="0"/>
          <w:numId w:val="23"/>
        </w:numPr>
        <w:autoSpaceDE w:val="0"/>
        <w:autoSpaceDN w:val="0"/>
        <w:spacing w:after="240" w:line="252" w:lineRule="exact"/>
        <w:ind w:left="1800" w:right="72"/>
        <w:contextualSpacing w:val="0"/>
        <w:textAlignment w:val="baseline"/>
        <w:rPr>
          <w:rFonts w:eastAsia="Arial"/>
          <w:color w:val="000000"/>
          <w:szCs w:val="24"/>
        </w:rPr>
      </w:pPr>
      <w:r w:rsidRPr="00023CF7">
        <w:rPr>
          <w:rFonts w:eastAsia="Arial"/>
          <w:color w:val="000000"/>
          <w:szCs w:val="24"/>
        </w:rPr>
        <w:t xml:space="preserve">The following is a summary of certain key information: </w:t>
      </w:r>
    </w:p>
    <w:tbl>
      <w:tblPr>
        <w:tblStyle w:val="TableGrid"/>
        <w:tblW w:w="8190" w:type="dxa"/>
        <w:tblInd w:w="1435" w:type="dxa"/>
        <w:tblLook w:val="04A0" w:firstRow="1" w:lastRow="0" w:firstColumn="1" w:lastColumn="0" w:noHBand="0" w:noVBand="1"/>
      </w:tblPr>
      <w:tblGrid>
        <w:gridCol w:w="1985"/>
        <w:gridCol w:w="1773"/>
        <w:gridCol w:w="2237"/>
        <w:gridCol w:w="2195"/>
      </w:tblGrid>
      <w:tr w:rsidR="005F1B6C" w14:paraId="5826B45C" w14:textId="77777777" w:rsidTr="00013437">
        <w:tc>
          <w:tcPr>
            <w:tcW w:w="1985" w:type="dxa"/>
            <w:tcBorders>
              <w:top w:val="single" w:sz="4" w:space="0" w:color="auto"/>
              <w:left w:val="single" w:sz="4" w:space="0" w:color="auto"/>
              <w:bottom w:val="single" w:sz="4" w:space="0" w:color="auto"/>
              <w:right w:val="single" w:sz="4" w:space="0" w:color="auto"/>
            </w:tcBorders>
            <w:hideMark/>
          </w:tcPr>
          <w:p w14:paraId="5D161EF2" w14:textId="77777777" w:rsidR="00211B28" w:rsidRPr="00023CF7" w:rsidRDefault="00BE1AF7" w:rsidP="00023CF7">
            <w:pPr>
              <w:spacing w:after="240" w:line="252" w:lineRule="exact"/>
              <w:ind w:right="72"/>
              <w:textAlignment w:val="baseline"/>
              <w:rPr>
                <w:rFonts w:eastAsia="Arial"/>
                <w:b/>
                <w:bCs/>
                <w:color w:val="000000"/>
                <w:szCs w:val="24"/>
              </w:rPr>
            </w:pPr>
            <w:r w:rsidRPr="00023CF7">
              <w:rPr>
                <w:rFonts w:eastAsia="Arial"/>
                <w:b/>
                <w:bCs/>
                <w:color w:val="000000"/>
                <w:szCs w:val="24"/>
              </w:rPr>
              <w:t>Entity</w:t>
            </w:r>
          </w:p>
        </w:tc>
        <w:tc>
          <w:tcPr>
            <w:tcW w:w="1773" w:type="dxa"/>
            <w:tcBorders>
              <w:top w:val="single" w:sz="4" w:space="0" w:color="auto"/>
              <w:left w:val="single" w:sz="4" w:space="0" w:color="auto"/>
              <w:bottom w:val="single" w:sz="4" w:space="0" w:color="auto"/>
              <w:right w:val="single" w:sz="4" w:space="0" w:color="auto"/>
            </w:tcBorders>
            <w:hideMark/>
          </w:tcPr>
          <w:p w14:paraId="34AE08ED" w14:textId="77777777" w:rsidR="00211B28" w:rsidRPr="00023CF7" w:rsidRDefault="00BE1AF7" w:rsidP="00023CF7">
            <w:pPr>
              <w:spacing w:after="240" w:line="252" w:lineRule="exact"/>
              <w:ind w:left="709" w:right="72"/>
              <w:textAlignment w:val="baseline"/>
              <w:rPr>
                <w:rFonts w:eastAsia="Arial"/>
                <w:b/>
                <w:bCs/>
                <w:color w:val="000000"/>
                <w:szCs w:val="24"/>
              </w:rPr>
            </w:pPr>
            <w:r w:rsidRPr="00023CF7">
              <w:rPr>
                <w:rFonts w:eastAsia="Arial"/>
                <w:b/>
                <w:bCs/>
                <w:color w:val="000000"/>
                <w:szCs w:val="24"/>
              </w:rPr>
              <w:t>Assets</w:t>
            </w:r>
          </w:p>
        </w:tc>
        <w:tc>
          <w:tcPr>
            <w:tcW w:w="2237" w:type="dxa"/>
            <w:tcBorders>
              <w:top w:val="single" w:sz="4" w:space="0" w:color="auto"/>
              <w:left w:val="single" w:sz="4" w:space="0" w:color="auto"/>
              <w:bottom w:val="single" w:sz="4" w:space="0" w:color="auto"/>
              <w:right w:val="single" w:sz="4" w:space="0" w:color="auto"/>
            </w:tcBorders>
            <w:hideMark/>
          </w:tcPr>
          <w:p w14:paraId="13992BDD" w14:textId="77777777" w:rsidR="00211B28" w:rsidRPr="00023CF7" w:rsidRDefault="00BE1AF7" w:rsidP="00023CF7">
            <w:pPr>
              <w:spacing w:after="240" w:line="252" w:lineRule="exact"/>
              <w:ind w:left="709" w:right="72"/>
              <w:textAlignment w:val="baseline"/>
              <w:rPr>
                <w:rFonts w:eastAsia="Arial"/>
                <w:b/>
                <w:bCs/>
                <w:color w:val="000000"/>
                <w:szCs w:val="24"/>
              </w:rPr>
            </w:pPr>
            <w:r w:rsidRPr="00023CF7">
              <w:rPr>
                <w:rFonts w:eastAsia="Arial"/>
                <w:b/>
                <w:bCs/>
                <w:color w:val="000000"/>
                <w:szCs w:val="24"/>
              </w:rPr>
              <w:t>Investments</w:t>
            </w:r>
          </w:p>
        </w:tc>
        <w:tc>
          <w:tcPr>
            <w:tcW w:w="2195" w:type="dxa"/>
            <w:tcBorders>
              <w:top w:val="single" w:sz="4" w:space="0" w:color="auto"/>
              <w:left w:val="single" w:sz="4" w:space="0" w:color="auto"/>
              <w:bottom w:val="single" w:sz="4" w:space="0" w:color="auto"/>
              <w:right w:val="single" w:sz="4" w:space="0" w:color="auto"/>
            </w:tcBorders>
            <w:hideMark/>
          </w:tcPr>
          <w:p w14:paraId="763486DD" w14:textId="77777777" w:rsidR="00211B28" w:rsidRPr="00023CF7" w:rsidRDefault="00BE1AF7" w:rsidP="006B445E">
            <w:pPr>
              <w:spacing w:after="240" w:line="252" w:lineRule="exact"/>
              <w:ind w:left="8" w:right="72" w:hanging="8"/>
              <w:textAlignment w:val="baseline"/>
              <w:rPr>
                <w:rFonts w:eastAsia="Arial"/>
                <w:b/>
                <w:bCs/>
                <w:color w:val="000000"/>
                <w:szCs w:val="24"/>
              </w:rPr>
            </w:pPr>
            <w:r w:rsidRPr="00023CF7">
              <w:rPr>
                <w:rFonts w:eastAsia="Arial"/>
                <w:b/>
                <w:bCs/>
                <w:color w:val="000000"/>
                <w:szCs w:val="24"/>
              </w:rPr>
              <w:t>Specified profit or loss</w:t>
            </w:r>
          </w:p>
        </w:tc>
      </w:tr>
      <w:tr w:rsidR="005F1B6C" w14:paraId="276CA018" w14:textId="77777777" w:rsidTr="00013437">
        <w:tc>
          <w:tcPr>
            <w:tcW w:w="1985" w:type="dxa"/>
            <w:tcBorders>
              <w:top w:val="single" w:sz="4" w:space="0" w:color="auto"/>
              <w:left w:val="single" w:sz="4" w:space="0" w:color="auto"/>
              <w:bottom w:val="single" w:sz="4" w:space="0" w:color="auto"/>
              <w:right w:val="single" w:sz="4" w:space="0" w:color="auto"/>
            </w:tcBorders>
            <w:hideMark/>
          </w:tcPr>
          <w:p w14:paraId="5FE212CC" w14:textId="77777777" w:rsidR="00211B28" w:rsidRPr="00023CF7" w:rsidRDefault="00BE1AF7" w:rsidP="00023CF7">
            <w:pPr>
              <w:spacing w:after="240" w:line="252" w:lineRule="exact"/>
              <w:ind w:right="72"/>
              <w:textAlignment w:val="baseline"/>
              <w:rPr>
                <w:rFonts w:eastAsia="Arial"/>
                <w:color w:val="000000"/>
                <w:szCs w:val="24"/>
              </w:rPr>
            </w:pPr>
            <w:r w:rsidRPr="00023CF7">
              <w:rPr>
                <w:rFonts w:eastAsia="Arial"/>
                <w:color w:val="000000"/>
                <w:szCs w:val="24"/>
              </w:rPr>
              <w:t>Issuer (excluding Acquisition A)</w:t>
            </w:r>
          </w:p>
        </w:tc>
        <w:tc>
          <w:tcPr>
            <w:tcW w:w="1773" w:type="dxa"/>
            <w:tcBorders>
              <w:top w:val="single" w:sz="4" w:space="0" w:color="auto"/>
              <w:left w:val="single" w:sz="4" w:space="0" w:color="auto"/>
              <w:bottom w:val="single" w:sz="4" w:space="0" w:color="auto"/>
              <w:right w:val="single" w:sz="4" w:space="0" w:color="auto"/>
            </w:tcBorders>
            <w:hideMark/>
          </w:tcPr>
          <w:p w14:paraId="7EF81318"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$ 150</w:t>
            </w:r>
          </w:p>
        </w:tc>
        <w:tc>
          <w:tcPr>
            <w:tcW w:w="2237" w:type="dxa"/>
            <w:tcBorders>
              <w:top w:val="single" w:sz="4" w:space="0" w:color="auto"/>
              <w:left w:val="single" w:sz="4" w:space="0" w:color="auto"/>
              <w:bottom w:val="single" w:sz="4" w:space="0" w:color="auto"/>
              <w:right w:val="single" w:sz="4" w:space="0" w:color="auto"/>
            </w:tcBorders>
            <w:hideMark/>
          </w:tcPr>
          <w:p w14:paraId="0E016AA5"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n/a</w:t>
            </w:r>
          </w:p>
        </w:tc>
        <w:tc>
          <w:tcPr>
            <w:tcW w:w="2195" w:type="dxa"/>
            <w:tcBorders>
              <w:top w:val="single" w:sz="4" w:space="0" w:color="auto"/>
              <w:left w:val="single" w:sz="4" w:space="0" w:color="auto"/>
              <w:bottom w:val="single" w:sz="4" w:space="0" w:color="auto"/>
              <w:right w:val="single" w:sz="4" w:space="0" w:color="auto"/>
            </w:tcBorders>
            <w:hideMark/>
          </w:tcPr>
          <w:p w14:paraId="6764F735"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$ 15</w:t>
            </w:r>
          </w:p>
        </w:tc>
      </w:tr>
      <w:tr w:rsidR="005F1B6C" w14:paraId="6E3A69C2" w14:textId="77777777" w:rsidTr="00013437">
        <w:tc>
          <w:tcPr>
            <w:tcW w:w="1985" w:type="dxa"/>
            <w:tcBorders>
              <w:top w:val="single" w:sz="4" w:space="0" w:color="auto"/>
              <w:left w:val="single" w:sz="4" w:space="0" w:color="auto"/>
              <w:bottom w:val="single" w:sz="4" w:space="0" w:color="auto"/>
              <w:right w:val="single" w:sz="4" w:space="0" w:color="auto"/>
            </w:tcBorders>
            <w:hideMark/>
          </w:tcPr>
          <w:p w14:paraId="0D468B85" w14:textId="77777777" w:rsidR="00211B28" w:rsidRPr="00023CF7" w:rsidRDefault="00BE1AF7" w:rsidP="00023CF7">
            <w:pPr>
              <w:spacing w:after="240" w:line="252" w:lineRule="exact"/>
              <w:ind w:right="72"/>
              <w:textAlignment w:val="baseline"/>
              <w:rPr>
                <w:rFonts w:eastAsia="Arial"/>
                <w:color w:val="000000"/>
                <w:szCs w:val="24"/>
              </w:rPr>
            </w:pPr>
            <w:r w:rsidRPr="00023CF7">
              <w:rPr>
                <w:rFonts w:eastAsia="Arial"/>
                <w:color w:val="000000"/>
                <w:szCs w:val="24"/>
              </w:rPr>
              <w:t>Acquisition A</w:t>
            </w:r>
          </w:p>
        </w:tc>
        <w:tc>
          <w:tcPr>
            <w:tcW w:w="1773" w:type="dxa"/>
            <w:tcBorders>
              <w:top w:val="single" w:sz="4" w:space="0" w:color="auto"/>
              <w:left w:val="single" w:sz="4" w:space="0" w:color="auto"/>
              <w:bottom w:val="single" w:sz="4" w:space="0" w:color="auto"/>
              <w:right w:val="single" w:sz="4" w:space="0" w:color="auto"/>
            </w:tcBorders>
            <w:hideMark/>
          </w:tcPr>
          <w:p w14:paraId="666315C7"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$ 117</w:t>
            </w:r>
          </w:p>
        </w:tc>
        <w:tc>
          <w:tcPr>
            <w:tcW w:w="2237" w:type="dxa"/>
            <w:tcBorders>
              <w:top w:val="single" w:sz="4" w:space="0" w:color="auto"/>
              <w:left w:val="single" w:sz="4" w:space="0" w:color="auto"/>
              <w:bottom w:val="single" w:sz="4" w:space="0" w:color="auto"/>
              <w:right w:val="single" w:sz="4" w:space="0" w:color="auto"/>
            </w:tcBorders>
            <w:hideMark/>
          </w:tcPr>
          <w:p w14:paraId="0247506F"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$ 80</w:t>
            </w:r>
          </w:p>
        </w:tc>
        <w:tc>
          <w:tcPr>
            <w:tcW w:w="2195" w:type="dxa"/>
            <w:tcBorders>
              <w:top w:val="single" w:sz="4" w:space="0" w:color="auto"/>
              <w:left w:val="single" w:sz="4" w:space="0" w:color="auto"/>
              <w:bottom w:val="single" w:sz="4" w:space="0" w:color="auto"/>
              <w:right w:val="single" w:sz="4" w:space="0" w:color="auto"/>
            </w:tcBorders>
            <w:hideMark/>
          </w:tcPr>
          <w:p w14:paraId="04E55D56" w14:textId="77777777" w:rsidR="00211B28" w:rsidRPr="00023CF7" w:rsidRDefault="00BE1AF7" w:rsidP="00023CF7">
            <w:pPr>
              <w:spacing w:after="240" w:line="252" w:lineRule="exact"/>
              <w:ind w:left="709" w:right="72"/>
              <w:textAlignment w:val="baseline"/>
              <w:rPr>
                <w:rFonts w:eastAsia="Arial"/>
                <w:color w:val="000000"/>
                <w:szCs w:val="24"/>
              </w:rPr>
            </w:pPr>
            <w:r w:rsidRPr="00023CF7">
              <w:rPr>
                <w:rFonts w:eastAsia="Arial"/>
                <w:color w:val="000000"/>
                <w:szCs w:val="24"/>
              </w:rPr>
              <w:t>$ 7</w:t>
            </w:r>
          </w:p>
        </w:tc>
      </w:tr>
      <w:tr w:rsidR="005F1B6C" w14:paraId="1866954D" w14:textId="77777777" w:rsidTr="00013437">
        <w:tc>
          <w:tcPr>
            <w:tcW w:w="1985" w:type="dxa"/>
            <w:tcBorders>
              <w:top w:val="single" w:sz="4" w:space="0" w:color="auto"/>
              <w:left w:val="single" w:sz="4" w:space="0" w:color="auto"/>
              <w:bottom w:val="single" w:sz="4" w:space="0" w:color="auto"/>
              <w:right w:val="single" w:sz="4" w:space="0" w:color="auto"/>
            </w:tcBorders>
            <w:hideMark/>
          </w:tcPr>
          <w:p w14:paraId="51F82D2E" w14:textId="77777777" w:rsidR="00211B28" w:rsidRPr="00023CF7" w:rsidRDefault="00BE1AF7" w:rsidP="00023CF7">
            <w:pPr>
              <w:spacing w:after="240" w:line="252" w:lineRule="exact"/>
              <w:ind w:right="72"/>
              <w:textAlignment w:val="baseline"/>
              <w:rPr>
                <w:rFonts w:eastAsia="Arial"/>
                <w:i/>
                <w:iCs/>
                <w:color w:val="000000"/>
                <w:szCs w:val="24"/>
              </w:rPr>
            </w:pPr>
            <w:r w:rsidRPr="00023CF7">
              <w:rPr>
                <w:rFonts w:eastAsia="Arial"/>
                <w:i/>
                <w:iCs/>
                <w:color w:val="000000"/>
                <w:szCs w:val="24"/>
              </w:rPr>
              <w:t>Significance test results</w:t>
            </w:r>
          </w:p>
        </w:tc>
        <w:tc>
          <w:tcPr>
            <w:tcW w:w="1773" w:type="dxa"/>
            <w:tcBorders>
              <w:top w:val="single" w:sz="4" w:space="0" w:color="auto"/>
              <w:left w:val="single" w:sz="4" w:space="0" w:color="auto"/>
              <w:bottom w:val="single" w:sz="4" w:space="0" w:color="auto"/>
              <w:right w:val="single" w:sz="4" w:space="0" w:color="auto"/>
            </w:tcBorders>
            <w:hideMark/>
          </w:tcPr>
          <w:p w14:paraId="38EA160D" w14:textId="77777777" w:rsidR="00211B28" w:rsidRPr="00023CF7" w:rsidRDefault="00BE1AF7" w:rsidP="00023CF7">
            <w:pPr>
              <w:spacing w:after="240" w:line="252" w:lineRule="exact"/>
              <w:ind w:left="709" w:right="72"/>
              <w:textAlignment w:val="baseline"/>
              <w:rPr>
                <w:rFonts w:eastAsia="Arial"/>
                <w:i/>
                <w:iCs/>
                <w:color w:val="000000"/>
                <w:szCs w:val="24"/>
              </w:rPr>
            </w:pPr>
            <w:r w:rsidRPr="00023CF7">
              <w:rPr>
                <w:rFonts w:eastAsia="Arial"/>
                <w:i/>
                <w:iCs/>
                <w:color w:val="000000"/>
                <w:szCs w:val="24"/>
              </w:rPr>
              <w:t>78.0%</w:t>
            </w:r>
          </w:p>
        </w:tc>
        <w:tc>
          <w:tcPr>
            <w:tcW w:w="2237" w:type="dxa"/>
            <w:tcBorders>
              <w:top w:val="single" w:sz="4" w:space="0" w:color="auto"/>
              <w:left w:val="single" w:sz="4" w:space="0" w:color="auto"/>
              <w:bottom w:val="single" w:sz="4" w:space="0" w:color="auto"/>
              <w:right w:val="single" w:sz="4" w:space="0" w:color="auto"/>
            </w:tcBorders>
            <w:hideMark/>
          </w:tcPr>
          <w:p w14:paraId="075CD07C" w14:textId="77777777" w:rsidR="00211B28" w:rsidRPr="00023CF7" w:rsidRDefault="00BE1AF7" w:rsidP="00023CF7">
            <w:pPr>
              <w:spacing w:after="240" w:line="252" w:lineRule="exact"/>
              <w:ind w:left="709" w:right="72"/>
              <w:textAlignment w:val="baseline"/>
              <w:rPr>
                <w:rFonts w:eastAsia="Arial"/>
                <w:i/>
                <w:iCs/>
                <w:color w:val="000000"/>
                <w:szCs w:val="24"/>
              </w:rPr>
            </w:pPr>
            <w:r w:rsidRPr="00023CF7">
              <w:rPr>
                <w:rFonts w:eastAsia="Arial"/>
                <w:i/>
                <w:iCs/>
                <w:color w:val="000000"/>
                <w:szCs w:val="24"/>
              </w:rPr>
              <w:t>53.3%</w:t>
            </w:r>
          </w:p>
        </w:tc>
        <w:tc>
          <w:tcPr>
            <w:tcW w:w="2195" w:type="dxa"/>
            <w:tcBorders>
              <w:top w:val="single" w:sz="4" w:space="0" w:color="auto"/>
              <w:left w:val="single" w:sz="4" w:space="0" w:color="auto"/>
              <w:bottom w:val="single" w:sz="4" w:space="0" w:color="auto"/>
              <w:right w:val="single" w:sz="4" w:space="0" w:color="auto"/>
            </w:tcBorders>
            <w:hideMark/>
          </w:tcPr>
          <w:p w14:paraId="0EB6DDC5" w14:textId="77777777" w:rsidR="00211B28" w:rsidRPr="00023CF7" w:rsidRDefault="00BE1AF7" w:rsidP="00023CF7">
            <w:pPr>
              <w:spacing w:after="240" w:line="252" w:lineRule="exact"/>
              <w:ind w:left="709" w:right="72"/>
              <w:textAlignment w:val="baseline"/>
              <w:rPr>
                <w:rFonts w:eastAsia="Arial"/>
                <w:i/>
                <w:iCs/>
                <w:color w:val="000000"/>
                <w:szCs w:val="24"/>
              </w:rPr>
            </w:pPr>
            <w:r w:rsidRPr="00023CF7">
              <w:rPr>
                <w:rFonts w:eastAsia="Arial"/>
                <w:i/>
                <w:iCs/>
                <w:color w:val="000000"/>
                <w:szCs w:val="24"/>
              </w:rPr>
              <w:t>46.7%</w:t>
            </w:r>
          </w:p>
        </w:tc>
      </w:tr>
    </w:tbl>
    <w:p w14:paraId="1E38146A" w14:textId="4B4AEF3A" w:rsidR="00211B28" w:rsidRPr="00023CF7" w:rsidRDefault="00BE1AF7" w:rsidP="00013437">
      <w:pPr>
        <w:spacing w:before="240" w:after="240"/>
        <w:ind w:left="1440"/>
        <w:rPr>
          <w:b/>
          <w:bCs/>
          <w:szCs w:val="24"/>
        </w:rPr>
      </w:pPr>
      <w:r w:rsidRPr="00023CF7">
        <w:rPr>
          <w:b/>
          <w:bCs/>
          <w:szCs w:val="24"/>
        </w:rPr>
        <w:t>Application of paragraph 32.1(1)(b) of Form 41-101F1:</w:t>
      </w:r>
    </w:p>
    <w:p w14:paraId="320DD31C" w14:textId="0E4CC678" w:rsidR="008E084F" w:rsidRPr="00023CF7" w:rsidRDefault="00BE1AF7" w:rsidP="00246299">
      <w:pPr>
        <w:pStyle w:val="ListParagraph"/>
        <w:widowControl w:val="0"/>
        <w:numPr>
          <w:ilvl w:val="0"/>
          <w:numId w:val="23"/>
        </w:numPr>
        <w:tabs>
          <w:tab w:val="left" w:pos="1800"/>
        </w:tabs>
        <w:autoSpaceDE w:val="0"/>
        <w:autoSpaceDN w:val="0"/>
        <w:spacing w:after="240"/>
        <w:ind w:left="1800"/>
        <w:contextualSpacing w:val="0"/>
        <w:rPr>
          <w:rFonts w:eastAsia="Arial"/>
          <w:color w:val="000000"/>
          <w:szCs w:val="24"/>
        </w:rPr>
      </w:pPr>
      <w:r w:rsidRPr="00023CF7">
        <w:rPr>
          <w:rFonts w:eastAsia="Arial"/>
          <w:color w:val="000000"/>
          <w:szCs w:val="24"/>
        </w:rPr>
        <w:t>Although Acquisition A is a significant acquisition using the initial significance test, by applying the optional test, the issuer may be able to demonstrate that a reasonable investor would not regard Acquisition A to be the primary business of the issuer.</w:t>
      </w:r>
    </w:p>
    <w:p w14:paraId="40AF1C83" w14:textId="1629C5B5" w:rsidR="00211B28" w:rsidRPr="00023CF7" w:rsidRDefault="00BE1AF7" w:rsidP="00246299">
      <w:pPr>
        <w:pStyle w:val="ListParagraph"/>
        <w:widowControl w:val="0"/>
        <w:numPr>
          <w:ilvl w:val="0"/>
          <w:numId w:val="23"/>
        </w:numPr>
        <w:tabs>
          <w:tab w:val="left" w:pos="1800"/>
        </w:tabs>
        <w:autoSpaceDE w:val="0"/>
        <w:autoSpaceDN w:val="0"/>
        <w:spacing w:after="240"/>
        <w:ind w:left="1800"/>
        <w:contextualSpacing w:val="0"/>
        <w:rPr>
          <w:rFonts w:eastAsia="Arial"/>
          <w:color w:val="000000"/>
          <w:szCs w:val="24"/>
        </w:rPr>
      </w:pPr>
      <w:r w:rsidRPr="00023CF7">
        <w:rPr>
          <w:rFonts w:eastAsia="Arial"/>
          <w:color w:val="000000"/>
          <w:szCs w:val="24"/>
        </w:rPr>
        <w:t>In this circumstance, the issuer experienced growth subsequent to acquiring Acquisition A such that Acquisition A no longer exceeds the</w:t>
      </w:r>
      <w:r w:rsidR="00013437">
        <w:rPr>
          <w:rFonts w:eastAsia="Arial"/>
          <w:color w:val="000000"/>
          <w:szCs w:val="24"/>
        </w:rPr>
        <w:t> </w:t>
      </w:r>
      <w:r w:rsidRPr="00023CF7">
        <w:rPr>
          <w:rFonts w:eastAsia="Arial"/>
          <w:color w:val="000000"/>
          <w:szCs w:val="24"/>
        </w:rPr>
        <w:t xml:space="preserve">100% threshold. </w:t>
      </w:r>
      <w:r w:rsidRPr="00023CF7">
        <w:rPr>
          <w:rFonts w:eastAsia="Arial"/>
          <w:color w:val="000000"/>
          <w:szCs w:val="24"/>
        </w:rPr>
        <w:lastRenderedPageBreak/>
        <w:t>As a result, a reasonable investor would not regard Acquisition A to be the primary business of the issuer. Therefore, the issuer would not be required to provide historical financial statements of Acquisition A under Item 32 of Form 41-101F1.</w:t>
      </w:r>
    </w:p>
    <w:p w14:paraId="18E59825" w14:textId="2A8DA2FE" w:rsidR="00211B28" w:rsidRPr="00023CF7" w:rsidRDefault="00BE1AF7" w:rsidP="00246299">
      <w:pPr>
        <w:pStyle w:val="ListParagraph"/>
        <w:widowControl w:val="0"/>
        <w:numPr>
          <w:ilvl w:val="0"/>
          <w:numId w:val="23"/>
        </w:numPr>
        <w:tabs>
          <w:tab w:val="left" w:pos="1800"/>
        </w:tabs>
        <w:autoSpaceDE w:val="0"/>
        <w:autoSpaceDN w:val="0"/>
        <w:spacing w:after="240"/>
        <w:ind w:left="1800"/>
        <w:contextualSpacing w:val="0"/>
        <w:rPr>
          <w:rFonts w:eastAsia="Arial"/>
          <w:color w:val="000000"/>
          <w:szCs w:val="24"/>
        </w:rPr>
      </w:pPr>
      <w:r w:rsidRPr="00023CF7">
        <w:rPr>
          <w:rFonts w:eastAsia="Arial"/>
          <w:color w:val="000000"/>
          <w:szCs w:val="24"/>
        </w:rPr>
        <w:t>If the issuer applied the optional test and Acquisition A still exceeded the</w:t>
      </w:r>
      <w:r w:rsidR="00023CF7">
        <w:rPr>
          <w:rFonts w:eastAsia="Arial"/>
          <w:color w:val="000000"/>
          <w:szCs w:val="24"/>
        </w:rPr>
        <w:t> </w:t>
      </w:r>
      <w:r w:rsidRPr="00023CF7">
        <w:rPr>
          <w:rFonts w:eastAsia="Arial"/>
          <w:color w:val="000000"/>
          <w:szCs w:val="24"/>
        </w:rPr>
        <w:t xml:space="preserve">100% threshold, the issuer would have been required to provide audited financial statements of Acquisition A for enough periods </w:t>
      </w:r>
      <w:r w:rsidRPr="00023CF7">
        <w:rPr>
          <w:szCs w:val="24"/>
        </w:rPr>
        <w:t>so that when those periods are added to the periods for which the issuer’s financial statements are included in the prospectus, the results of the issuer and Acquisition A, either separately or on a consolidated basis, totals three years</w:t>
      </w:r>
      <w:r w:rsidRPr="00023CF7">
        <w:rPr>
          <w:rFonts w:eastAsia="Arial"/>
          <w:color w:val="000000"/>
          <w:szCs w:val="24"/>
        </w:rPr>
        <w:t>. This means that the issuer would have been required to include in the IPO prospectus:</w:t>
      </w:r>
    </w:p>
    <w:p w14:paraId="3B0A9304" w14:textId="7AC28EFB" w:rsidR="00211B28" w:rsidRPr="00023CF7" w:rsidRDefault="00BE1AF7" w:rsidP="00246299">
      <w:pPr>
        <w:pStyle w:val="ListParagraph"/>
        <w:widowControl w:val="0"/>
        <w:numPr>
          <w:ilvl w:val="1"/>
          <w:numId w:val="23"/>
        </w:numPr>
        <w:tabs>
          <w:tab w:val="left" w:pos="2160"/>
        </w:tabs>
        <w:autoSpaceDE w:val="0"/>
        <w:autoSpaceDN w:val="0"/>
        <w:spacing w:after="240"/>
        <w:ind w:left="2160"/>
        <w:contextualSpacing w:val="0"/>
        <w:rPr>
          <w:rFonts w:eastAsia="Arial"/>
          <w:color w:val="000000"/>
          <w:szCs w:val="24"/>
        </w:rPr>
      </w:pPr>
      <w:r w:rsidRPr="00023CF7">
        <w:rPr>
          <w:rFonts w:eastAsia="Arial"/>
          <w:color w:val="000000"/>
          <w:szCs w:val="24"/>
        </w:rPr>
        <w:t>its audited consolidated financial statements for each of the three years ended December 31, 2020, 2019 and 2018 which include the results of Acquisition A from October 1, 2019 onwards, and</w:t>
      </w:r>
    </w:p>
    <w:p w14:paraId="1FB6D68C" w14:textId="732B09E1" w:rsidR="00211B28" w:rsidRPr="00023CF7" w:rsidRDefault="00BE1AF7" w:rsidP="00246299">
      <w:pPr>
        <w:pStyle w:val="ListParagraph"/>
        <w:widowControl w:val="0"/>
        <w:numPr>
          <w:ilvl w:val="1"/>
          <w:numId w:val="23"/>
        </w:numPr>
        <w:tabs>
          <w:tab w:val="left" w:pos="2160"/>
        </w:tabs>
        <w:autoSpaceDE w:val="0"/>
        <w:autoSpaceDN w:val="0"/>
        <w:spacing w:after="240"/>
        <w:ind w:left="2160"/>
        <w:contextualSpacing w:val="0"/>
        <w:rPr>
          <w:rFonts w:eastAsia="Arial"/>
          <w:color w:val="000000"/>
          <w:szCs w:val="24"/>
        </w:rPr>
      </w:pPr>
      <w:r w:rsidRPr="00023CF7">
        <w:rPr>
          <w:rFonts w:eastAsia="Arial"/>
          <w:color w:val="000000"/>
          <w:szCs w:val="24"/>
        </w:rPr>
        <w:t>the audited standalone financial statements of Acquisition A for the period from January 1, 2019 to September 30, 2019, and for the year-ended December</w:t>
      </w:r>
      <w:r w:rsidR="00023CF7">
        <w:rPr>
          <w:rFonts w:eastAsia="Arial"/>
          <w:color w:val="000000"/>
          <w:szCs w:val="24"/>
        </w:rPr>
        <w:t> </w:t>
      </w:r>
      <w:r w:rsidRPr="00023CF7">
        <w:rPr>
          <w:rFonts w:eastAsia="Arial"/>
          <w:color w:val="000000"/>
          <w:szCs w:val="24"/>
        </w:rPr>
        <w:t>31,</w:t>
      </w:r>
      <w:r w:rsidR="00023CF7">
        <w:rPr>
          <w:rFonts w:eastAsia="Arial"/>
          <w:color w:val="000000"/>
          <w:szCs w:val="24"/>
        </w:rPr>
        <w:t> </w:t>
      </w:r>
      <w:r w:rsidRPr="00023CF7">
        <w:rPr>
          <w:rFonts w:eastAsia="Arial"/>
          <w:color w:val="000000"/>
          <w:szCs w:val="24"/>
        </w:rPr>
        <w:t>2018.</w:t>
      </w:r>
    </w:p>
    <w:p w14:paraId="06C3A23B" w14:textId="77777777" w:rsidR="00211B28" w:rsidRPr="00023CF7" w:rsidRDefault="00BE1AF7" w:rsidP="00013437">
      <w:pPr>
        <w:spacing w:after="240"/>
        <w:ind w:left="1440"/>
        <w:rPr>
          <w:b/>
          <w:szCs w:val="24"/>
          <w:u w:val="single"/>
        </w:rPr>
      </w:pPr>
      <w:r w:rsidRPr="00023CF7">
        <w:rPr>
          <w:b/>
          <w:szCs w:val="24"/>
        </w:rPr>
        <w:t xml:space="preserve">Example 2: An issuer has recently changed its primary business through the acquisition of a new business </w:t>
      </w:r>
      <w:r w:rsidRPr="00023CF7">
        <w:rPr>
          <w:rFonts w:eastAsia="Arial"/>
          <w:b/>
          <w:bCs/>
          <w:color w:val="000000"/>
          <w:szCs w:val="24"/>
        </w:rPr>
        <w:t xml:space="preserve">and the acquisition does not meet the 100% significance threshold </w:t>
      </w:r>
    </w:p>
    <w:p w14:paraId="41E6A27B" w14:textId="655D2A19" w:rsidR="00211B28" w:rsidRPr="00023CF7" w:rsidRDefault="00BE1AF7" w:rsidP="00013437">
      <w:pPr>
        <w:spacing w:after="240"/>
        <w:ind w:left="1440"/>
        <w:rPr>
          <w:b/>
          <w:bCs/>
          <w:szCs w:val="24"/>
        </w:rPr>
      </w:pPr>
      <w:r w:rsidRPr="00023CF7">
        <w:rPr>
          <w:b/>
          <w:bCs/>
          <w:szCs w:val="24"/>
        </w:rPr>
        <w:t>Facts:</w:t>
      </w:r>
    </w:p>
    <w:p w14:paraId="47F40F1E" w14:textId="19B2F153" w:rsidR="00211B28" w:rsidRPr="00023CF7" w:rsidRDefault="00BE1AF7" w:rsidP="00246299">
      <w:pPr>
        <w:pStyle w:val="ListParagraph"/>
        <w:widowControl w:val="0"/>
        <w:numPr>
          <w:ilvl w:val="0"/>
          <w:numId w:val="22"/>
        </w:numPr>
        <w:autoSpaceDE w:val="0"/>
        <w:autoSpaceDN w:val="0"/>
        <w:spacing w:after="240"/>
        <w:ind w:left="1800"/>
        <w:contextualSpacing w:val="0"/>
        <w:rPr>
          <w:rFonts w:eastAsia="Arial"/>
          <w:szCs w:val="24"/>
        </w:rPr>
      </w:pPr>
      <w:r w:rsidRPr="00023CF7">
        <w:rPr>
          <w:rFonts w:eastAsia="Arial"/>
          <w:szCs w:val="24"/>
        </w:rPr>
        <w:t>An IPO venture issuer filed a preliminary IPO prospectus on April</w:t>
      </w:r>
      <w:r w:rsidR="00023CF7">
        <w:rPr>
          <w:rFonts w:eastAsia="Arial"/>
          <w:szCs w:val="24"/>
        </w:rPr>
        <w:t> </w:t>
      </w:r>
      <w:r w:rsidRPr="00023CF7">
        <w:rPr>
          <w:rFonts w:eastAsia="Arial"/>
          <w:szCs w:val="24"/>
        </w:rPr>
        <w:t>1,</w:t>
      </w:r>
      <w:r w:rsidR="00023CF7">
        <w:rPr>
          <w:rFonts w:eastAsia="Arial"/>
          <w:szCs w:val="24"/>
        </w:rPr>
        <w:t> </w:t>
      </w:r>
      <w:r w:rsidRPr="00023CF7">
        <w:rPr>
          <w:rFonts w:eastAsia="Arial"/>
          <w:szCs w:val="24"/>
        </w:rPr>
        <w:t>2021.</w:t>
      </w:r>
    </w:p>
    <w:p w14:paraId="78F4C1D8" w14:textId="70E110CA" w:rsidR="00211B28" w:rsidRPr="00023CF7" w:rsidRDefault="00BE1AF7" w:rsidP="00246299">
      <w:pPr>
        <w:pStyle w:val="ListParagraph"/>
        <w:widowControl w:val="0"/>
        <w:numPr>
          <w:ilvl w:val="0"/>
          <w:numId w:val="22"/>
        </w:numPr>
        <w:autoSpaceDE w:val="0"/>
        <w:autoSpaceDN w:val="0"/>
        <w:spacing w:after="240"/>
        <w:ind w:left="1800"/>
        <w:contextualSpacing w:val="0"/>
        <w:rPr>
          <w:rFonts w:eastAsia="Arial"/>
          <w:szCs w:val="24"/>
        </w:rPr>
      </w:pPr>
      <w:r w:rsidRPr="00023CF7">
        <w:rPr>
          <w:rFonts w:eastAsia="Arial"/>
          <w:szCs w:val="24"/>
        </w:rPr>
        <w:t>The issuer was incorporated on January 1, 2015 to operate a mining exploration and development business.</w:t>
      </w:r>
    </w:p>
    <w:p w14:paraId="60BD7467" w14:textId="054E1C1C" w:rsidR="00211B28" w:rsidRPr="00023CF7" w:rsidRDefault="00BE1AF7" w:rsidP="00246299">
      <w:pPr>
        <w:pStyle w:val="ListParagraph"/>
        <w:widowControl w:val="0"/>
        <w:numPr>
          <w:ilvl w:val="0"/>
          <w:numId w:val="22"/>
        </w:numPr>
        <w:autoSpaceDE w:val="0"/>
        <w:autoSpaceDN w:val="0"/>
        <w:spacing w:after="240"/>
        <w:ind w:left="1800"/>
        <w:contextualSpacing w:val="0"/>
        <w:rPr>
          <w:rFonts w:eastAsia="Arial"/>
          <w:szCs w:val="24"/>
        </w:rPr>
      </w:pPr>
      <w:r w:rsidRPr="00023CF7">
        <w:rPr>
          <w:rFonts w:eastAsia="Arial"/>
          <w:szCs w:val="24"/>
        </w:rPr>
        <w:t>On December 19, 2020, the issuer acquired a cannabis cultivation property and announced its intention to convert its existing business to a cannabis cultivation business in 2021.</w:t>
      </w:r>
    </w:p>
    <w:p w14:paraId="5F2773D9" w14:textId="77777777" w:rsidR="00211B28" w:rsidRPr="00023CF7" w:rsidRDefault="00BE1AF7" w:rsidP="00246299">
      <w:pPr>
        <w:pStyle w:val="ListParagraph"/>
        <w:widowControl w:val="0"/>
        <w:numPr>
          <w:ilvl w:val="0"/>
          <w:numId w:val="22"/>
        </w:numPr>
        <w:autoSpaceDE w:val="0"/>
        <w:autoSpaceDN w:val="0"/>
        <w:spacing w:after="240"/>
        <w:ind w:left="1800"/>
        <w:contextualSpacing w:val="0"/>
        <w:rPr>
          <w:rFonts w:eastAsia="Arial"/>
          <w:szCs w:val="24"/>
        </w:rPr>
      </w:pPr>
      <w:r w:rsidRPr="00023CF7">
        <w:rPr>
          <w:rFonts w:eastAsia="Arial"/>
          <w:szCs w:val="24"/>
        </w:rPr>
        <w:t>The year end of the issuer and the acquired cannabis cultivation business is December 31.</w:t>
      </w:r>
    </w:p>
    <w:p w14:paraId="5DE57612" w14:textId="207881A7" w:rsidR="00211B28" w:rsidRPr="00023CF7" w:rsidRDefault="00BE1AF7" w:rsidP="00013437">
      <w:pPr>
        <w:spacing w:after="240"/>
        <w:ind w:left="1440"/>
        <w:rPr>
          <w:b/>
          <w:bCs/>
          <w:szCs w:val="24"/>
        </w:rPr>
      </w:pPr>
      <w:r w:rsidRPr="00023CF7">
        <w:rPr>
          <w:b/>
          <w:bCs/>
          <w:szCs w:val="24"/>
        </w:rPr>
        <w:t>Application of paragraph 32.1(1)(b) of Form 41-101F1:</w:t>
      </w:r>
    </w:p>
    <w:p w14:paraId="46EF7FBC" w14:textId="38DC7BE6" w:rsidR="00211B28" w:rsidRPr="00023CF7" w:rsidRDefault="00BE1AF7" w:rsidP="00246299">
      <w:pPr>
        <w:pStyle w:val="ListParagraph"/>
        <w:widowControl w:val="0"/>
        <w:numPr>
          <w:ilvl w:val="0"/>
          <w:numId w:val="21"/>
        </w:numPr>
        <w:autoSpaceDE w:val="0"/>
        <w:autoSpaceDN w:val="0"/>
        <w:spacing w:after="240"/>
        <w:ind w:left="1800"/>
        <w:contextualSpacing w:val="0"/>
        <w:rPr>
          <w:bCs/>
          <w:szCs w:val="24"/>
        </w:rPr>
      </w:pPr>
      <w:r w:rsidRPr="00023CF7">
        <w:rPr>
          <w:bCs/>
          <w:szCs w:val="24"/>
        </w:rPr>
        <w:t xml:space="preserve">To meet the requirements of paragraph 32.1(1)(b) of Form 41-101F1, the </w:t>
      </w:r>
      <w:r w:rsidR="003D36B3" w:rsidRPr="00023CF7">
        <w:rPr>
          <w:bCs/>
          <w:szCs w:val="24"/>
        </w:rPr>
        <w:t>i</w:t>
      </w:r>
      <w:r w:rsidRPr="00023CF7">
        <w:rPr>
          <w:bCs/>
          <w:szCs w:val="24"/>
        </w:rPr>
        <w:t>ssuer must include in the prospectus its audited financial statements for the years ended December 31, 2020 and 2019.</w:t>
      </w:r>
    </w:p>
    <w:p w14:paraId="6D04180D" w14:textId="20990211" w:rsidR="00211B28" w:rsidRPr="00023CF7" w:rsidRDefault="00BE1AF7" w:rsidP="00246299">
      <w:pPr>
        <w:pStyle w:val="ListParagraph"/>
        <w:widowControl w:val="0"/>
        <w:numPr>
          <w:ilvl w:val="0"/>
          <w:numId w:val="21"/>
        </w:numPr>
        <w:autoSpaceDE w:val="0"/>
        <w:autoSpaceDN w:val="0"/>
        <w:spacing w:after="240"/>
        <w:ind w:left="1800"/>
        <w:contextualSpacing w:val="0"/>
        <w:rPr>
          <w:bCs/>
          <w:szCs w:val="24"/>
        </w:rPr>
      </w:pPr>
      <w:r w:rsidRPr="00023CF7">
        <w:rPr>
          <w:bCs/>
          <w:szCs w:val="24"/>
        </w:rPr>
        <w:t xml:space="preserve">In addition, given that the issuer has changed its primary business to cannabis cultivation activities, the pre-acquisition financial statements for the acquired cannabis cultivation business (along with the related management’s discussion </w:t>
      </w:r>
      <w:r w:rsidRPr="00023CF7">
        <w:rPr>
          <w:bCs/>
          <w:szCs w:val="24"/>
        </w:rPr>
        <w:lastRenderedPageBreak/>
        <w:t>and analysis) must also be included in the prospectus.</w:t>
      </w:r>
    </w:p>
    <w:p w14:paraId="511B92DF" w14:textId="77777777" w:rsidR="00211B28" w:rsidRPr="00023CF7" w:rsidRDefault="00BE1AF7" w:rsidP="00246299">
      <w:pPr>
        <w:pStyle w:val="ListParagraph"/>
        <w:widowControl w:val="0"/>
        <w:numPr>
          <w:ilvl w:val="0"/>
          <w:numId w:val="21"/>
        </w:numPr>
        <w:autoSpaceDE w:val="0"/>
        <w:autoSpaceDN w:val="0"/>
        <w:spacing w:after="240"/>
        <w:ind w:left="1800"/>
        <w:contextualSpacing w:val="0"/>
        <w:rPr>
          <w:rFonts w:eastAsia="Arial"/>
          <w:szCs w:val="24"/>
        </w:rPr>
      </w:pPr>
      <w:r w:rsidRPr="00023CF7">
        <w:rPr>
          <w:bCs/>
          <w:szCs w:val="24"/>
        </w:rPr>
        <w:t>This is because a reasonable investor reading the prospectus would regard the primary business of the issuer to be the cannabis cultivation business</w:t>
      </w:r>
      <w:r w:rsidRPr="00023CF7">
        <w:rPr>
          <w:rFonts w:eastAsia="Arial"/>
          <w:color w:val="000000"/>
          <w:szCs w:val="24"/>
        </w:rPr>
        <w:t xml:space="preserve">, as referenced in </w:t>
      </w:r>
      <w:r w:rsidRPr="00023CF7">
        <w:rPr>
          <w:bCs/>
          <w:szCs w:val="24"/>
        </w:rPr>
        <w:t>paragraph 32.1(1)(b) of Form 41-101F1</w:t>
      </w:r>
      <w:bookmarkEnd w:id="16"/>
      <w:r w:rsidRPr="00023CF7">
        <w:rPr>
          <w:bCs/>
          <w:szCs w:val="24"/>
        </w:rPr>
        <w:t>.</w:t>
      </w:r>
    </w:p>
    <w:p w14:paraId="534CB2CB" w14:textId="4ADB9482" w:rsidR="00211B28" w:rsidRPr="00023CF7" w:rsidRDefault="00BE1AF7" w:rsidP="00246299">
      <w:pPr>
        <w:tabs>
          <w:tab w:val="left" w:pos="1440"/>
        </w:tabs>
        <w:spacing w:after="240" w:line="253" w:lineRule="exact"/>
        <w:ind w:left="1440" w:right="72" w:hanging="360"/>
        <w:textAlignment w:val="baseline"/>
        <w:rPr>
          <w:rFonts w:eastAsia="Arial"/>
          <w:color w:val="000000"/>
          <w:szCs w:val="24"/>
        </w:rPr>
      </w:pPr>
      <w:r w:rsidRPr="00023CF7">
        <w:rPr>
          <w:rFonts w:eastAsia="Arial"/>
          <w:b/>
          <w:color w:val="000000"/>
          <w:szCs w:val="24"/>
        </w:rPr>
        <w:t>(2)</w:t>
      </w:r>
      <w:r w:rsidRPr="00023CF7">
        <w:rPr>
          <w:rFonts w:eastAsia="Arial"/>
          <w:b/>
          <w:color w:val="000000"/>
          <w:szCs w:val="24"/>
        </w:rPr>
        <w:tab/>
      </w:r>
      <w:r w:rsidRPr="00023CF7">
        <w:rPr>
          <w:rFonts w:eastAsia="Arial"/>
          <w:color w:val="000000"/>
          <w:szCs w:val="24"/>
        </w:rPr>
        <w:t xml:space="preserve">The periods for which the issuer must provide financial statements under Item 32 of Form 41-101F1 for an acquired business or related businesses that are regarded as the primary business of the issuer should be determined in reference to </w:t>
      </w:r>
      <w:r w:rsidR="00463180" w:rsidRPr="00023CF7">
        <w:rPr>
          <w:rFonts w:eastAsia="Arial"/>
          <w:color w:val="000000"/>
          <w:szCs w:val="24"/>
        </w:rPr>
        <w:t>sections</w:t>
      </w:r>
      <w:r w:rsidRPr="00023CF7">
        <w:rPr>
          <w:rFonts w:eastAsia="Arial"/>
          <w:color w:val="000000"/>
          <w:szCs w:val="24"/>
        </w:rPr>
        <w:t xml:space="preserve"> 32.2 and</w:t>
      </w:r>
      <w:r w:rsidR="00023CF7">
        <w:rPr>
          <w:rFonts w:eastAsia="Arial"/>
          <w:color w:val="000000"/>
          <w:szCs w:val="24"/>
        </w:rPr>
        <w:t> </w:t>
      </w:r>
      <w:r w:rsidRPr="00023CF7">
        <w:rPr>
          <w:rFonts w:eastAsia="Arial"/>
          <w:color w:val="000000"/>
          <w:szCs w:val="24"/>
        </w:rPr>
        <w:t>32.3 of Form 41-101F1, and with the same exceptions, where applicable, set out in paragraphs 32.4(1)(a) through (e) of Form 41-101F1. For example, for an issuer that is a reporting issuer in at least one jurisdiction immediately before filing a long form prospectus, the reference to three years in paragraph 32.2(6)(a) of Form 41-101F1 should be read as two years under paragraphs 32.4(1)(a), (b), (d) and (e) of Form 41-101F1.</w:t>
      </w:r>
    </w:p>
    <w:p w14:paraId="3CBAC825" w14:textId="52FA5B3B" w:rsidR="00211B28" w:rsidRPr="00023CF7" w:rsidRDefault="00BE1AF7" w:rsidP="00246299">
      <w:pPr>
        <w:spacing w:after="240"/>
        <w:ind w:left="1440"/>
        <w:rPr>
          <w:szCs w:val="24"/>
        </w:rPr>
      </w:pPr>
      <w:bookmarkStart w:id="17" w:name="_Hlk74120124"/>
      <w:r w:rsidRPr="00023CF7">
        <w:rPr>
          <w:rFonts w:eastAsia="Arial"/>
          <w:color w:val="000000"/>
          <w:spacing w:val="-1"/>
          <w:szCs w:val="24"/>
        </w:rPr>
        <w:t xml:space="preserve">In addition, </w:t>
      </w:r>
      <w:r w:rsidRPr="00023CF7">
        <w:rPr>
          <w:szCs w:val="24"/>
        </w:rPr>
        <w:t>subsection 32.2(6) of Form 41-101F1 requires an issuer to include the financial statements for those entities or businesses set out in paragraphs 32.1(1)(a) and</w:t>
      </w:r>
      <w:r w:rsidR="00023CF7">
        <w:rPr>
          <w:szCs w:val="24"/>
        </w:rPr>
        <w:t> </w:t>
      </w:r>
      <w:r w:rsidRPr="00023CF7">
        <w:rPr>
          <w:szCs w:val="24"/>
        </w:rPr>
        <w:t>(b) of Form 41-101F1 for as many periods before the acquisition as may be necessary. This is so that when these periods are added to the periods for which the issuer’s financial statements are included in the prospectus, the results of the entities or businesses, either separately or on a consolidated basis, total the required number of annual periods (two or three years). These financial statements must be audited.</w:t>
      </w:r>
      <w:bookmarkEnd w:id="17"/>
    </w:p>
    <w:p w14:paraId="774FDD9F" w14:textId="44461F46" w:rsidR="00211B28" w:rsidRPr="00023CF7" w:rsidRDefault="00BE1AF7" w:rsidP="00246299">
      <w:pPr>
        <w:spacing w:after="240" w:line="253" w:lineRule="exact"/>
        <w:ind w:left="1440" w:right="72"/>
        <w:textAlignment w:val="baseline"/>
        <w:rPr>
          <w:rFonts w:eastAsia="Arial"/>
          <w:color w:val="000000"/>
          <w:spacing w:val="-1"/>
          <w:szCs w:val="24"/>
        </w:rPr>
      </w:pPr>
      <w:r w:rsidRPr="00023CF7">
        <w:rPr>
          <w:rFonts w:eastAsia="Arial"/>
          <w:color w:val="000000"/>
          <w:spacing w:val="-1"/>
          <w:szCs w:val="24"/>
        </w:rPr>
        <w:t xml:space="preserve">The issuer must also consider the necessity of including pro forma financial statements pursuant to </w:t>
      </w:r>
      <w:r w:rsidR="0019006F" w:rsidRPr="00023CF7">
        <w:rPr>
          <w:rFonts w:eastAsia="Arial"/>
          <w:color w:val="000000"/>
          <w:spacing w:val="-1"/>
          <w:szCs w:val="24"/>
        </w:rPr>
        <w:t>section</w:t>
      </w:r>
      <w:r w:rsidRPr="00023CF7">
        <w:rPr>
          <w:rFonts w:eastAsia="Arial"/>
          <w:color w:val="000000"/>
          <w:spacing w:val="-1"/>
          <w:szCs w:val="24"/>
        </w:rPr>
        <w:t xml:space="preserve"> 32.7 of Form 41-101F1 to illustrate the impact of the acquisition of the primary business on the issuer’s financial position and results of operations. For additional guidance, an issuer should refer to </w:t>
      </w:r>
      <w:r w:rsidR="00CD0FED" w:rsidRPr="00023CF7">
        <w:rPr>
          <w:rFonts w:eastAsia="Arial"/>
          <w:color w:val="000000"/>
          <w:spacing w:val="-1"/>
          <w:szCs w:val="24"/>
        </w:rPr>
        <w:t>section</w:t>
      </w:r>
      <w:r w:rsidR="00246299">
        <w:rPr>
          <w:rFonts w:eastAsia="Arial"/>
          <w:color w:val="000000"/>
          <w:spacing w:val="-1"/>
          <w:szCs w:val="24"/>
        </w:rPr>
        <w:t> À</w:t>
      </w:r>
      <w:r w:rsidRPr="00023CF7">
        <w:rPr>
          <w:rFonts w:eastAsia="Arial"/>
          <w:color w:val="000000"/>
          <w:spacing w:val="-1"/>
          <w:szCs w:val="24"/>
        </w:rPr>
        <w:t>5.10 of this Policy.</w:t>
      </w:r>
    </w:p>
    <w:p w14:paraId="71B1704A" w14:textId="28F0F9E1" w:rsidR="00211B28" w:rsidRPr="00023CF7" w:rsidRDefault="00BE1AF7" w:rsidP="00246299">
      <w:pPr>
        <w:tabs>
          <w:tab w:val="left" w:pos="1080"/>
          <w:tab w:val="left" w:pos="1440"/>
        </w:tabs>
        <w:spacing w:after="240" w:line="253" w:lineRule="exact"/>
        <w:ind w:left="1440" w:right="72" w:hanging="360"/>
        <w:textAlignment w:val="baseline"/>
        <w:rPr>
          <w:rFonts w:eastAsia="Arial"/>
          <w:color w:val="000000"/>
          <w:spacing w:val="-1"/>
          <w:szCs w:val="24"/>
        </w:rPr>
      </w:pPr>
      <w:r w:rsidRPr="00023CF7">
        <w:rPr>
          <w:rFonts w:eastAsia="Arial"/>
          <w:b/>
          <w:bCs/>
          <w:color w:val="000000"/>
          <w:spacing w:val="-1"/>
          <w:szCs w:val="24"/>
        </w:rPr>
        <w:t>(3)</w:t>
      </w:r>
      <w:r w:rsidR="00A34FBB" w:rsidRPr="00023CF7">
        <w:rPr>
          <w:rFonts w:eastAsia="Arial"/>
          <w:color w:val="000000"/>
          <w:spacing w:val="-1"/>
          <w:szCs w:val="24"/>
        </w:rPr>
        <w:tab/>
      </w:r>
      <w:bookmarkStart w:id="18" w:name="_Hlk74120558"/>
      <w:r w:rsidRPr="00023CF7">
        <w:rPr>
          <w:rFonts w:eastAsia="Arial"/>
          <w:color w:val="000000"/>
          <w:spacing w:val="-1"/>
          <w:szCs w:val="24"/>
        </w:rPr>
        <w:t>Reporting issuers are reminded that an acquisition may constitute the acquisition of a business for securities legislation purposes, even if the acquired set of activities or assets does not meet the definition of a "business" for accounting purposes</w:t>
      </w:r>
      <w:bookmarkEnd w:id="18"/>
      <w:r w:rsidR="005900B6" w:rsidRPr="00023CF7">
        <w:rPr>
          <w:szCs w:val="24"/>
        </w:rPr>
        <w:t>.</w:t>
      </w:r>
      <w:r w:rsidR="005900B6" w:rsidRPr="00023CF7">
        <w:rPr>
          <w:b/>
          <w:i/>
          <w:szCs w:val="24"/>
        </w:rPr>
        <w:t>.</w:t>
      </w:r>
    </w:p>
    <w:p w14:paraId="68F60080" w14:textId="4F0C2650" w:rsidR="00D216F6" w:rsidRPr="00023CF7" w:rsidRDefault="00BE1AF7" w:rsidP="00023CF7">
      <w:pPr>
        <w:pStyle w:val="ListParagraph"/>
        <w:numPr>
          <w:ilvl w:val="0"/>
          <w:numId w:val="12"/>
        </w:numPr>
        <w:spacing w:after="240"/>
        <w:ind w:left="709" w:hanging="720"/>
        <w:contextualSpacing w:val="0"/>
        <w:rPr>
          <w:b/>
          <w:bCs/>
          <w:i/>
          <w:iCs/>
          <w:szCs w:val="24"/>
        </w:rPr>
      </w:pPr>
      <w:r w:rsidRPr="00023CF7">
        <w:rPr>
          <w:b/>
          <w:bCs/>
          <w:i/>
          <w:iCs/>
          <w:szCs w:val="24"/>
        </w:rPr>
        <w:t xml:space="preserve">Section 5.4 is </w:t>
      </w:r>
      <w:r w:rsidR="00947E02" w:rsidRPr="00023CF7">
        <w:rPr>
          <w:b/>
          <w:bCs/>
          <w:i/>
          <w:iCs/>
          <w:szCs w:val="24"/>
        </w:rPr>
        <w:t xml:space="preserve">changed by </w:t>
      </w:r>
      <w:r w:rsidRPr="00023CF7">
        <w:rPr>
          <w:b/>
          <w:bCs/>
          <w:i/>
          <w:iCs/>
          <w:szCs w:val="24"/>
        </w:rPr>
        <w:t>replac</w:t>
      </w:r>
      <w:r w:rsidR="00947E02" w:rsidRPr="00023CF7">
        <w:rPr>
          <w:b/>
          <w:bCs/>
          <w:i/>
          <w:iCs/>
          <w:szCs w:val="24"/>
        </w:rPr>
        <w:t>ing the text</w:t>
      </w:r>
      <w:r w:rsidRPr="00023CF7">
        <w:rPr>
          <w:b/>
          <w:bCs/>
          <w:i/>
          <w:iCs/>
          <w:szCs w:val="24"/>
        </w:rPr>
        <w:t xml:space="preserve"> with the following:</w:t>
      </w:r>
    </w:p>
    <w:p w14:paraId="47124A94" w14:textId="3E3A35B9" w:rsidR="00211B28" w:rsidRPr="00023CF7" w:rsidRDefault="00BE1AF7" w:rsidP="00023CF7">
      <w:pPr>
        <w:spacing w:after="240" w:line="253" w:lineRule="exact"/>
        <w:ind w:left="709" w:right="72"/>
        <w:textAlignment w:val="baseline"/>
        <w:rPr>
          <w:rFonts w:eastAsia="Arial"/>
          <w:b/>
          <w:color w:val="000000"/>
          <w:szCs w:val="24"/>
        </w:rPr>
      </w:pPr>
      <w:r w:rsidRPr="00023CF7">
        <w:rPr>
          <w:rFonts w:eastAsia="Arial"/>
          <w:b/>
          <w:color w:val="000000"/>
          <w:szCs w:val="24"/>
        </w:rPr>
        <w:t>Interpretation of issuer – predecessor entity</w:t>
      </w:r>
    </w:p>
    <w:p w14:paraId="2C67622F" w14:textId="55D02577" w:rsidR="00211B28" w:rsidRPr="00023CF7" w:rsidRDefault="00BE1AF7" w:rsidP="00246299">
      <w:pPr>
        <w:tabs>
          <w:tab w:val="left" w:pos="1080"/>
          <w:tab w:val="left" w:pos="1440"/>
        </w:tabs>
        <w:spacing w:after="240" w:line="253" w:lineRule="exact"/>
        <w:ind w:left="1440" w:right="72" w:hanging="731"/>
        <w:textAlignment w:val="baseline"/>
        <w:rPr>
          <w:rFonts w:eastAsia="Arial"/>
          <w:color w:val="000000"/>
          <w:szCs w:val="24"/>
        </w:rPr>
      </w:pPr>
      <w:r w:rsidRPr="00023CF7">
        <w:rPr>
          <w:rFonts w:eastAsia="Arial"/>
          <w:b/>
          <w:color w:val="000000"/>
          <w:szCs w:val="24"/>
        </w:rPr>
        <w:t>5.4</w:t>
      </w:r>
      <w:r w:rsidR="00246299">
        <w:rPr>
          <w:rFonts w:eastAsia="Arial"/>
          <w:b/>
          <w:color w:val="000000"/>
          <w:szCs w:val="24"/>
        </w:rPr>
        <w:tab/>
      </w:r>
      <w:r w:rsidRPr="00023CF7">
        <w:rPr>
          <w:rFonts w:eastAsia="Arial"/>
          <w:b/>
          <w:color w:val="000000"/>
          <w:szCs w:val="24"/>
        </w:rPr>
        <w:t>(1)</w:t>
      </w:r>
      <w:r w:rsidR="00246299">
        <w:rPr>
          <w:rFonts w:eastAsia="Arial"/>
          <w:b/>
          <w:color w:val="000000"/>
          <w:szCs w:val="24"/>
        </w:rPr>
        <w:tab/>
      </w:r>
      <w:r w:rsidRPr="00023CF7">
        <w:rPr>
          <w:rFonts w:eastAsia="Arial"/>
          <w:color w:val="000000"/>
          <w:szCs w:val="24"/>
        </w:rPr>
        <w:t xml:space="preserve">An issuer </w:t>
      </w:r>
      <w:bookmarkStart w:id="19" w:name="_Hlk74121134"/>
      <w:r w:rsidRPr="00023CF7">
        <w:rPr>
          <w:rFonts w:eastAsia="Arial"/>
          <w:color w:val="000000"/>
          <w:szCs w:val="24"/>
        </w:rPr>
        <w:t xml:space="preserve">that has not existed for 3 years </w:t>
      </w:r>
      <w:bookmarkEnd w:id="19"/>
      <w:r w:rsidRPr="00023CF7">
        <w:rPr>
          <w:rFonts w:eastAsia="Arial"/>
          <w:color w:val="000000"/>
          <w:szCs w:val="24"/>
        </w:rPr>
        <w:t xml:space="preserve">is required </w:t>
      </w:r>
      <w:bookmarkStart w:id="20" w:name="_Hlk74121264"/>
      <w:r w:rsidRPr="00023CF7">
        <w:rPr>
          <w:rFonts w:eastAsia="Arial"/>
          <w:color w:val="000000"/>
          <w:szCs w:val="24"/>
        </w:rPr>
        <w:t xml:space="preserve">under paragraph 32.1(1)(a) of Form 41-101F1 </w:t>
      </w:r>
      <w:bookmarkEnd w:id="20"/>
      <w:r w:rsidRPr="00023CF7">
        <w:rPr>
          <w:rFonts w:eastAsia="Arial"/>
          <w:color w:val="000000"/>
          <w:szCs w:val="24"/>
        </w:rPr>
        <w:t xml:space="preserve">to provide historical financial statements of any predecessor entity </w:t>
      </w:r>
      <w:bookmarkStart w:id="21" w:name="_Hlk74121453"/>
      <w:r w:rsidRPr="00023CF7">
        <w:rPr>
          <w:rFonts w:eastAsia="Arial"/>
          <w:color w:val="000000"/>
          <w:szCs w:val="24"/>
        </w:rPr>
        <w:t>that forms or will form the basis of the business of the issuer (see example 3 below).</w:t>
      </w:r>
      <w:bookmarkEnd w:id="21"/>
      <w:r w:rsidRPr="00023CF7">
        <w:rPr>
          <w:rFonts w:eastAsia="Arial"/>
          <w:color w:val="000000"/>
          <w:szCs w:val="24"/>
        </w:rPr>
        <w:t xml:space="preserve"> This may include financial statements of </w:t>
      </w:r>
      <w:bookmarkStart w:id="22" w:name="_Hlk74121896"/>
      <w:r w:rsidRPr="00023CF7">
        <w:rPr>
          <w:rFonts w:eastAsia="Arial"/>
          <w:color w:val="000000"/>
          <w:szCs w:val="24"/>
        </w:rPr>
        <w:t>predecessor entities that have been, or are contemplated to be,</w:t>
      </w:r>
      <w:bookmarkEnd w:id="22"/>
      <w:r w:rsidRPr="00023CF7">
        <w:rPr>
          <w:rFonts w:eastAsia="Arial"/>
          <w:color w:val="000000"/>
          <w:szCs w:val="24"/>
        </w:rPr>
        <w:t xml:space="preserve"> put together to form the basis of the business of the issuer. </w:t>
      </w:r>
      <w:bookmarkStart w:id="23" w:name="_Hlk74122854"/>
      <w:r w:rsidRPr="00023CF7">
        <w:rPr>
          <w:rFonts w:eastAsia="Arial"/>
          <w:color w:val="000000"/>
          <w:szCs w:val="24"/>
        </w:rPr>
        <w:t>If an issuer is not able to provide financial statements of certain predecessor entities</w:t>
      </w:r>
      <w:r w:rsidR="00173C13" w:rsidRPr="00023CF7">
        <w:rPr>
          <w:rFonts w:eastAsia="Arial"/>
          <w:color w:val="000000"/>
          <w:szCs w:val="24"/>
        </w:rPr>
        <w:t xml:space="preserve"> </w:t>
      </w:r>
      <w:r w:rsidRPr="00023CF7">
        <w:rPr>
          <w:rFonts w:eastAsia="Arial"/>
          <w:color w:val="000000"/>
          <w:szCs w:val="24"/>
        </w:rPr>
        <w:t>that are required in the prospectus to meet the requirements in paragraph 32.1(1)(a) of Form</w:t>
      </w:r>
      <w:r w:rsidR="00023CF7">
        <w:rPr>
          <w:rFonts w:eastAsia="Arial"/>
          <w:color w:val="000000"/>
          <w:szCs w:val="24"/>
        </w:rPr>
        <w:t> </w:t>
      </w:r>
      <w:r w:rsidRPr="00023CF7">
        <w:rPr>
          <w:rFonts w:eastAsia="Arial"/>
          <w:color w:val="000000"/>
          <w:szCs w:val="24"/>
        </w:rPr>
        <w:t>41</w:t>
      </w:r>
      <w:r w:rsidR="00023CF7">
        <w:rPr>
          <w:rFonts w:eastAsia="Arial"/>
          <w:color w:val="000000"/>
          <w:szCs w:val="24"/>
        </w:rPr>
        <w:noBreakHyphen/>
      </w:r>
      <w:r w:rsidRPr="00023CF7">
        <w:rPr>
          <w:rFonts w:eastAsia="Arial"/>
          <w:color w:val="000000"/>
          <w:szCs w:val="24"/>
        </w:rPr>
        <w:t xml:space="preserve">101F1, or if the financial statements for certain predecessor entities are not considered material for an investment </w:t>
      </w:r>
      <w:r w:rsidRPr="00023CF7">
        <w:rPr>
          <w:rFonts w:eastAsia="Arial"/>
          <w:color w:val="000000"/>
          <w:szCs w:val="24"/>
        </w:rPr>
        <w:lastRenderedPageBreak/>
        <w:t>decision or otherwise necessary for the prospectus to contain full, true and plain disclosure, the issuer should utilize the pre-filing procedures in NP</w:t>
      </w:r>
      <w:r w:rsidR="00023CF7">
        <w:rPr>
          <w:rFonts w:eastAsia="Arial"/>
          <w:color w:val="000000"/>
          <w:szCs w:val="24"/>
        </w:rPr>
        <w:t> </w:t>
      </w:r>
      <w:r w:rsidRPr="00023CF7">
        <w:rPr>
          <w:rFonts w:eastAsia="Arial"/>
          <w:color w:val="000000"/>
          <w:szCs w:val="24"/>
        </w:rPr>
        <w:t>11-202.</w:t>
      </w:r>
      <w:bookmarkEnd w:id="23"/>
    </w:p>
    <w:p w14:paraId="3D937F2A" w14:textId="3FAEECF4" w:rsidR="00211B28" w:rsidRPr="00023CF7" w:rsidRDefault="00BE1AF7" w:rsidP="00246299">
      <w:pPr>
        <w:spacing w:after="240" w:line="253" w:lineRule="exact"/>
        <w:ind w:left="1440" w:right="72"/>
        <w:textAlignment w:val="baseline"/>
        <w:rPr>
          <w:rFonts w:eastAsia="Arial"/>
          <w:color w:val="000000"/>
          <w:spacing w:val="-1"/>
          <w:szCs w:val="24"/>
        </w:rPr>
      </w:pPr>
      <w:bookmarkStart w:id="24" w:name="_Hlk74122947"/>
      <w:r w:rsidRPr="00023CF7">
        <w:rPr>
          <w:rFonts w:eastAsia="Arial"/>
          <w:b/>
          <w:bCs/>
          <w:color w:val="000000"/>
          <w:spacing w:val="-1"/>
          <w:szCs w:val="24"/>
        </w:rPr>
        <w:t>Example 3: A newly incorporated non-venture issuer with minimal operations will acquire several real estate properties immediately prior to, or concurrently with, the closing of an IPO</w:t>
      </w:r>
    </w:p>
    <w:p w14:paraId="4781F3D7" w14:textId="77777777" w:rsidR="00211B28" w:rsidRPr="00023CF7" w:rsidRDefault="00BE1AF7" w:rsidP="00246299">
      <w:pPr>
        <w:spacing w:after="240" w:line="253" w:lineRule="exact"/>
        <w:ind w:left="1440" w:right="72"/>
        <w:textAlignment w:val="baseline"/>
        <w:rPr>
          <w:rFonts w:eastAsia="Arial"/>
          <w:b/>
          <w:bCs/>
          <w:color w:val="000000"/>
          <w:spacing w:val="-1"/>
          <w:szCs w:val="24"/>
        </w:rPr>
      </w:pPr>
      <w:r w:rsidRPr="00023CF7">
        <w:rPr>
          <w:rFonts w:eastAsia="Arial"/>
          <w:b/>
          <w:bCs/>
          <w:color w:val="000000"/>
          <w:spacing w:val="-1"/>
          <w:szCs w:val="24"/>
        </w:rPr>
        <w:t>Facts:</w:t>
      </w:r>
    </w:p>
    <w:p w14:paraId="5F745559" w14:textId="34C519AB" w:rsidR="00211B28" w:rsidRPr="00023CF7" w:rsidRDefault="00BE1AF7" w:rsidP="00246299">
      <w:pPr>
        <w:pStyle w:val="ListParagraph"/>
        <w:widowControl w:val="0"/>
        <w:numPr>
          <w:ilvl w:val="0"/>
          <w:numId w:val="22"/>
        </w:numPr>
        <w:autoSpaceDE w:val="0"/>
        <w:autoSpaceDN w:val="0"/>
        <w:spacing w:after="240"/>
        <w:ind w:left="1800"/>
        <w:contextualSpacing w:val="0"/>
        <w:rPr>
          <w:rFonts w:eastAsia="Arial"/>
          <w:szCs w:val="24"/>
        </w:rPr>
      </w:pPr>
      <w:r w:rsidRPr="00023CF7">
        <w:rPr>
          <w:rFonts w:eastAsia="Arial"/>
          <w:szCs w:val="24"/>
        </w:rPr>
        <w:t>A non-venture issuer is a real estate investment trust incorporated on December 21, 2020 for the purpose of acquiring an initial portfolio of four real estate properties in order to generate rental income from the properties. The issuer filed a preliminary IPO prospectus on April 1, 2021.</w:t>
      </w:r>
    </w:p>
    <w:p w14:paraId="17333222" w14:textId="77777777" w:rsidR="00211B28" w:rsidRPr="00023CF7" w:rsidRDefault="00BE1AF7" w:rsidP="00246299">
      <w:pPr>
        <w:pStyle w:val="ListParagraph"/>
        <w:widowControl w:val="0"/>
        <w:numPr>
          <w:ilvl w:val="0"/>
          <w:numId w:val="24"/>
        </w:numPr>
        <w:autoSpaceDE w:val="0"/>
        <w:autoSpaceDN w:val="0"/>
        <w:spacing w:after="240" w:line="253" w:lineRule="exact"/>
        <w:ind w:left="1800" w:right="72"/>
        <w:contextualSpacing w:val="0"/>
        <w:textAlignment w:val="baseline"/>
        <w:rPr>
          <w:rFonts w:eastAsia="Arial"/>
          <w:color w:val="000000"/>
          <w:spacing w:val="-1"/>
          <w:szCs w:val="24"/>
        </w:rPr>
      </w:pPr>
      <w:r w:rsidRPr="00023CF7">
        <w:rPr>
          <w:rFonts w:eastAsia="Arial"/>
          <w:color w:val="000000"/>
          <w:spacing w:val="-1"/>
          <w:szCs w:val="24"/>
        </w:rPr>
        <w:t>Concurrent with the closing of the IPO, the issuer will complete the acquisition of four real estate properties, which were previously operated as rental properties by the vendors, generating rental income. The year end of the issuer and each of the acquired businesses is December 31.</w:t>
      </w:r>
    </w:p>
    <w:p w14:paraId="0CAFB1F6" w14:textId="77777777" w:rsidR="00211B28" w:rsidRPr="00023CF7" w:rsidRDefault="00BE1AF7" w:rsidP="00246299">
      <w:pPr>
        <w:pStyle w:val="ListParagraph"/>
        <w:spacing w:after="240" w:line="253" w:lineRule="exact"/>
        <w:ind w:left="1440" w:right="72"/>
        <w:contextualSpacing w:val="0"/>
        <w:textAlignment w:val="baseline"/>
        <w:rPr>
          <w:rFonts w:eastAsia="Arial"/>
          <w:b/>
          <w:bCs/>
          <w:color w:val="000000"/>
          <w:spacing w:val="-1"/>
          <w:szCs w:val="24"/>
        </w:rPr>
      </w:pPr>
      <w:r w:rsidRPr="00023CF7">
        <w:rPr>
          <w:rFonts w:eastAsia="Arial"/>
          <w:b/>
          <w:bCs/>
          <w:color w:val="000000"/>
          <w:spacing w:val="-1"/>
          <w:szCs w:val="24"/>
        </w:rPr>
        <w:t>Application of paragraph 32.1(1)(a) of Form 41-101F1:</w:t>
      </w:r>
    </w:p>
    <w:p w14:paraId="00B3798A" w14:textId="7717F996" w:rsidR="00211B28" w:rsidRPr="00023CF7" w:rsidRDefault="00BE1AF7" w:rsidP="00246299">
      <w:pPr>
        <w:pStyle w:val="ListParagraph"/>
        <w:widowControl w:val="0"/>
        <w:numPr>
          <w:ilvl w:val="0"/>
          <w:numId w:val="24"/>
        </w:numPr>
        <w:tabs>
          <w:tab w:val="left" w:pos="1800"/>
        </w:tabs>
        <w:autoSpaceDE w:val="0"/>
        <w:autoSpaceDN w:val="0"/>
        <w:spacing w:after="240" w:line="253" w:lineRule="exact"/>
        <w:ind w:left="1800" w:right="72"/>
        <w:contextualSpacing w:val="0"/>
        <w:textAlignment w:val="baseline"/>
        <w:rPr>
          <w:rFonts w:eastAsia="Arial"/>
          <w:color w:val="000000"/>
          <w:spacing w:val="-1"/>
          <w:szCs w:val="24"/>
        </w:rPr>
      </w:pPr>
      <w:r w:rsidRPr="00023CF7">
        <w:rPr>
          <w:rFonts w:eastAsia="Arial"/>
          <w:color w:val="000000"/>
          <w:spacing w:val="-1"/>
          <w:szCs w:val="24"/>
        </w:rPr>
        <w:t>The issuer must include in the prospectus its audited financial statements for the period from December 21, 2020 (incorporation) to December 31, 2020.</w:t>
      </w:r>
    </w:p>
    <w:p w14:paraId="004A5078" w14:textId="08768479" w:rsidR="00211B28" w:rsidRPr="00023CF7" w:rsidRDefault="00BE1AF7" w:rsidP="00246299">
      <w:pPr>
        <w:pStyle w:val="ListParagraph"/>
        <w:widowControl w:val="0"/>
        <w:numPr>
          <w:ilvl w:val="0"/>
          <w:numId w:val="24"/>
        </w:numPr>
        <w:tabs>
          <w:tab w:val="left" w:pos="1800"/>
        </w:tabs>
        <w:autoSpaceDE w:val="0"/>
        <w:autoSpaceDN w:val="0"/>
        <w:spacing w:after="240" w:line="253" w:lineRule="exact"/>
        <w:ind w:left="1800" w:right="72"/>
        <w:contextualSpacing w:val="0"/>
        <w:textAlignment w:val="baseline"/>
        <w:rPr>
          <w:rFonts w:eastAsia="Arial"/>
          <w:color w:val="000000"/>
          <w:spacing w:val="-1"/>
          <w:szCs w:val="24"/>
        </w:rPr>
      </w:pPr>
      <w:r w:rsidRPr="00023CF7">
        <w:rPr>
          <w:rFonts w:eastAsia="Arial"/>
          <w:color w:val="000000"/>
          <w:spacing w:val="-1"/>
          <w:szCs w:val="24"/>
        </w:rPr>
        <w:t>In addition, the issuer would need to include audited financial statements in accordance with Item 32</w:t>
      </w:r>
      <w:r w:rsidR="00AA58FF" w:rsidRPr="00023CF7">
        <w:rPr>
          <w:rFonts w:eastAsia="Arial"/>
          <w:color w:val="000000"/>
          <w:spacing w:val="-1"/>
          <w:szCs w:val="24"/>
        </w:rPr>
        <w:t xml:space="preserve"> </w:t>
      </w:r>
      <w:r w:rsidR="00AA58FF" w:rsidRPr="00023CF7">
        <w:rPr>
          <w:rFonts w:eastAsia="Arial"/>
          <w:color w:val="000000"/>
          <w:szCs w:val="24"/>
        </w:rPr>
        <w:t>of Form 41-101F1</w:t>
      </w:r>
      <w:r w:rsidRPr="00023CF7">
        <w:rPr>
          <w:rFonts w:eastAsia="Arial"/>
          <w:color w:val="000000"/>
          <w:spacing w:val="-1"/>
          <w:szCs w:val="24"/>
        </w:rPr>
        <w:t xml:space="preserve"> (and related management’s discussion and analysis) for each of the real estate properties that form the basis of the business of the issuer.</w:t>
      </w:r>
    </w:p>
    <w:p w14:paraId="49C05BE9" w14:textId="79BBCC13" w:rsidR="00211B28" w:rsidRPr="00023CF7" w:rsidRDefault="00BE1AF7" w:rsidP="00246299">
      <w:pPr>
        <w:pStyle w:val="ListParagraph"/>
        <w:widowControl w:val="0"/>
        <w:numPr>
          <w:ilvl w:val="0"/>
          <w:numId w:val="24"/>
        </w:numPr>
        <w:tabs>
          <w:tab w:val="left" w:pos="1800"/>
        </w:tabs>
        <w:autoSpaceDE w:val="0"/>
        <w:autoSpaceDN w:val="0"/>
        <w:spacing w:after="240" w:line="253" w:lineRule="exact"/>
        <w:ind w:left="1800" w:right="72"/>
        <w:contextualSpacing w:val="0"/>
        <w:textAlignment w:val="baseline"/>
        <w:rPr>
          <w:rFonts w:eastAsia="Arial"/>
          <w:color w:val="000000"/>
          <w:spacing w:val="-1"/>
          <w:szCs w:val="24"/>
        </w:rPr>
      </w:pPr>
      <w:bookmarkStart w:id="25" w:name="_Hlk74129552"/>
      <w:r w:rsidRPr="00023CF7">
        <w:rPr>
          <w:rFonts w:eastAsia="Arial"/>
          <w:color w:val="000000"/>
          <w:spacing w:val="-1"/>
          <w:szCs w:val="24"/>
        </w:rPr>
        <w:t>If either one or more of the rental properties is immaterial, or if the issuer is not able to provide financial statements for one or more of them, the issuer should utilize the pre-filing procedures in NP 11-202</w:t>
      </w:r>
      <w:bookmarkEnd w:id="24"/>
      <w:bookmarkEnd w:id="25"/>
      <w:r w:rsidR="005900B6" w:rsidRPr="00023CF7">
        <w:rPr>
          <w:szCs w:val="24"/>
        </w:rPr>
        <w:t>.</w:t>
      </w:r>
      <w:r w:rsidR="005900B6" w:rsidRPr="00023CF7">
        <w:rPr>
          <w:b/>
          <w:i/>
          <w:szCs w:val="24"/>
        </w:rPr>
        <w:t>.</w:t>
      </w:r>
    </w:p>
    <w:p w14:paraId="17328021" w14:textId="4E08112A" w:rsidR="00F05CB8" w:rsidRPr="00023CF7" w:rsidRDefault="00BE1AF7" w:rsidP="00023CF7">
      <w:pPr>
        <w:pStyle w:val="ListParagraph"/>
        <w:numPr>
          <w:ilvl w:val="0"/>
          <w:numId w:val="12"/>
        </w:numPr>
        <w:spacing w:after="240"/>
        <w:ind w:hanging="720"/>
        <w:contextualSpacing w:val="0"/>
        <w:rPr>
          <w:b/>
          <w:bCs/>
          <w:szCs w:val="24"/>
        </w:rPr>
      </w:pPr>
      <w:r w:rsidRPr="00023CF7">
        <w:rPr>
          <w:b/>
          <w:bCs/>
          <w:szCs w:val="24"/>
        </w:rPr>
        <w:t>Section 5.5 is changed</w:t>
      </w:r>
      <w:r w:rsidR="00705F59" w:rsidRPr="00023CF7">
        <w:rPr>
          <w:b/>
          <w:bCs/>
          <w:szCs w:val="24"/>
        </w:rPr>
        <w:t xml:space="preserve"> </w:t>
      </w:r>
      <w:r w:rsidR="005900B6" w:rsidRPr="00023CF7">
        <w:rPr>
          <w:b/>
          <w:bCs/>
          <w:i/>
          <w:iCs/>
          <w:szCs w:val="24"/>
        </w:rPr>
        <w:t xml:space="preserve">by </w:t>
      </w:r>
      <w:r w:rsidR="00947E02" w:rsidRPr="00023CF7">
        <w:rPr>
          <w:b/>
          <w:bCs/>
          <w:i/>
          <w:iCs/>
          <w:szCs w:val="24"/>
        </w:rPr>
        <w:t>replacing</w:t>
      </w:r>
      <w:r w:rsidRPr="00023CF7">
        <w:rPr>
          <w:b/>
          <w:bCs/>
          <w:i/>
          <w:iCs/>
          <w:szCs w:val="24"/>
        </w:rPr>
        <w:t xml:space="preserve"> subsection (</w:t>
      </w:r>
      <w:r w:rsidR="005900B6" w:rsidRPr="00023CF7">
        <w:rPr>
          <w:b/>
          <w:bCs/>
          <w:i/>
          <w:iCs/>
          <w:szCs w:val="24"/>
        </w:rPr>
        <w:t>3</w:t>
      </w:r>
      <w:r w:rsidRPr="00023CF7">
        <w:rPr>
          <w:b/>
          <w:bCs/>
          <w:i/>
          <w:iCs/>
          <w:szCs w:val="24"/>
        </w:rPr>
        <w:t>)</w:t>
      </w:r>
      <w:bookmarkStart w:id="26" w:name="_Hlk66717351"/>
      <w:r w:rsidR="00947E02" w:rsidRPr="00023CF7">
        <w:rPr>
          <w:b/>
          <w:bCs/>
          <w:i/>
          <w:iCs/>
          <w:szCs w:val="24"/>
        </w:rPr>
        <w:t xml:space="preserve"> with </w:t>
      </w:r>
      <w:bookmarkStart w:id="27" w:name="_Hlk74123035"/>
      <w:r w:rsidR="00947E02" w:rsidRPr="00023CF7">
        <w:rPr>
          <w:b/>
          <w:bCs/>
          <w:szCs w:val="24"/>
        </w:rPr>
        <w:t>“</w:t>
      </w:r>
      <w:r w:rsidR="00947E02" w:rsidRPr="00023CF7">
        <w:rPr>
          <w:szCs w:val="24"/>
        </w:rPr>
        <w:t>[Lapsed]</w:t>
      </w:r>
      <w:bookmarkEnd w:id="27"/>
      <w:r w:rsidR="00947E02" w:rsidRPr="00023CF7">
        <w:rPr>
          <w:szCs w:val="24"/>
        </w:rPr>
        <w:t>”</w:t>
      </w:r>
      <w:r w:rsidR="005900B6" w:rsidRPr="00023CF7">
        <w:rPr>
          <w:szCs w:val="24"/>
        </w:rPr>
        <w:t>.</w:t>
      </w:r>
      <w:r w:rsidR="005900B6" w:rsidRPr="00023CF7">
        <w:rPr>
          <w:b/>
          <w:i/>
          <w:szCs w:val="24"/>
        </w:rPr>
        <w:t>.</w:t>
      </w:r>
      <w:bookmarkEnd w:id="26"/>
    </w:p>
    <w:p w14:paraId="337F64BC" w14:textId="768A9AFB" w:rsidR="00CC167A" w:rsidRPr="00023CF7" w:rsidRDefault="00BE1AF7" w:rsidP="00023CF7">
      <w:pPr>
        <w:pStyle w:val="ListParagraph"/>
        <w:numPr>
          <w:ilvl w:val="0"/>
          <w:numId w:val="12"/>
        </w:numPr>
        <w:spacing w:after="240"/>
        <w:ind w:left="709" w:hanging="720"/>
        <w:contextualSpacing w:val="0"/>
        <w:rPr>
          <w:b/>
          <w:bCs/>
          <w:i/>
          <w:iCs/>
          <w:szCs w:val="24"/>
        </w:rPr>
      </w:pPr>
      <w:r w:rsidRPr="00023CF7">
        <w:rPr>
          <w:b/>
          <w:bCs/>
          <w:i/>
          <w:iCs/>
          <w:szCs w:val="24"/>
        </w:rPr>
        <w:t xml:space="preserve">Section </w:t>
      </w:r>
      <w:r w:rsidR="005900B6" w:rsidRPr="00023CF7">
        <w:rPr>
          <w:b/>
          <w:bCs/>
          <w:i/>
          <w:iCs/>
          <w:szCs w:val="24"/>
        </w:rPr>
        <w:t xml:space="preserve">5.7 is </w:t>
      </w:r>
      <w:r w:rsidR="00947E02" w:rsidRPr="00023CF7">
        <w:rPr>
          <w:b/>
          <w:bCs/>
          <w:i/>
          <w:iCs/>
          <w:szCs w:val="24"/>
        </w:rPr>
        <w:t xml:space="preserve">changed by </w:t>
      </w:r>
      <w:r w:rsidR="005900B6" w:rsidRPr="00023CF7">
        <w:rPr>
          <w:b/>
          <w:bCs/>
          <w:i/>
          <w:iCs/>
          <w:szCs w:val="24"/>
        </w:rPr>
        <w:t>replac</w:t>
      </w:r>
      <w:r w:rsidR="00947E02" w:rsidRPr="00023CF7">
        <w:rPr>
          <w:b/>
          <w:bCs/>
          <w:i/>
          <w:iCs/>
          <w:szCs w:val="24"/>
        </w:rPr>
        <w:t>ing the text</w:t>
      </w:r>
      <w:r w:rsidR="005900B6" w:rsidRPr="00023CF7">
        <w:rPr>
          <w:b/>
          <w:bCs/>
          <w:i/>
          <w:iCs/>
          <w:szCs w:val="24"/>
        </w:rPr>
        <w:t xml:space="preserve"> with the following</w:t>
      </w:r>
      <w:r w:rsidR="003D36B3" w:rsidRPr="00023CF7">
        <w:rPr>
          <w:b/>
          <w:bCs/>
          <w:i/>
          <w:iCs/>
          <w:szCs w:val="24"/>
        </w:rPr>
        <w:t>:</w:t>
      </w:r>
    </w:p>
    <w:p w14:paraId="105612A0" w14:textId="3665D202" w:rsidR="005900B6" w:rsidRPr="00023CF7" w:rsidRDefault="00BE1AF7" w:rsidP="00023CF7">
      <w:pPr>
        <w:spacing w:after="240" w:line="252" w:lineRule="exact"/>
        <w:ind w:left="709"/>
        <w:textAlignment w:val="baseline"/>
        <w:rPr>
          <w:rFonts w:eastAsia="Arial"/>
          <w:b/>
          <w:color w:val="000000"/>
          <w:szCs w:val="24"/>
        </w:rPr>
      </w:pPr>
      <w:r w:rsidRPr="00023CF7">
        <w:rPr>
          <w:rFonts w:eastAsia="Arial"/>
          <w:b/>
          <w:color w:val="000000"/>
          <w:szCs w:val="24"/>
        </w:rPr>
        <w:t>Additional information that may be required</w:t>
      </w:r>
    </w:p>
    <w:p w14:paraId="3813C8D2" w14:textId="01CDFF3D" w:rsidR="005900B6" w:rsidRPr="00023CF7" w:rsidRDefault="00BE1AF7" w:rsidP="00246299">
      <w:pPr>
        <w:tabs>
          <w:tab w:val="left" w:pos="1080"/>
          <w:tab w:val="left" w:pos="1440"/>
        </w:tabs>
        <w:spacing w:after="240" w:line="253" w:lineRule="exact"/>
        <w:ind w:left="1440" w:right="144" w:hanging="720"/>
        <w:textAlignment w:val="baseline"/>
        <w:rPr>
          <w:rFonts w:eastAsia="Arial"/>
          <w:color w:val="000000"/>
          <w:spacing w:val="-1"/>
          <w:szCs w:val="24"/>
        </w:rPr>
      </w:pPr>
      <w:r w:rsidRPr="00023CF7">
        <w:rPr>
          <w:rFonts w:eastAsia="Arial"/>
          <w:b/>
          <w:color w:val="000000"/>
          <w:spacing w:val="-1"/>
          <w:szCs w:val="24"/>
        </w:rPr>
        <w:t>5.7</w:t>
      </w:r>
      <w:bookmarkStart w:id="28" w:name="_Hlk74123186"/>
      <w:r w:rsidR="00246299">
        <w:rPr>
          <w:rFonts w:eastAsia="Arial"/>
          <w:b/>
          <w:color w:val="000000"/>
          <w:spacing w:val="-1"/>
          <w:szCs w:val="24"/>
        </w:rPr>
        <w:tab/>
      </w:r>
      <w:r w:rsidRPr="00023CF7">
        <w:rPr>
          <w:rFonts w:eastAsia="Arial"/>
          <w:b/>
          <w:color w:val="000000"/>
          <w:spacing w:val="-1"/>
          <w:szCs w:val="24"/>
        </w:rPr>
        <w:t>(1)</w:t>
      </w:r>
      <w:bookmarkEnd w:id="28"/>
      <w:r w:rsidRPr="00023CF7">
        <w:rPr>
          <w:rFonts w:eastAsia="Arial"/>
          <w:b/>
          <w:color w:val="000000"/>
          <w:spacing w:val="-1"/>
          <w:szCs w:val="24"/>
        </w:rPr>
        <w:tab/>
      </w:r>
      <w:r w:rsidRPr="00023CF7">
        <w:rPr>
          <w:rFonts w:eastAsia="Arial"/>
          <w:color w:val="000000"/>
          <w:spacing w:val="-1"/>
          <w:szCs w:val="24"/>
        </w:rPr>
        <w:t xml:space="preserve">In order to meet the requirement for full, true and plain disclosure contained in securities legislation, an issuer may be required to include certain additional financial information in its long form prospectus. </w:t>
      </w:r>
      <w:bookmarkStart w:id="29" w:name="_Hlk74124176"/>
      <w:r w:rsidRPr="00023CF7">
        <w:rPr>
          <w:rFonts w:eastAsia="Arial"/>
          <w:color w:val="000000"/>
          <w:spacing w:val="-1"/>
          <w:szCs w:val="24"/>
        </w:rPr>
        <w:t>For instance, in exceptional circumstances</w:t>
      </w:r>
      <w:bookmarkEnd w:id="29"/>
      <w:r w:rsidRPr="00023CF7">
        <w:rPr>
          <w:rFonts w:eastAsia="Arial"/>
          <w:color w:val="000000"/>
          <w:spacing w:val="-1"/>
          <w:szCs w:val="24"/>
        </w:rPr>
        <w:t xml:space="preserve">, </w:t>
      </w:r>
      <w:bookmarkStart w:id="30" w:name="_Hlk74124383"/>
      <w:r w:rsidRPr="00023CF7">
        <w:rPr>
          <w:rFonts w:eastAsia="Arial"/>
          <w:color w:val="000000"/>
          <w:spacing w:val="-1"/>
          <w:szCs w:val="24"/>
        </w:rPr>
        <w:t xml:space="preserve">we may require </w:t>
      </w:r>
      <w:bookmarkEnd w:id="30"/>
      <w:r w:rsidRPr="00023CF7">
        <w:rPr>
          <w:rFonts w:eastAsia="Arial"/>
          <w:color w:val="000000"/>
          <w:spacing w:val="-1"/>
          <w:szCs w:val="24"/>
        </w:rPr>
        <w:t xml:space="preserve">separate financial statements of a subsidiary of the issuer, </w:t>
      </w:r>
      <w:bookmarkStart w:id="31" w:name="_Hlk74124423"/>
      <w:r w:rsidRPr="00023CF7">
        <w:rPr>
          <w:rFonts w:eastAsia="Arial"/>
          <w:color w:val="000000"/>
          <w:spacing w:val="-1"/>
          <w:szCs w:val="24"/>
        </w:rPr>
        <w:t>even if that subsidiary is included in the consolidated financial statements of the issuer</w:t>
      </w:r>
      <w:bookmarkEnd w:id="31"/>
      <w:r w:rsidRPr="00023CF7">
        <w:rPr>
          <w:rFonts w:eastAsia="Arial"/>
          <w:color w:val="000000"/>
          <w:spacing w:val="-1"/>
          <w:szCs w:val="24"/>
        </w:rPr>
        <w:t>. This exception may be necessary to help explain the risk profile and nature of the operations of the subsidiary.</w:t>
      </w:r>
    </w:p>
    <w:p w14:paraId="69CF46EA" w14:textId="62611209" w:rsidR="005900B6" w:rsidRPr="00023CF7" w:rsidRDefault="00BE1AF7" w:rsidP="00246299">
      <w:pPr>
        <w:spacing w:after="240" w:line="252" w:lineRule="exact"/>
        <w:ind w:left="1440" w:right="72" w:hanging="360"/>
        <w:textAlignment w:val="baseline"/>
        <w:rPr>
          <w:rFonts w:eastAsia="Arial"/>
          <w:color w:val="000000"/>
          <w:spacing w:val="-1"/>
          <w:szCs w:val="24"/>
        </w:rPr>
      </w:pPr>
      <w:bookmarkStart w:id="32" w:name="_Hlk74124489"/>
      <w:r w:rsidRPr="00023CF7">
        <w:rPr>
          <w:rFonts w:eastAsia="Arial"/>
          <w:b/>
          <w:color w:val="000000"/>
          <w:spacing w:val="-1"/>
          <w:szCs w:val="24"/>
        </w:rPr>
        <w:t>(2)</w:t>
      </w:r>
      <w:r w:rsidRPr="00023CF7">
        <w:rPr>
          <w:rFonts w:eastAsia="Arial"/>
          <w:color w:val="000000"/>
          <w:spacing w:val="-1"/>
          <w:szCs w:val="24"/>
        </w:rPr>
        <w:t xml:space="preserve"> </w:t>
      </w:r>
      <w:r w:rsidR="00A34FBB" w:rsidRPr="00023CF7">
        <w:rPr>
          <w:rFonts w:eastAsia="Arial"/>
          <w:color w:val="000000"/>
          <w:spacing w:val="-1"/>
          <w:szCs w:val="24"/>
        </w:rPr>
        <w:tab/>
      </w:r>
      <w:r w:rsidRPr="00023CF7">
        <w:rPr>
          <w:rFonts w:eastAsia="Arial"/>
          <w:color w:val="000000"/>
          <w:spacing w:val="-1"/>
          <w:szCs w:val="24"/>
        </w:rPr>
        <w:t xml:space="preserve">There may be other exceptional scenarios where issuers may be required to include additional financial information, other than financial statements, in a prospectus in order for the prospectus to meet the requirement for full, true and plain disclosure. An example would be where an issuer incurred significant </w:t>
      </w:r>
      <w:r w:rsidRPr="00023CF7">
        <w:rPr>
          <w:rFonts w:eastAsia="Arial"/>
          <w:color w:val="000000"/>
          <w:spacing w:val="-1"/>
          <w:szCs w:val="24"/>
        </w:rPr>
        <w:lastRenderedPageBreak/>
        <w:t>growth through one or more acquisitions prior to the IPO filing resulting in insufficient financial history of the primary business as disclosed in the prospectus and one of the following situations occurred:</w:t>
      </w:r>
    </w:p>
    <w:p w14:paraId="71019D5B" w14:textId="3E68965B" w:rsidR="005900B6" w:rsidRPr="00023CF7" w:rsidRDefault="00BE1AF7" w:rsidP="00246299">
      <w:pPr>
        <w:pStyle w:val="ListParagraph"/>
        <w:widowControl w:val="0"/>
        <w:numPr>
          <w:ilvl w:val="0"/>
          <w:numId w:val="26"/>
        </w:numPr>
        <w:autoSpaceDE w:val="0"/>
        <w:autoSpaceDN w:val="0"/>
        <w:spacing w:after="240" w:line="252" w:lineRule="exact"/>
        <w:ind w:left="1800" w:right="72"/>
        <w:contextualSpacing w:val="0"/>
        <w:textAlignment w:val="baseline"/>
        <w:rPr>
          <w:rFonts w:eastAsia="Arial"/>
          <w:color w:val="000000"/>
          <w:spacing w:val="-1"/>
          <w:szCs w:val="24"/>
        </w:rPr>
      </w:pPr>
      <w:r w:rsidRPr="00023CF7">
        <w:rPr>
          <w:rFonts w:eastAsia="Arial"/>
          <w:color w:val="000000"/>
          <w:spacing w:val="-1"/>
          <w:szCs w:val="24"/>
        </w:rPr>
        <w:t>an IPO venture issuer acquired or proposes to acquire a business that would result in any applicable significance test, as calculated in section 8.3 of NI 51-102, close to exceeding the 100% threshold</w:t>
      </w:r>
      <w:r w:rsidR="00EE3918" w:rsidRPr="00023CF7">
        <w:rPr>
          <w:rFonts w:eastAsia="Arial"/>
          <w:color w:val="000000"/>
          <w:spacing w:val="-1"/>
          <w:szCs w:val="24"/>
        </w:rPr>
        <w:t>;</w:t>
      </w:r>
    </w:p>
    <w:p w14:paraId="771A8CF6" w14:textId="45C4D725" w:rsidR="005900B6" w:rsidRPr="00023CF7" w:rsidRDefault="00BE1AF7" w:rsidP="00246299">
      <w:pPr>
        <w:pStyle w:val="ListParagraph"/>
        <w:widowControl w:val="0"/>
        <w:numPr>
          <w:ilvl w:val="0"/>
          <w:numId w:val="26"/>
        </w:numPr>
        <w:autoSpaceDE w:val="0"/>
        <w:autoSpaceDN w:val="0"/>
        <w:spacing w:after="240" w:line="252" w:lineRule="exact"/>
        <w:ind w:left="1800" w:right="72"/>
        <w:contextualSpacing w:val="0"/>
        <w:textAlignment w:val="baseline"/>
        <w:rPr>
          <w:rFonts w:eastAsia="Arial"/>
          <w:color w:val="000000"/>
          <w:spacing w:val="-1"/>
          <w:szCs w:val="24"/>
        </w:rPr>
      </w:pPr>
      <w:r w:rsidRPr="00023CF7">
        <w:rPr>
          <w:rFonts w:eastAsia="Arial"/>
          <w:color w:val="000000"/>
          <w:spacing w:val="-1"/>
          <w:szCs w:val="24"/>
        </w:rPr>
        <w:t>the issuer made or proposed to make one or more acquisitions during the relevant period, but financial disclosure was not triggered by Items 32 or 35 of Form</w:t>
      </w:r>
      <w:r w:rsidR="00023CF7">
        <w:rPr>
          <w:rFonts w:eastAsia="Arial"/>
          <w:color w:val="000000"/>
          <w:spacing w:val="-1"/>
          <w:szCs w:val="24"/>
        </w:rPr>
        <w:t> </w:t>
      </w:r>
      <w:r w:rsidRPr="00023CF7">
        <w:rPr>
          <w:rFonts w:eastAsia="Arial"/>
          <w:color w:val="000000"/>
          <w:spacing w:val="-1"/>
          <w:szCs w:val="24"/>
        </w:rPr>
        <w:t>41</w:t>
      </w:r>
      <w:r w:rsidR="00023CF7">
        <w:rPr>
          <w:rFonts w:eastAsia="Arial"/>
          <w:color w:val="000000"/>
          <w:spacing w:val="-1"/>
          <w:szCs w:val="24"/>
        </w:rPr>
        <w:noBreakHyphen/>
      </w:r>
      <w:r w:rsidRPr="00023CF7">
        <w:rPr>
          <w:rFonts w:eastAsia="Arial"/>
          <w:color w:val="000000"/>
          <w:spacing w:val="-1"/>
          <w:szCs w:val="24"/>
        </w:rPr>
        <w:t>101F1</w:t>
      </w:r>
      <w:r w:rsidR="00EE3918" w:rsidRPr="00023CF7">
        <w:rPr>
          <w:rFonts w:eastAsia="Arial"/>
          <w:color w:val="000000"/>
          <w:spacing w:val="-1"/>
          <w:szCs w:val="24"/>
        </w:rPr>
        <w:t>;</w:t>
      </w:r>
    </w:p>
    <w:p w14:paraId="73DD4C3C" w14:textId="2B7E8155" w:rsidR="005900B6" w:rsidRPr="00023CF7" w:rsidRDefault="00BE1AF7" w:rsidP="00246299">
      <w:pPr>
        <w:pStyle w:val="ListParagraph"/>
        <w:widowControl w:val="0"/>
        <w:numPr>
          <w:ilvl w:val="0"/>
          <w:numId w:val="26"/>
        </w:numPr>
        <w:autoSpaceDE w:val="0"/>
        <w:autoSpaceDN w:val="0"/>
        <w:spacing w:after="240" w:line="252" w:lineRule="exact"/>
        <w:ind w:left="1800" w:right="72"/>
        <w:contextualSpacing w:val="0"/>
        <w:textAlignment w:val="baseline"/>
        <w:rPr>
          <w:rFonts w:eastAsia="Arial"/>
          <w:color w:val="000000"/>
          <w:spacing w:val="-1"/>
          <w:szCs w:val="24"/>
        </w:rPr>
      </w:pPr>
      <w:r w:rsidRPr="00023CF7">
        <w:rPr>
          <w:rFonts w:eastAsia="Arial"/>
          <w:color w:val="000000"/>
          <w:spacing w:val="-1"/>
          <w:szCs w:val="24"/>
        </w:rPr>
        <w:t>the issuer completed a relatively large number of unrelated and individually immaterial acquisitions (that are not predecessor entities) in the relevant periods prior to filing the prospectus.</w:t>
      </w:r>
    </w:p>
    <w:p w14:paraId="4227F481" w14:textId="77777777" w:rsidR="005900B6" w:rsidRPr="00023CF7" w:rsidRDefault="00BE1AF7" w:rsidP="00246299">
      <w:pPr>
        <w:tabs>
          <w:tab w:val="left" w:pos="1418"/>
        </w:tabs>
        <w:spacing w:after="240" w:line="252" w:lineRule="exact"/>
        <w:ind w:left="1440" w:right="72"/>
        <w:textAlignment w:val="baseline"/>
        <w:rPr>
          <w:rFonts w:eastAsia="Arial"/>
          <w:color w:val="000000"/>
          <w:spacing w:val="-1"/>
          <w:szCs w:val="24"/>
        </w:rPr>
      </w:pPr>
      <w:r w:rsidRPr="00023CF7">
        <w:rPr>
          <w:rFonts w:eastAsia="Arial"/>
          <w:color w:val="000000"/>
          <w:spacing w:val="-1"/>
          <w:szCs w:val="24"/>
        </w:rPr>
        <w:t>The types of additional financial information that might be necessary to meet the full, true and plain disclosure standard will vary on a case-by-case basis but may include:</w:t>
      </w:r>
    </w:p>
    <w:p w14:paraId="3A62A73A" w14:textId="438F8364" w:rsidR="005900B6" w:rsidRPr="00023CF7" w:rsidRDefault="00BE1AF7" w:rsidP="00246299">
      <w:pPr>
        <w:pStyle w:val="ListParagraph"/>
        <w:widowControl w:val="0"/>
        <w:numPr>
          <w:ilvl w:val="0"/>
          <w:numId w:val="27"/>
        </w:numPr>
        <w:autoSpaceDE w:val="0"/>
        <w:autoSpaceDN w:val="0"/>
        <w:spacing w:after="240" w:line="252" w:lineRule="exact"/>
        <w:ind w:left="1800" w:right="72"/>
        <w:contextualSpacing w:val="0"/>
        <w:textAlignment w:val="baseline"/>
        <w:rPr>
          <w:rFonts w:eastAsia="Arial"/>
          <w:color w:val="000000"/>
          <w:spacing w:val="-1"/>
          <w:szCs w:val="24"/>
        </w:rPr>
      </w:pPr>
      <w:r w:rsidRPr="00023CF7">
        <w:rPr>
          <w:rFonts w:eastAsia="Arial"/>
          <w:color w:val="000000"/>
          <w:spacing w:val="-1"/>
          <w:szCs w:val="24"/>
        </w:rPr>
        <w:t>property or business valuation reports;</w:t>
      </w:r>
    </w:p>
    <w:p w14:paraId="75B62280" w14:textId="533A137E" w:rsidR="005900B6" w:rsidRPr="00023CF7" w:rsidRDefault="00BE1AF7" w:rsidP="00246299">
      <w:pPr>
        <w:pStyle w:val="ListParagraph"/>
        <w:widowControl w:val="0"/>
        <w:numPr>
          <w:ilvl w:val="0"/>
          <w:numId w:val="27"/>
        </w:numPr>
        <w:autoSpaceDE w:val="0"/>
        <w:autoSpaceDN w:val="0"/>
        <w:spacing w:after="240" w:line="252" w:lineRule="exact"/>
        <w:ind w:left="1800" w:right="72"/>
        <w:contextualSpacing w:val="0"/>
        <w:textAlignment w:val="baseline"/>
        <w:rPr>
          <w:rFonts w:eastAsia="Arial"/>
          <w:color w:val="000000"/>
          <w:spacing w:val="-1"/>
          <w:szCs w:val="24"/>
        </w:rPr>
      </w:pPr>
      <w:r w:rsidRPr="00023CF7">
        <w:rPr>
          <w:rFonts w:eastAsia="Arial"/>
          <w:color w:val="000000"/>
          <w:spacing w:val="-1"/>
          <w:szCs w:val="24"/>
        </w:rPr>
        <w:t>forecasted cash flow information;</w:t>
      </w:r>
    </w:p>
    <w:p w14:paraId="67567ECF" w14:textId="760A98A5" w:rsidR="005900B6" w:rsidRPr="00023CF7" w:rsidRDefault="00BE1AF7" w:rsidP="00246299">
      <w:pPr>
        <w:pStyle w:val="ListParagraph"/>
        <w:widowControl w:val="0"/>
        <w:numPr>
          <w:ilvl w:val="0"/>
          <w:numId w:val="27"/>
        </w:numPr>
        <w:autoSpaceDE w:val="0"/>
        <w:autoSpaceDN w:val="0"/>
        <w:spacing w:after="240" w:line="252" w:lineRule="exact"/>
        <w:ind w:left="1800" w:right="72"/>
        <w:contextualSpacing w:val="0"/>
        <w:textAlignment w:val="baseline"/>
        <w:rPr>
          <w:rFonts w:eastAsia="Arial"/>
          <w:color w:val="000000"/>
          <w:spacing w:val="-1"/>
          <w:szCs w:val="24"/>
        </w:rPr>
      </w:pPr>
      <w:r w:rsidRPr="00023CF7">
        <w:rPr>
          <w:rFonts w:eastAsia="Arial"/>
          <w:color w:val="000000"/>
          <w:spacing w:val="-1"/>
          <w:szCs w:val="24"/>
        </w:rPr>
        <w:t>additional disclosure about an acquired business, such as key financial information that explain the financial performance and operations of that business prior to its acquisition.</w:t>
      </w:r>
    </w:p>
    <w:p w14:paraId="01B30C82" w14:textId="62D19E2D" w:rsidR="005900B6" w:rsidRPr="00023CF7" w:rsidRDefault="00BE1AF7" w:rsidP="00246299">
      <w:pPr>
        <w:spacing w:after="240" w:line="252" w:lineRule="exact"/>
        <w:ind w:left="1440" w:right="72"/>
        <w:textAlignment w:val="baseline"/>
        <w:rPr>
          <w:rFonts w:eastAsia="Arial"/>
          <w:color w:val="000000"/>
          <w:spacing w:val="-1"/>
          <w:szCs w:val="24"/>
        </w:rPr>
      </w:pPr>
      <w:r w:rsidRPr="00023CF7">
        <w:rPr>
          <w:rFonts w:eastAsia="Arial"/>
          <w:color w:val="000000"/>
          <w:spacing w:val="-1"/>
          <w:szCs w:val="24"/>
        </w:rPr>
        <w:t>If an issuer thinks that it might fall into an exceptional circumstance where additional financial information might be required, it could utilize the pre-filing procedures in NP 11-202.</w:t>
      </w:r>
    </w:p>
    <w:p w14:paraId="73E0C0EC" w14:textId="39715976" w:rsidR="005900B6" w:rsidRPr="00023CF7" w:rsidRDefault="00BE1AF7" w:rsidP="00246299">
      <w:pPr>
        <w:spacing w:after="240"/>
        <w:ind w:left="1440" w:hanging="360"/>
        <w:rPr>
          <w:b/>
          <w:bCs/>
          <w:i/>
          <w:iCs/>
          <w:szCs w:val="24"/>
        </w:rPr>
      </w:pPr>
      <w:bookmarkStart w:id="33" w:name="_Hlk74143362"/>
      <w:r w:rsidRPr="00023CF7">
        <w:rPr>
          <w:rFonts w:eastAsia="Arial"/>
          <w:b/>
          <w:color w:val="000000"/>
          <w:spacing w:val="-1"/>
          <w:szCs w:val="24"/>
        </w:rPr>
        <w:t>(3)</w:t>
      </w:r>
      <w:r w:rsidRPr="00023CF7">
        <w:rPr>
          <w:rFonts w:eastAsia="Arial"/>
          <w:color w:val="000000"/>
          <w:spacing w:val="-1"/>
          <w:szCs w:val="24"/>
        </w:rPr>
        <w:t xml:space="preserve"> </w:t>
      </w:r>
      <w:bookmarkEnd w:id="33"/>
      <w:r w:rsidR="00A34FBB" w:rsidRPr="00023CF7">
        <w:rPr>
          <w:rFonts w:eastAsia="Arial"/>
          <w:color w:val="000000"/>
          <w:spacing w:val="-1"/>
          <w:szCs w:val="24"/>
        </w:rPr>
        <w:tab/>
      </w:r>
      <w:r w:rsidRPr="00023CF7">
        <w:rPr>
          <w:rFonts w:eastAsia="Arial"/>
          <w:color w:val="000000"/>
          <w:spacing w:val="-1"/>
          <w:szCs w:val="24"/>
        </w:rPr>
        <w:t>If the issuer cannot provide sufficient financial history reflected in the financial statements in a prospectus or the prospectus does not otherwise contain information concerning the business conducted or to be conducted by the issuer that is sufficient to enable an investor to make an informed investment decision, we would consider this important when determining whether the prospectus provides full, true and plain disclosure of all material facts relating to the securities being distributed</w:t>
      </w:r>
      <w:bookmarkEnd w:id="32"/>
      <w:r w:rsidRPr="00023CF7">
        <w:rPr>
          <w:szCs w:val="24"/>
        </w:rPr>
        <w:t>.</w:t>
      </w:r>
      <w:r w:rsidRPr="00023CF7">
        <w:rPr>
          <w:b/>
          <w:i/>
          <w:szCs w:val="24"/>
        </w:rPr>
        <w:t>.</w:t>
      </w:r>
    </w:p>
    <w:p w14:paraId="053EA346" w14:textId="777AABD1" w:rsidR="003D36B3" w:rsidRPr="00023CF7" w:rsidRDefault="00BE1AF7" w:rsidP="00023CF7">
      <w:pPr>
        <w:pStyle w:val="ListParagraph"/>
        <w:numPr>
          <w:ilvl w:val="0"/>
          <w:numId w:val="12"/>
        </w:numPr>
        <w:spacing w:after="240"/>
        <w:ind w:hanging="720"/>
        <w:contextualSpacing w:val="0"/>
        <w:rPr>
          <w:b/>
          <w:bCs/>
          <w:i/>
          <w:iCs/>
          <w:szCs w:val="24"/>
        </w:rPr>
      </w:pPr>
      <w:bookmarkStart w:id="34" w:name="_Hlk66717156"/>
      <w:r w:rsidRPr="00023CF7">
        <w:rPr>
          <w:b/>
          <w:bCs/>
          <w:i/>
          <w:iCs/>
          <w:szCs w:val="24"/>
        </w:rPr>
        <w:t>S</w:t>
      </w:r>
      <w:r w:rsidR="00856A84" w:rsidRPr="00023CF7">
        <w:rPr>
          <w:b/>
          <w:bCs/>
          <w:i/>
          <w:iCs/>
          <w:szCs w:val="24"/>
        </w:rPr>
        <w:t>ubs</w:t>
      </w:r>
      <w:r w:rsidRPr="00023CF7">
        <w:rPr>
          <w:b/>
          <w:bCs/>
          <w:i/>
          <w:iCs/>
          <w:szCs w:val="24"/>
        </w:rPr>
        <w:t xml:space="preserve">ection </w:t>
      </w:r>
      <w:r w:rsidR="00856A84" w:rsidRPr="00023CF7">
        <w:rPr>
          <w:b/>
          <w:bCs/>
          <w:i/>
          <w:iCs/>
          <w:szCs w:val="24"/>
        </w:rPr>
        <w:t>5.8 (2) is changed by adding "</w:t>
      </w:r>
      <w:r w:rsidR="00856A84" w:rsidRPr="00023CF7">
        <w:rPr>
          <w:bCs/>
          <w:iCs/>
          <w:szCs w:val="24"/>
        </w:rPr>
        <w:t>that</w:t>
      </w:r>
      <w:r w:rsidR="00856A84" w:rsidRPr="00023CF7">
        <w:rPr>
          <w:b/>
          <w:bCs/>
          <w:i/>
          <w:iCs/>
          <w:szCs w:val="24"/>
        </w:rPr>
        <w:t>" immediately before "</w:t>
      </w:r>
      <w:r w:rsidR="00856A84" w:rsidRPr="00023CF7">
        <w:rPr>
          <w:bCs/>
          <w:iCs/>
          <w:szCs w:val="24"/>
        </w:rPr>
        <w:t>an issuer’s comparative financial statements be accompanied by an auditors’ report</w:t>
      </w:r>
      <w:r w:rsidR="00856A84" w:rsidRPr="00023CF7">
        <w:rPr>
          <w:b/>
          <w:bCs/>
          <w:i/>
          <w:iCs/>
          <w:szCs w:val="24"/>
        </w:rPr>
        <w:t>"</w:t>
      </w:r>
      <w:r w:rsidR="00BB1924" w:rsidRPr="00023CF7">
        <w:rPr>
          <w:szCs w:val="24"/>
        </w:rPr>
        <w:t>.</w:t>
      </w:r>
      <w:r w:rsidR="00BB1924" w:rsidRPr="00023CF7">
        <w:rPr>
          <w:b/>
          <w:i/>
          <w:szCs w:val="24"/>
        </w:rPr>
        <w:t>.</w:t>
      </w:r>
    </w:p>
    <w:p w14:paraId="1A12E014" w14:textId="0C29CBF2" w:rsidR="006D43EF" w:rsidRPr="00023CF7" w:rsidRDefault="00BE1AF7" w:rsidP="00023CF7">
      <w:pPr>
        <w:pStyle w:val="ListParagraph"/>
        <w:numPr>
          <w:ilvl w:val="0"/>
          <w:numId w:val="12"/>
        </w:numPr>
        <w:spacing w:after="240"/>
        <w:ind w:hanging="720"/>
        <w:contextualSpacing w:val="0"/>
        <w:rPr>
          <w:szCs w:val="24"/>
        </w:rPr>
      </w:pPr>
      <w:r w:rsidRPr="00023CF7">
        <w:rPr>
          <w:b/>
          <w:bCs/>
          <w:i/>
          <w:iCs/>
          <w:szCs w:val="24"/>
        </w:rPr>
        <w:t>S</w:t>
      </w:r>
      <w:r w:rsidR="00F66268" w:rsidRPr="00023CF7">
        <w:rPr>
          <w:b/>
          <w:bCs/>
          <w:i/>
          <w:iCs/>
          <w:szCs w:val="24"/>
        </w:rPr>
        <w:t>ubs</w:t>
      </w:r>
      <w:r w:rsidRPr="00023CF7">
        <w:rPr>
          <w:b/>
          <w:bCs/>
          <w:i/>
          <w:iCs/>
          <w:szCs w:val="24"/>
        </w:rPr>
        <w:t>ection 5.9</w:t>
      </w:r>
      <w:r w:rsidR="00F66268" w:rsidRPr="00023CF7">
        <w:rPr>
          <w:b/>
          <w:bCs/>
          <w:i/>
          <w:iCs/>
          <w:szCs w:val="24"/>
        </w:rPr>
        <w:t xml:space="preserve"> (2)</w:t>
      </w:r>
      <w:r w:rsidRPr="00023CF7">
        <w:rPr>
          <w:b/>
          <w:bCs/>
          <w:i/>
          <w:iCs/>
          <w:szCs w:val="24"/>
        </w:rPr>
        <w:t xml:space="preserve"> is changed</w:t>
      </w:r>
      <w:r w:rsidR="0019006F" w:rsidRPr="00023CF7">
        <w:rPr>
          <w:b/>
          <w:bCs/>
          <w:i/>
          <w:iCs/>
          <w:szCs w:val="24"/>
        </w:rPr>
        <w:t xml:space="preserve"> </w:t>
      </w:r>
      <w:r w:rsidRPr="00023CF7">
        <w:rPr>
          <w:b/>
          <w:bCs/>
          <w:i/>
          <w:iCs/>
          <w:szCs w:val="24"/>
        </w:rPr>
        <w:t xml:space="preserve">by replacing the text </w:t>
      </w:r>
      <w:r w:rsidR="00EE3918" w:rsidRPr="00023CF7">
        <w:rPr>
          <w:b/>
          <w:bCs/>
          <w:i/>
          <w:iCs/>
          <w:szCs w:val="24"/>
        </w:rPr>
        <w:t>with</w:t>
      </w:r>
      <w:r w:rsidRPr="00023CF7">
        <w:rPr>
          <w:b/>
          <w:bCs/>
          <w:i/>
          <w:iCs/>
          <w:szCs w:val="24"/>
        </w:rPr>
        <w:t xml:space="preserve"> the following</w:t>
      </w:r>
      <w:r w:rsidRPr="00023CF7">
        <w:rPr>
          <w:szCs w:val="24"/>
        </w:rPr>
        <w:t>:</w:t>
      </w:r>
    </w:p>
    <w:p w14:paraId="10DD305E" w14:textId="77777777" w:rsidR="00AB142E" w:rsidRPr="00023CF7" w:rsidRDefault="00BE1AF7" w:rsidP="00023CF7">
      <w:pPr>
        <w:spacing w:after="240" w:line="273" w:lineRule="exact"/>
        <w:ind w:left="709" w:right="216"/>
        <w:textAlignment w:val="baseline"/>
        <w:rPr>
          <w:b/>
          <w:color w:val="000000"/>
          <w:szCs w:val="24"/>
        </w:rPr>
      </w:pPr>
      <w:r w:rsidRPr="00023CF7">
        <w:rPr>
          <w:b/>
          <w:color w:val="000000"/>
          <w:szCs w:val="24"/>
        </w:rPr>
        <w:t>Completed significant acquisitions and the obligation to provide business acquisition report level disclosure for a non-reporting issuer</w:t>
      </w:r>
    </w:p>
    <w:p w14:paraId="647CF954" w14:textId="066E37E1" w:rsidR="00E40713" w:rsidRPr="00023CF7" w:rsidRDefault="00BE1AF7" w:rsidP="00246299">
      <w:pPr>
        <w:tabs>
          <w:tab w:val="left" w:pos="1418"/>
        </w:tabs>
        <w:spacing w:after="240" w:line="252" w:lineRule="exact"/>
        <w:ind w:left="1080" w:right="288" w:hanging="371"/>
        <w:textAlignment w:val="baseline"/>
        <w:rPr>
          <w:rFonts w:eastAsia="Arial"/>
          <w:color w:val="000000"/>
          <w:szCs w:val="24"/>
        </w:rPr>
      </w:pPr>
      <w:r w:rsidRPr="00023CF7">
        <w:rPr>
          <w:rFonts w:eastAsia="Arial"/>
          <w:b/>
          <w:color w:val="000000"/>
          <w:spacing w:val="-1"/>
          <w:szCs w:val="24"/>
        </w:rPr>
        <w:t>(2)</w:t>
      </w:r>
      <w:r w:rsidR="001879A8" w:rsidRPr="00023CF7">
        <w:rPr>
          <w:rFonts w:eastAsia="Arial"/>
          <w:color w:val="000000"/>
          <w:szCs w:val="24"/>
        </w:rPr>
        <w:tab/>
        <w:t xml:space="preserve">For an issuer that is not a reporting issuer in any jurisdiction immediately prior to filing the long form prospectus (a “non-reporting issuer”), the long form </w:t>
      </w:r>
      <w:r w:rsidR="001879A8" w:rsidRPr="00023CF7">
        <w:rPr>
          <w:rFonts w:eastAsia="Arial"/>
          <w:color w:val="000000"/>
          <w:szCs w:val="24"/>
        </w:rPr>
        <w:lastRenderedPageBreak/>
        <w:t>prospectus disclosure requirements for a significant acquisition are generally intended to mirror those for reporting issuers subject to Part 8 of NI 51-102. To determine whether an acquisition is significant, non-reporting issuers would first look to the guidance under section 8.3 of NI 51-102.</w:t>
      </w:r>
    </w:p>
    <w:p w14:paraId="2AFDE4F5" w14:textId="4E07A8C8" w:rsidR="00E40713" w:rsidRPr="00023CF7" w:rsidRDefault="00BE1AF7" w:rsidP="00246299">
      <w:pPr>
        <w:tabs>
          <w:tab w:val="left" w:pos="1418"/>
        </w:tabs>
        <w:spacing w:after="240" w:line="252" w:lineRule="exact"/>
        <w:ind w:left="1080" w:right="72"/>
        <w:textAlignment w:val="baseline"/>
        <w:rPr>
          <w:rFonts w:eastAsia="Arial"/>
          <w:color w:val="000000"/>
          <w:szCs w:val="24"/>
        </w:rPr>
      </w:pPr>
      <w:r w:rsidRPr="00023CF7">
        <w:rPr>
          <w:rFonts w:eastAsia="Arial"/>
          <w:color w:val="000000"/>
          <w:szCs w:val="24"/>
        </w:rPr>
        <w:t>The initial test to determine significance of an acquisition would be calculated based on the financial statements of the issuer and the acquired business or related businesses for the most recently completed financial year of each that ended before the acquisition date.</w:t>
      </w:r>
    </w:p>
    <w:p w14:paraId="2274AF99" w14:textId="16E2D1F5" w:rsidR="00E40713" w:rsidRPr="00023CF7" w:rsidRDefault="00BE1AF7" w:rsidP="00246299">
      <w:pPr>
        <w:tabs>
          <w:tab w:val="left" w:pos="1418"/>
        </w:tabs>
        <w:spacing w:after="240" w:line="252" w:lineRule="exact"/>
        <w:ind w:left="1080" w:right="72"/>
        <w:textAlignment w:val="baseline"/>
        <w:rPr>
          <w:rFonts w:eastAsia="Arial"/>
          <w:color w:val="000000"/>
          <w:spacing w:val="-2"/>
          <w:szCs w:val="24"/>
        </w:rPr>
      </w:pPr>
      <w:r w:rsidRPr="00023CF7">
        <w:rPr>
          <w:rFonts w:eastAsia="Arial"/>
          <w:color w:val="000000"/>
          <w:spacing w:val="-2"/>
          <w:szCs w:val="24"/>
        </w:rPr>
        <w:t xml:space="preserve">To recognize the possible growth of an issuer between the date of its most recently completed financial year or </w:t>
      </w:r>
      <w:r w:rsidRPr="00023CF7">
        <w:rPr>
          <w:rFonts w:eastAsia="Arial"/>
          <w:color w:val="000000"/>
          <w:szCs w:val="24"/>
        </w:rPr>
        <w:t>interim period</w:t>
      </w:r>
      <w:r w:rsidRPr="00023CF7">
        <w:rPr>
          <w:rFonts w:eastAsia="Arial"/>
          <w:color w:val="000000"/>
          <w:spacing w:val="-2"/>
          <w:szCs w:val="24"/>
        </w:rPr>
        <w:t xml:space="preserve"> and the acquisition date, and the corresponding potential decline in significance of the acquisition relative to the issuer, issuers could </w:t>
      </w:r>
      <w:bookmarkStart w:id="35" w:name="_Hlk74125323"/>
      <w:r w:rsidRPr="00023CF7">
        <w:rPr>
          <w:rFonts w:eastAsia="Arial"/>
          <w:color w:val="000000"/>
          <w:spacing w:val="-2"/>
          <w:szCs w:val="24"/>
        </w:rPr>
        <w:t>perform an optional test similar to the ones set out in subsection 8.3(4) of NI 51-102, for the periods set out in subparagraphs 35.1(4)(b)(iii) and (iv) of Form 41-101F1</w:t>
      </w:r>
      <w:bookmarkEnd w:id="35"/>
      <w:r w:rsidRPr="00023CF7">
        <w:rPr>
          <w:rFonts w:eastAsia="Arial"/>
          <w:color w:val="000000"/>
          <w:spacing w:val="-2"/>
          <w:szCs w:val="24"/>
        </w:rPr>
        <w:t xml:space="preserve">. </w:t>
      </w:r>
      <w:bookmarkStart w:id="36" w:name="_Hlk74125379"/>
      <w:r w:rsidRPr="00023CF7">
        <w:rPr>
          <w:rFonts w:eastAsia="Arial"/>
          <w:color w:val="000000"/>
          <w:spacing w:val="-2"/>
          <w:szCs w:val="24"/>
        </w:rPr>
        <w:t xml:space="preserve">Specifically, for an issuer, </w:t>
      </w:r>
      <w:bookmarkEnd w:id="36"/>
      <w:r w:rsidRPr="00023CF7">
        <w:rPr>
          <w:rFonts w:eastAsia="Arial"/>
          <w:color w:val="000000"/>
          <w:spacing w:val="-2"/>
          <w:szCs w:val="24"/>
        </w:rPr>
        <w:t>the applicable time period for the optional test is the most recently completed interim period or financial year for which financial statements of the issuer are included in the prospectus and, for the acquired business or related businesses, is the most recently completed interim period or financial year ended before the date of the long form prospectus.</w:t>
      </w:r>
    </w:p>
    <w:p w14:paraId="052FAFB1" w14:textId="169D5A8E" w:rsidR="00E40713" w:rsidRPr="00023CF7" w:rsidRDefault="00BE1AF7" w:rsidP="00246299">
      <w:pPr>
        <w:tabs>
          <w:tab w:val="left" w:pos="1418"/>
        </w:tabs>
        <w:spacing w:after="240" w:line="252" w:lineRule="exact"/>
        <w:ind w:left="1080" w:right="72"/>
        <w:textAlignment w:val="baseline"/>
        <w:rPr>
          <w:rFonts w:eastAsia="Arial"/>
          <w:color w:val="000000"/>
          <w:spacing w:val="-2"/>
          <w:szCs w:val="24"/>
        </w:rPr>
      </w:pPr>
      <w:bookmarkStart w:id="37" w:name="_Hlk74125504"/>
      <w:r w:rsidRPr="00023CF7">
        <w:rPr>
          <w:rFonts w:eastAsia="Arial"/>
          <w:color w:val="000000"/>
          <w:spacing w:val="-2"/>
          <w:szCs w:val="24"/>
        </w:rPr>
        <w:t>For more information, see Chart 2 of Appendix A – Financial Statement Disclosure Requirements for Significant Acquisitions</w:t>
      </w:r>
      <w:r w:rsidR="008801DA" w:rsidRPr="00023CF7">
        <w:rPr>
          <w:rFonts w:eastAsia="Arial"/>
          <w:color w:val="000000"/>
          <w:spacing w:val="-2"/>
          <w:szCs w:val="24"/>
        </w:rPr>
        <w:t xml:space="preserve"> of this Policy</w:t>
      </w:r>
      <w:r w:rsidRPr="00023CF7">
        <w:rPr>
          <w:rFonts w:eastAsia="Arial"/>
          <w:color w:val="000000"/>
          <w:spacing w:val="-2"/>
          <w:szCs w:val="24"/>
        </w:rPr>
        <w:t>.</w:t>
      </w:r>
      <w:bookmarkEnd w:id="37"/>
    </w:p>
    <w:p w14:paraId="25412069" w14:textId="2DA7B60E" w:rsidR="00E40713" w:rsidRPr="00023CF7" w:rsidRDefault="00BE1AF7" w:rsidP="00246299">
      <w:pPr>
        <w:tabs>
          <w:tab w:val="left" w:pos="1418"/>
        </w:tabs>
        <w:spacing w:after="240" w:line="254" w:lineRule="exact"/>
        <w:ind w:left="1080" w:right="144"/>
        <w:textAlignment w:val="baseline"/>
        <w:rPr>
          <w:rFonts w:eastAsia="Arial"/>
          <w:color w:val="000000"/>
          <w:szCs w:val="24"/>
        </w:rPr>
      </w:pPr>
      <w:r w:rsidRPr="00023CF7">
        <w:rPr>
          <w:rFonts w:eastAsia="Arial"/>
          <w:color w:val="000000"/>
          <w:szCs w:val="24"/>
        </w:rPr>
        <w:t xml:space="preserve">The significance thresholds for IPO venture issuers are identical to the significance thresholds for venture issuers. </w:t>
      </w:r>
      <w:bookmarkStart w:id="38" w:name="_Hlk74125853"/>
      <w:r w:rsidRPr="00023CF7">
        <w:rPr>
          <w:rFonts w:eastAsia="Arial"/>
          <w:color w:val="000000"/>
          <w:szCs w:val="24"/>
        </w:rPr>
        <w:t>For any business or related businesses acquired by an IPO venture issuer or venture issuer within two years before the date of the prospectus, or proposed to be acquired, which exceed the significance threshold, the issuer is expected to include in a prospectus the financial statements referred to in subsection 5.3(1) of this Policy.</w:t>
      </w:r>
      <w:bookmarkEnd w:id="38"/>
    </w:p>
    <w:p w14:paraId="22EC2300" w14:textId="160000F8" w:rsidR="006D43EF" w:rsidRPr="00023CF7" w:rsidRDefault="00BE1AF7" w:rsidP="00246299">
      <w:pPr>
        <w:tabs>
          <w:tab w:val="left" w:pos="1418"/>
        </w:tabs>
        <w:spacing w:after="240" w:line="254" w:lineRule="exact"/>
        <w:ind w:left="1080" w:right="144"/>
        <w:textAlignment w:val="baseline"/>
        <w:rPr>
          <w:b/>
          <w:bCs/>
          <w:i/>
          <w:iCs/>
          <w:szCs w:val="24"/>
        </w:rPr>
      </w:pPr>
      <w:r w:rsidRPr="00023CF7">
        <w:rPr>
          <w:rFonts w:eastAsia="Arial"/>
          <w:color w:val="000000"/>
          <w:szCs w:val="24"/>
        </w:rPr>
        <w:t>The timing of the disclosure requirements set out in subsection 35.3(1) of Form</w:t>
      </w:r>
      <w:r w:rsidR="00023CF7">
        <w:rPr>
          <w:rFonts w:eastAsia="Arial"/>
          <w:color w:val="000000"/>
          <w:szCs w:val="24"/>
        </w:rPr>
        <w:t> </w:t>
      </w:r>
      <w:r w:rsidRPr="00023CF7">
        <w:rPr>
          <w:rFonts w:eastAsia="Arial"/>
          <w:color w:val="000000"/>
          <w:szCs w:val="24"/>
        </w:rPr>
        <w:t>41</w:t>
      </w:r>
      <w:r w:rsidRPr="00023CF7">
        <w:rPr>
          <w:rFonts w:eastAsia="Arial"/>
          <w:color w:val="000000"/>
          <w:szCs w:val="24"/>
        </w:rPr>
        <w:softHyphen/>
        <w:t>-101F1 are based on the principles under section 8.2 of NI 51-102. For reporting issuers, subsection 8.2(2) of NI 51-102 sets out the timing of disclosures for significant acquisitions where the acquisition occurs within 45 days after the year end of the acquired business. However, for IPO venture issuers, paragraph 35.3(1)(d) imposes a disclosure requirement for all significant acquisitions completed more than 90 days before the date of the long form prospectus, where the acquisition occurs within 45 days after the year end of the acquired business. This differs from the business acquisition report filing deadline for venture issuers under paragraph 8.2(2)(b) of NI 51-102 where the business acquisition report deadline for any significant acquisition where the acquisition occurs within 45 days after the year end of the acquired business is within</w:t>
      </w:r>
      <w:r w:rsidR="00023CF7">
        <w:rPr>
          <w:rFonts w:eastAsia="Arial"/>
          <w:color w:val="000000"/>
          <w:szCs w:val="24"/>
        </w:rPr>
        <w:t> </w:t>
      </w:r>
      <w:r w:rsidRPr="00023CF7">
        <w:rPr>
          <w:rFonts w:eastAsia="Arial"/>
          <w:color w:val="000000"/>
          <w:szCs w:val="24"/>
        </w:rPr>
        <w:t>120 days after the acquisition date</w:t>
      </w:r>
      <w:r w:rsidR="00AB142E" w:rsidRPr="00023CF7">
        <w:rPr>
          <w:rFonts w:eastAsia="Arial"/>
          <w:color w:val="000000"/>
          <w:szCs w:val="24"/>
        </w:rPr>
        <w:t>.</w:t>
      </w:r>
      <w:r w:rsidR="00D0734A" w:rsidRPr="00023CF7">
        <w:rPr>
          <w:b/>
          <w:bCs/>
          <w:szCs w:val="24"/>
        </w:rPr>
        <w:t>.</w:t>
      </w:r>
    </w:p>
    <w:bookmarkEnd w:id="34"/>
    <w:p w14:paraId="093B7F7A" w14:textId="32D58F53" w:rsidR="00FD7756" w:rsidRPr="00023CF7" w:rsidRDefault="00BE1AF7" w:rsidP="00023CF7">
      <w:pPr>
        <w:pStyle w:val="ListParagraph"/>
        <w:numPr>
          <w:ilvl w:val="0"/>
          <w:numId w:val="12"/>
        </w:numPr>
        <w:spacing w:after="240"/>
        <w:ind w:hanging="720"/>
        <w:contextualSpacing w:val="0"/>
        <w:rPr>
          <w:rFonts w:eastAsia="Arial"/>
          <w:color w:val="000000"/>
          <w:szCs w:val="24"/>
        </w:rPr>
      </w:pPr>
      <w:r w:rsidRPr="00023CF7">
        <w:rPr>
          <w:b/>
          <w:bCs/>
          <w:szCs w:val="24"/>
        </w:rPr>
        <w:t>Part 5</w:t>
      </w:r>
      <w:r w:rsidR="00966CD6" w:rsidRPr="00023CF7">
        <w:rPr>
          <w:b/>
          <w:bCs/>
          <w:szCs w:val="24"/>
        </w:rPr>
        <w:t xml:space="preserve"> is</w:t>
      </w:r>
      <w:r w:rsidRPr="00023CF7">
        <w:rPr>
          <w:b/>
          <w:bCs/>
          <w:szCs w:val="24"/>
        </w:rPr>
        <w:t xml:space="preserve"> </w:t>
      </w:r>
      <w:r w:rsidR="001E4C29" w:rsidRPr="00023CF7">
        <w:rPr>
          <w:b/>
          <w:bCs/>
          <w:szCs w:val="24"/>
        </w:rPr>
        <w:t>chang</w:t>
      </w:r>
      <w:r w:rsidRPr="00023CF7">
        <w:rPr>
          <w:b/>
          <w:bCs/>
          <w:szCs w:val="24"/>
        </w:rPr>
        <w:t>ed by adding the following section 5.11:</w:t>
      </w:r>
    </w:p>
    <w:p w14:paraId="411B32F6" w14:textId="17841B67" w:rsidR="00ED6837" w:rsidRPr="00023CF7" w:rsidRDefault="00BE1AF7" w:rsidP="00246299">
      <w:pPr>
        <w:pStyle w:val="xmsonormal"/>
        <w:tabs>
          <w:tab w:val="left" w:pos="1260"/>
          <w:tab w:val="left" w:pos="1843"/>
        </w:tabs>
        <w:spacing w:after="240"/>
        <w:ind w:left="1260" w:hanging="551"/>
        <w:rPr>
          <w:lang w:val="en-US"/>
        </w:rPr>
      </w:pPr>
      <w:r w:rsidRPr="00023CF7">
        <w:rPr>
          <w:b/>
          <w:bCs/>
          <w:lang w:val="en-US"/>
        </w:rPr>
        <w:t>5.11.</w:t>
      </w:r>
      <w:r w:rsidRPr="00023CF7">
        <w:rPr>
          <w:lang w:val="en-US"/>
        </w:rPr>
        <w:tab/>
      </w:r>
      <w:r w:rsidRPr="00023CF7">
        <w:rPr>
          <w:b/>
          <w:bCs/>
          <w:lang w:val="en-US"/>
        </w:rPr>
        <w:t>Dete</w:t>
      </w:r>
      <w:bookmarkStart w:id="39" w:name="_Hlk74126189"/>
      <w:r w:rsidRPr="00023CF7">
        <w:rPr>
          <w:b/>
          <w:bCs/>
          <w:lang w:val="en-US"/>
        </w:rPr>
        <w:t>rmination of what constitutes a business – mining assets</w:t>
      </w:r>
      <w:bookmarkEnd w:id="39"/>
    </w:p>
    <w:p w14:paraId="5A8D42B7" w14:textId="5F9994B3" w:rsidR="00ED6837" w:rsidRPr="00023CF7" w:rsidRDefault="001879A8" w:rsidP="00246299">
      <w:pPr>
        <w:pStyle w:val="xmsonormal"/>
        <w:tabs>
          <w:tab w:val="left" w:pos="1418"/>
        </w:tabs>
        <w:spacing w:after="240"/>
        <w:ind w:left="1080"/>
        <w:rPr>
          <w:lang w:val="en-US"/>
        </w:rPr>
      </w:pPr>
      <w:bookmarkStart w:id="40" w:name="_Hlk74126373"/>
      <w:r w:rsidRPr="00023CF7">
        <w:rPr>
          <w:lang w:val="en-US"/>
        </w:rPr>
        <w:t>While certain acquisitions of mining assets may constitute acquisitions of a business for securities legislation purposes even if they do</w:t>
      </w:r>
      <w:r w:rsidRPr="00023CF7">
        <w:rPr>
          <w:color w:val="FF0000"/>
          <w:lang w:val="en-US"/>
        </w:rPr>
        <w:t xml:space="preserve"> </w:t>
      </w:r>
      <w:r w:rsidRPr="00023CF7">
        <w:rPr>
          <w:lang w:val="en-US"/>
        </w:rPr>
        <w:t>not meet the definition of a “business” for accounting purposes, we would not consider an</w:t>
      </w:r>
      <w:r w:rsidRPr="00023CF7">
        <w:rPr>
          <w:color w:val="FF0000"/>
          <w:lang w:val="en-US"/>
        </w:rPr>
        <w:t xml:space="preserve"> </w:t>
      </w:r>
      <w:r w:rsidRPr="00023CF7">
        <w:rPr>
          <w:lang w:val="en-US"/>
        </w:rPr>
        <w:t xml:space="preserve">acquisition of mining </w:t>
      </w:r>
      <w:r w:rsidRPr="00023CF7">
        <w:rPr>
          <w:lang w:val="en-US"/>
        </w:rPr>
        <w:lastRenderedPageBreak/>
        <w:t>assets to be a business requiring</w:t>
      </w:r>
      <w:r w:rsidRPr="00023CF7">
        <w:rPr>
          <w:color w:val="FF0000"/>
          <w:lang w:val="en-US"/>
        </w:rPr>
        <w:t xml:space="preserve"> </w:t>
      </w:r>
      <w:r w:rsidRPr="00023CF7">
        <w:rPr>
          <w:lang w:val="en-US"/>
        </w:rPr>
        <w:t>financial statements under either Item 32 or Item 35 of Form 41-101F1 if all of the following apply:</w:t>
      </w:r>
    </w:p>
    <w:p w14:paraId="78453BE5" w14:textId="06F0E2EC" w:rsidR="00ED6837" w:rsidRPr="00023CF7" w:rsidRDefault="00BE1AF7" w:rsidP="00A22BD0">
      <w:pPr>
        <w:pStyle w:val="xmsonormal"/>
        <w:tabs>
          <w:tab w:val="left" w:pos="1440"/>
        </w:tabs>
        <w:spacing w:after="240"/>
        <w:ind w:left="1440" w:hanging="360"/>
        <w:rPr>
          <w:lang w:val="en-US"/>
        </w:rPr>
      </w:pPr>
      <w:r w:rsidRPr="00023CF7">
        <w:rPr>
          <w:lang w:val="en-US"/>
        </w:rPr>
        <w:t xml:space="preserve">(a) </w:t>
      </w:r>
      <w:r w:rsidR="00023CF7">
        <w:rPr>
          <w:lang w:val="en-US"/>
        </w:rPr>
        <w:tab/>
      </w:r>
      <w:r w:rsidRPr="00023CF7">
        <w:rPr>
          <w:lang w:val="en-US"/>
        </w:rPr>
        <w:t>the acquisition of the mining assets was an arm’s length transaction</w:t>
      </w:r>
      <w:r w:rsidR="0074027A" w:rsidRPr="00023CF7">
        <w:rPr>
          <w:lang w:val="en-US"/>
        </w:rPr>
        <w:t>;</w:t>
      </w:r>
    </w:p>
    <w:p w14:paraId="1317C318" w14:textId="623E2776" w:rsidR="00ED6837" w:rsidRPr="00023CF7" w:rsidRDefault="00BE1AF7" w:rsidP="00A22BD0">
      <w:pPr>
        <w:pStyle w:val="xmsonormal"/>
        <w:tabs>
          <w:tab w:val="left" w:pos="1440"/>
        </w:tabs>
        <w:spacing w:after="240"/>
        <w:ind w:left="1440" w:hanging="360"/>
        <w:rPr>
          <w:lang w:val="en-US"/>
        </w:rPr>
      </w:pPr>
      <w:r w:rsidRPr="00023CF7">
        <w:rPr>
          <w:lang w:val="en-US"/>
        </w:rPr>
        <w:t xml:space="preserve">(b) </w:t>
      </w:r>
      <w:r w:rsidR="00023CF7">
        <w:rPr>
          <w:lang w:val="en-US"/>
        </w:rPr>
        <w:tab/>
      </w:r>
      <w:r w:rsidRPr="00023CF7">
        <w:rPr>
          <w:lang w:val="en-US"/>
        </w:rPr>
        <w:t>no other assets were transferred and no other liabilities were assumed as part of the acquisition</w:t>
      </w:r>
      <w:r w:rsidR="0074027A" w:rsidRPr="00023CF7">
        <w:rPr>
          <w:lang w:val="en-US"/>
        </w:rPr>
        <w:t>;</w:t>
      </w:r>
      <w:r w:rsidRPr="00023CF7">
        <w:rPr>
          <w:lang w:val="en-US"/>
        </w:rPr>
        <w:t xml:space="preserve"> </w:t>
      </w:r>
    </w:p>
    <w:p w14:paraId="11A42FC9" w14:textId="7BD5A4CF" w:rsidR="00ED6837" w:rsidRPr="00023CF7" w:rsidRDefault="00BE1AF7" w:rsidP="00A22BD0">
      <w:pPr>
        <w:pStyle w:val="xmsonormal"/>
        <w:tabs>
          <w:tab w:val="left" w:pos="1440"/>
        </w:tabs>
        <w:spacing w:after="240"/>
        <w:ind w:left="1440" w:hanging="360"/>
        <w:rPr>
          <w:lang w:val="en-CA"/>
        </w:rPr>
      </w:pPr>
      <w:r w:rsidRPr="00023CF7">
        <w:rPr>
          <w:lang w:val="en-US"/>
        </w:rPr>
        <w:t xml:space="preserve">(c) </w:t>
      </w:r>
      <w:r w:rsidR="00023CF7">
        <w:rPr>
          <w:lang w:val="en-US"/>
        </w:rPr>
        <w:tab/>
      </w:r>
      <w:r w:rsidRPr="00023CF7">
        <w:rPr>
          <w:lang w:val="en-US"/>
        </w:rPr>
        <w:t xml:space="preserve">there has been no </w:t>
      </w:r>
      <w:r w:rsidR="0030170F" w:rsidRPr="00023CF7">
        <w:rPr>
          <w:color w:val="000000"/>
          <w:lang w:val="en-CA"/>
        </w:rPr>
        <w:t>exploration, development or production activity</w:t>
      </w:r>
      <w:r w:rsidRPr="00023CF7">
        <w:rPr>
          <w:lang w:val="en-US"/>
        </w:rPr>
        <w:t xml:space="preserve"> on the mining assets in the three years (two years for an IPO venture issuer or a venture issuer) before the date of the preliminary prospectus</w:t>
      </w:r>
      <w:bookmarkEnd w:id="40"/>
      <w:r w:rsidR="007C0E92" w:rsidRPr="00023CF7">
        <w:rPr>
          <w:rFonts w:eastAsia="Arial"/>
          <w:color w:val="000000"/>
          <w:lang w:val="en-CA"/>
        </w:rPr>
        <w:t>.</w:t>
      </w:r>
      <w:r w:rsidR="007C0E92" w:rsidRPr="00023CF7">
        <w:rPr>
          <w:b/>
          <w:i/>
          <w:lang w:val="en-CA"/>
        </w:rPr>
        <w:t>.</w:t>
      </w:r>
    </w:p>
    <w:p w14:paraId="5DB31C26" w14:textId="22680415" w:rsidR="00351B25" w:rsidRPr="00BE1AF7" w:rsidRDefault="00BE1AF7" w:rsidP="00023CF7">
      <w:pPr>
        <w:pStyle w:val="ListParagraph"/>
        <w:numPr>
          <w:ilvl w:val="0"/>
          <w:numId w:val="12"/>
        </w:numPr>
        <w:spacing w:after="240"/>
        <w:ind w:hanging="720"/>
        <w:contextualSpacing w:val="0"/>
        <w:rPr>
          <w:szCs w:val="24"/>
        </w:rPr>
      </w:pPr>
      <w:r w:rsidRPr="00023CF7">
        <w:rPr>
          <w:szCs w:val="24"/>
        </w:rPr>
        <w:t xml:space="preserve">These changes </w:t>
      </w:r>
      <w:r w:rsidRPr="00023CF7">
        <w:rPr>
          <w:bCs/>
          <w:iCs/>
          <w:szCs w:val="24"/>
        </w:rPr>
        <w:t>become</w:t>
      </w:r>
      <w:r w:rsidRPr="00023CF7">
        <w:rPr>
          <w:szCs w:val="24"/>
        </w:rPr>
        <w:t xml:space="preserve"> effective on ●.</w:t>
      </w:r>
    </w:p>
    <w:sectPr w:rsidR="00351B25" w:rsidRPr="00BE1AF7" w:rsidSect="003950CC">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8B5E7" w14:textId="77777777" w:rsidR="00CB5EFE" w:rsidRDefault="00BE1AF7">
      <w:r>
        <w:separator/>
      </w:r>
    </w:p>
  </w:endnote>
  <w:endnote w:type="continuationSeparator" w:id="0">
    <w:p w14:paraId="772EA77B" w14:textId="77777777" w:rsidR="00CB5EFE" w:rsidRDefault="00BE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EBA62" w14:textId="77777777" w:rsidR="00CB5EFE" w:rsidRDefault="00BE1AF7">
      <w:r>
        <w:separator/>
      </w:r>
    </w:p>
  </w:footnote>
  <w:footnote w:type="continuationSeparator" w:id="0">
    <w:p w14:paraId="64E0F6ED" w14:textId="77777777" w:rsidR="00CB5EFE" w:rsidRDefault="00BE1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055189"/>
      <w:docPartObj>
        <w:docPartGallery w:val="Page Numbers (Top of Page)"/>
        <w:docPartUnique/>
      </w:docPartObj>
    </w:sdtPr>
    <w:sdtEndPr>
      <w:rPr>
        <w:noProof/>
      </w:rPr>
    </w:sdtEndPr>
    <w:sdtContent>
      <w:p w14:paraId="181B54FC" w14:textId="0A3F924C" w:rsidR="003950CC" w:rsidRDefault="00BE1AF7" w:rsidP="003950CC">
        <w:pPr>
          <w:pStyle w:val="Header"/>
          <w:jc w:val="center"/>
        </w:pPr>
        <w:r>
          <w:t>-</w:t>
        </w:r>
        <w:r>
          <w:fldChar w:fldCharType="begin"/>
        </w:r>
        <w:r>
          <w:instrText xml:space="preserve"> PAGE   \* MERGEFORMAT </w:instrText>
        </w:r>
        <w:r>
          <w:fldChar w:fldCharType="separate"/>
        </w:r>
        <w:r w:rsidR="008E492A">
          <w:rPr>
            <w:noProof/>
          </w:rPr>
          <w:t>9</w:t>
        </w:r>
        <w:r>
          <w:rPr>
            <w:noProof/>
          </w:rPr>
          <w:fldChar w:fldCharType="end"/>
        </w:r>
        <w:r>
          <w:rPr>
            <w:noProof/>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547"/>
    <w:multiLevelType w:val="hybridMultilevel"/>
    <w:tmpl w:val="0B54E0B8"/>
    <w:lvl w:ilvl="0" w:tplc="2CF4D9E6">
      <w:start w:val="1"/>
      <w:numFmt w:val="lowerRoman"/>
      <w:lvlText w:val="(%1)"/>
      <w:lvlJc w:val="left"/>
      <w:pPr>
        <w:ind w:left="1440" w:hanging="720"/>
      </w:pPr>
      <w:rPr>
        <w:rFonts w:ascii="Times New Roman" w:hAnsi="Times New Roman" w:cs="Times New Roman" w:hint="default"/>
        <w:b/>
        <w:i/>
      </w:rPr>
    </w:lvl>
    <w:lvl w:ilvl="1" w:tplc="0FC69EEC" w:tentative="1">
      <w:start w:val="1"/>
      <w:numFmt w:val="lowerLetter"/>
      <w:lvlText w:val="%2."/>
      <w:lvlJc w:val="left"/>
      <w:pPr>
        <w:ind w:left="1800" w:hanging="360"/>
      </w:pPr>
    </w:lvl>
    <w:lvl w:ilvl="2" w:tplc="370405D8" w:tentative="1">
      <w:start w:val="1"/>
      <w:numFmt w:val="lowerRoman"/>
      <w:lvlText w:val="%3."/>
      <w:lvlJc w:val="right"/>
      <w:pPr>
        <w:ind w:left="2520" w:hanging="180"/>
      </w:pPr>
    </w:lvl>
    <w:lvl w:ilvl="3" w:tplc="964419A8" w:tentative="1">
      <w:start w:val="1"/>
      <w:numFmt w:val="decimal"/>
      <w:lvlText w:val="%4."/>
      <w:lvlJc w:val="left"/>
      <w:pPr>
        <w:ind w:left="3240" w:hanging="360"/>
      </w:pPr>
    </w:lvl>
    <w:lvl w:ilvl="4" w:tplc="AB8A3802" w:tentative="1">
      <w:start w:val="1"/>
      <w:numFmt w:val="lowerLetter"/>
      <w:lvlText w:val="%5."/>
      <w:lvlJc w:val="left"/>
      <w:pPr>
        <w:ind w:left="3960" w:hanging="360"/>
      </w:pPr>
    </w:lvl>
    <w:lvl w:ilvl="5" w:tplc="313E9628" w:tentative="1">
      <w:start w:val="1"/>
      <w:numFmt w:val="lowerRoman"/>
      <w:lvlText w:val="%6."/>
      <w:lvlJc w:val="right"/>
      <w:pPr>
        <w:ind w:left="4680" w:hanging="180"/>
      </w:pPr>
    </w:lvl>
    <w:lvl w:ilvl="6" w:tplc="124C45E0" w:tentative="1">
      <w:start w:val="1"/>
      <w:numFmt w:val="decimal"/>
      <w:lvlText w:val="%7."/>
      <w:lvlJc w:val="left"/>
      <w:pPr>
        <w:ind w:left="5400" w:hanging="360"/>
      </w:pPr>
    </w:lvl>
    <w:lvl w:ilvl="7" w:tplc="EE14094C" w:tentative="1">
      <w:start w:val="1"/>
      <w:numFmt w:val="lowerLetter"/>
      <w:lvlText w:val="%8."/>
      <w:lvlJc w:val="left"/>
      <w:pPr>
        <w:ind w:left="6120" w:hanging="360"/>
      </w:pPr>
    </w:lvl>
    <w:lvl w:ilvl="8" w:tplc="E820B3F8" w:tentative="1">
      <w:start w:val="1"/>
      <w:numFmt w:val="lowerRoman"/>
      <w:lvlText w:val="%9."/>
      <w:lvlJc w:val="right"/>
      <w:pPr>
        <w:ind w:left="6840" w:hanging="180"/>
      </w:pPr>
    </w:lvl>
  </w:abstractNum>
  <w:abstractNum w:abstractNumId="1" w15:restartNumberingAfterBreak="0">
    <w:nsid w:val="0B1838F7"/>
    <w:multiLevelType w:val="hybridMultilevel"/>
    <w:tmpl w:val="9036D9F6"/>
    <w:lvl w:ilvl="0" w:tplc="AEC0866A">
      <w:start w:val="1"/>
      <w:numFmt w:val="bullet"/>
      <w:lvlText w:val=""/>
      <w:lvlJc w:val="left"/>
      <w:pPr>
        <w:ind w:left="1381" w:hanging="360"/>
      </w:pPr>
      <w:rPr>
        <w:rFonts w:ascii="Symbol" w:hAnsi="Symbol" w:hint="default"/>
      </w:rPr>
    </w:lvl>
    <w:lvl w:ilvl="1" w:tplc="1F1E372C">
      <w:start w:val="1"/>
      <w:numFmt w:val="bullet"/>
      <w:lvlText w:val="o"/>
      <w:lvlJc w:val="left"/>
      <w:pPr>
        <w:ind w:left="2101" w:hanging="360"/>
      </w:pPr>
      <w:rPr>
        <w:rFonts w:ascii="Courier New" w:hAnsi="Courier New" w:cs="Courier New" w:hint="default"/>
      </w:rPr>
    </w:lvl>
    <w:lvl w:ilvl="2" w:tplc="0D6C5BE4" w:tentative="1">
      <w:start w:val="1"/>
      <w:numFmt w:val="bullet"/>
      <w:lvlText w:val=""/>
      <w:lvlJc w:val="left"/>
      <w:pPr>
        <w:ind w:left="2821" w:hanging="360"/>
      </w:pPr>
      <w:rPr>
        <w:rFonts w:ascii="Wingdings" w:hAnsi="Wingdings" w:hint="default"/>
      </w:rPr>
    </w:lvl>
    <w:lvl w:ilvl="3" w:tplc="CBC26BB0" w:tentative="1">
      <w:start w:val="1"/>
      <w:numFmt w:val="bullet"/>
      <w:lvlText w:val=""/>
      <w:lvlJc w:val="left"/>
      <w:pPr>
        <w:ind w:left="3541" w:hanging="360"/>
      </w:pPr>
      <w:rPr>
        <w:rFonts w:ascii="Symbol" w:hAnsi="Symbol" w:hint="default"/>
      </w:rPr>
    </w:lvl>
    <w:lvl w:ilvl="4" w:tplc="C2A856F0" w:tentative="1">
      <w:start w:val="1"/>
      <w:numFmt w:val="bullet"/>
      <w:lvlText w:val="o"/>
      <w:lvlJc w:val="left"/>
      <w:pPr>
        <w:ind w:left="4261" w:hanging="360"/>
      </w:pPr>
      <w:rPr>
        <w:rFonts w:ascii="Courier New" w:hAnsi="Courier New" w:cs="Courier New" w:hint="default"/>
      </w:rPr>
    </w:lvl>
    <w:lvl w:ilvl="5" w:tplc="AD344DFC" w:tentative="1">
      <w:start w:val="1"/>
      <w:numFmt w:val="bullet"/>
      <w:lvlText w:val=""/>
      <w:lvlJc w:val="left"/>
      <w:pPr>
        <w:ind w:left="4981" w:hanging="360"/>
      </w:pPr>
      <w:rPr>
        <w:rFonts w:ascii="Wingdings" w:hAnsi="Wingdings" w:hint="default"/>
      </w:rPr>
    </w:lvl>
    <w:lvl w:ilvl="6" w:tplc="54EC4B98" w:tentative="1">
      <w:start w:val="1"/>
      <w:numFmt w:val="bullet"/>
      <w:lvlText w:val=""/>
      <w:lvlJc w:val="left"/>
      <w:pPr>
        <w:ind w:left="5701" w:hanging="360"/>
      </w:pPr>
      <w:rPr>
        <w:rFonts w:ascii="Symbol" w:hAnsi="Symbol" w:hint="default"/>
      </w:rPr>
    </w:lvl>
    <w:lvl w:ilvl="7" w:tplc="5B44C818" w:tentative="1">
      <w:start w:val="1"/>
      <w:numFmt w:val="bullet"/>
      <w:lvlText w:val="o"/>
      <w:lvlJc w:val="left"/>
      <w:pPr>
        <w:ind w:left="6421" w:hanging="360"/>
      </w:pPr>
      <w:rPr>
        <w:rFonts w:ascii="Courier New" w:hAnsi="Courier New" w:cs="Courier New" w:hint="default"/>
      </w:rPr>
    </w:lvl>
    <w:lvl w:ilvl="8" w:tplc="CAC2191E" w:tentative="1">
      <w:start w:val="1"/>
      <w:numFmt w:val="bullet"/>
      <w:lvlText w:val=""/>
      <w:lvlJc w:val="left"/>
      <w:pPr>
        <w:ind w:left="7141" w:hanging="360"/>
      </w:pPr>
      <w:rPr>
        <w:rFonts w:ascii="Wingdings" w:hAnsi="Wingdings" w:hint="default"/>
      </w:rPr>
    </w:lvl>
  </w:abstractNum>
  <w:abstractNum w:abstractNumId="2" w15:restartNumberingAfterBreak="0">
    <w:nsid w:val="159C4608"/>
    <w:multiLevelType w:val="hybridMultilevel"/>
    <w:tmpl w:val="D678669C"/>
    <w:lvl w:ilvl="0" w:tplc="5E9AA6C0">
      <w:start w:val="1"/>
      <w:numFmt w:val="bullet"/>
      <w:lvlText w:val=""/>
      <w:lvlJc w:val="left"/>
      <w:pPr>
        <w:ind w:left="720" w:hanging="360"/>
      </w:pPr>
      <w:rPr>
        <w:rFonts w:ascii="Symbol" w:hAnsi="Symbol" w:hint="default"/>
      </w:rPr>
    </w:lvl>
    <w:lvl w:ilvl="1" w:tplc="C584D4FE" w:tentative="1">
      <w:start w:val="1"/>
      <w:numFmt w:val="bullet"/>
      <w:lvlText w:val="o"/>
      <w:lvlJc w:val="left"/>
      <w:pPr>
        <w:ind w:left="1440" w:hanging="360"/>
      </w:pPr>
      <w:rPr>
        <w:rFonts w:ascii="Courier New" w:hAnsi="Courier New" w:cs="Courier New" w:hint="default"/>
      </w:rPr>
    </w:lvl>
    <w:lvl w:ilvl="2" w:tplc="B498C9E6" w:tentative="1">
      <w:start w:val="1"/>
      <w:numFmt w:val="bullet"/>
      <w:lvlText w:val=""/>
      <w:lvlJc w:val="left"/>
      <w:pPr>
        <w:ind w:left="2160" w:hanging="360"/>
      </w:pPr>
      <w:rPr>
        <w:rFonts w:ascii="Wingdings" w:hAnsi="Wingdings" w:hint="default"/>
      </w:rPr>
    </w:lvl>
    <w:lvl w:ilvl="3" w:tplc="25F478A2" w:tentative="1">
      <w:start w:val="1"/>
      <w:numFmt w:val="bullet"/>
      <w:lvlText w:val=""/>
      <w:lvlJc w:val="left"/>
      <w:pPr>
        <w:ind w:left="2880" w:hanging="360"/>
      </w:pPr>
      <w:rPr>
        <w:rFonts w:ascii="Symbol" w:hAnsi="Symbol" w:hint="default"/>
      </w:rPr>
    </w:lvl>
    <w:lvl w:ilvl="4" w:tplc="3E521E12" w:tentative="1">
      <w:start w:val="1"/>
      <w:numFmt w:val="bullet"/>
      <w:lvlText w:val="o"/>
      <w:lvlJc w:val="left"/>
      <w:pPr>
        <w:ind w:left="3600" w:hanging="360"/>
      </w:pPr>
      <w:rPr>
        <w:rFonts w:ascii="Courier New" w:hAnsi="Courier New" w:cs="Courier New" w:hint="default"/>
      </w:rPr>
    </w:lvl>
    <w:lvl w:ilvl="5" w:tplc="E58CDFEC" w:tentative="1">
      <w:start w:val="1"/>
      <w:numFmt w:val="bullet"/>
      <w:lvlText w:val=""/>
      <w:lvlJc w:val="left"/>
      <w:pPr>
        <w:ind w:left="4320" w:hanging="360"/>
      </w:pPr>
      <w:rPr>
        <w:rFonts w:ascii="Wingdings" w:hAnsi="Wingdings" w:hint="default"/>
      </w:rPr>
    </w:lvl>
    <w:lvl w:ilvl="6" w:tplc="F97CAD32" w:tentative="1">
      <w:start w:val="1"/>
      <w:numFmt w:val="bullet"/>
      <w:lvlText w:val=""/>
      <w:lvlJc w:val="left"/>
      <w:pPr>
        <w:ind w:left="5040" w:hanging="360"/>
      </w:pPr>
      <w:rPr>
        <w:rFonts w:ascii="Symbol" w:hAnsi="Symbol" w:hint="default"/>
      </w:rPr>
    </w:lvl>
    <w:lvl w:ilvl="7" w:tplc="C81EB11E" w:tentative="1">
      <w:start w:val="1"/>
      <w:numFmt w:val="bullet"/>
      <w:lvlText w:val="o"/>
      <w:lvlJc w:val="left"/>
      <w:pPr>
        <w:ind w:left="5760" w:hanging="360"/>
      </w:pPr>
      <w:rPr>
        <w:rFonts w:ascii="Courier New" w:hAnsi="Courier New" w:cs="Courier New" w:hint="default"/>
      </w:rPr>
    </w:lvl>
    <w:lvl w:ilvl="8" w:tplc="78BE6F68" w:tentative="1">
      <w:start w:val="1"/>
      <w:numFmt w:val="bullet"/>
      <w:lvlText w:val=""/>
      <w:lvlJc w:val="left"/>
      <w:pPr>
        <w:ind w:left="6480" w:hanging="360"/>
      </w:pPr>
      <w:rPr>
        <w:rFonts w:ascii="Wingdings" w:hAnsi="Wingdings" w:hint="default"/>
      </w:rPr>
    </w:lvl>
  </w:abstractNum>
  <w:abstractNum w:abstractNumId="3" w15:restartNumberingAfterBreak="0">
    <w:nsid w:val="18DF690F"/>
    <w:multiLevelType w:val="multilevel"/>
    <w:tmpl w:val="03F4FF70"/>
    <w:styleLink w:val="Standard"/>
    <w:lvl w:ilvl="0">
      <w:start w:val="1"/>
      <w:numFmt w:val="decimal"/>
      <w:lvlText w:val="%1."/>
      <w:lvlJc w:val="left"/>
      <w:pPr>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upperLetter"/>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 w15:restartNumberingAfterBreak="0">
    <w:nsid w:val="298F0159"/>
    <w:multiLevelType w:val="hybridMultilevel"/>
    <w:tmpl w:val="385ECAB6"/>
    <w:lvl w:ilvl="0" w:tplc="32229BD8">
      <w:start w:val="1"/>
      <w:numFmt w:val="bullet"/>
      <w:lvlText w:val=""/>
      <w:lvlJc w:val="left"/>
      <w:pPr>
        <w:ind w:left="720" w:hanging="360"/>
      </w:pPr>
      <w:rPr>
        <w:rFonts w:ascii="Symbol" w:hAnsi="Symbol" w:hint="default"/>
      </w:rPr>
    </w:lvl>
    <w:lvl w:ilvl="1" w:tplc="3F3680B2" w:tentative="1">
      <w:start w:val="1"/>
      <w:numFmt w:val="bullet"/>
      <w:lvlText w:val="o"/>
      <w:lvlJc w:val="left"/>
      <w:pPr>
        <w:ind w:left="1440" w:hanging="360"/>
      </w:pPr>
      <w:rPr>
        <w:rFonts w:ascii="Courier New" w:hAnsi="Courier New" w:cs="Courier New" w:hint="default"/>
      </w:rPr>
    </w:lvl>
    <w:lvl w:ilvl="2" w:tplc="9D58D156" w:tentative="1">
      <w:start w:val="1"/>
      <w:numFmt w:val="bullet"/>
      <w:lvlText w:val=""/>
      <w:lvlJc w:val="left"/>
      <w:pPr>
        <w:ind w:left="2160" w:hanging="360"/>
      </w:pPr>
      <w:rPr>
        <w:rFonts w:ascii="Wingdings" w:hAnsi="Wingdings" w:hint="default"/>
      </w:rPr>
    </w:lvl>
    <w:lvl w:ilvl="3" w:tplc="7A84AA9A" w:tentative="1">
      <w:start w:val="1"/>
      <w:numFmt w:val="bullet"/>
      <w:lvlText w:val=""/>
      <w:lvlJc w:val="left"/>
      <w:pPr>
        <w:ind w:left="2880" w:hanging="360"/>
      </w:pPr>
      <w:rPr>
        <w:rFonts w:ascii="Symbol" w:hAnsi="Symbol" w:hint="default"/>
      </w:rPr>
    </w:lvl>
    <w:lvl w:ilvl="4" w:tplc="777C7254" w:tentative="1">
      <w:start w:val="1"/>
      <w:numFmt w:val="bullet"/>
      <w:lvlText w:val="o"/>
      <w:lvlJc w:val="left"/>
      <w:pPr>
        <w:ind w:left="3600" w:hanging="360"/>
      </w:pPr>
      <w:rPr>
        <w:rFonts w:ascii="Courier New" w:hAnsi="Courier New" w:cs="Courier New" w:hint="default"/>
      </w:rPr>
    </w:lvl>
    <w:lvl w:ilvl="5" w:tplc="A34AFBBC" w:tentative="1">
      <w:start w:val="1"/>
      <w:numFmt w:val="bullet"/>
      <w:lvlText w:val=""/>
      <w:lvlJc w:val="left"/>
      <w:pPr>
        <w:ind w:left="4320" w:hanging="360"/>
      </w:pPr>
      <w:rPr>
        <w:rFonts w:ascii="Wingdings" w:hAnsi="Wingdings" w:hint="default"/>
      </w:rPr>
    </w:lvl>
    <w:lvl w:ilvl="6" w:tplc="ED6270CE" w:tentative="1">
      <w:start w:val="1"/>
      <w:numFmt w:val="bullet"/>
      <w:lvlText w:val=""/>
      <w:lvlJc w:val="left"/>
      <w:pPr>
        <w:ind w:left="5040" w:hanging="360"/>
      </w:pPr>
      <w:rPr>
        <w:rFonts w:ascii="Symbol" w:hAnsi="Symbol" w:hint="default"/>
      </w:rPr>
    </w:lvl>
    <w:lvl w:ilvl="7" w:tplc="02863036" w:tentative="1">
      <w:start w:val="1"/>
      <w:numFmt w:val="bullet"/>
      <w:lvlText w:val="o"/>
      <w:lvlJc w:val="left"/>
      <w:pPr>
        <w:ind w:left="5760" w:hanging="360"/>
      </w:pPr>
      <w:rPr>
        <w:rFonts w:ascii="Courier New" w:hAnsi="Courier New" w:cs="Courier New" w:hint="default"/>
      </w:rPr>
    </w:lvl>
    <w:lvl w:ilvl="8" w:tplc="ECE0EC80" w:tentative="1">
      <w:start w:val="1"/>
      <w:numFmt w:val="bullet"/>
      <w:lvlText w:val=""/>
      <w:lvlJc w:val="left"/>
      <w:pPr>
        <w:ind w:left="6480" w:hanging="360"/>
      </w:pPr>
      <w:rPr>
        <w:rFonts w:ascii="Wingdings" w:hAnsi="Wingdings" w:hint="default"/>
      </w:rPr>
    </w:lvl>
  </w:abstractNum>
  <w:abstractNum w:abstractNumId="5" w15:restartNumberingAfterBreak="0">
    <w:nsid w:val="2A1100AF"/>
    <w:multiLevelType w:val="hybridMultilevel"/>
    <w:tmpl w:val="C53648BC"/>
    <w:lvl w:ilvl="0" w:tplc="39F013FA">
      <w:start w:val="1"/>
      <w:numFmt w:val="bullet"/>
      <w:lvlText w:val=""/>
      <w:lvlJc w:val="left"/>
      <w:pPr>
        <w:ind w:left="720" w:hanging="360"/>
      </w:pPr>
      <w:rPr>
        <w:rFonts w:ascii="Symbol" w:hAnsi="Symbol" w:hint="default"/>
      </w:rPr>
    </w:lvl>
    <w:lvl w:ilvl="1" w:tplc="D48ED46E" w:tentative="1">
      <w:start w:val="1"/>
      <w:numFmt w:val="bullet"/>
      <w:lvlText w:val="o"/>
      <w:lvlJc w:val="left"/>
      <w:pPr>
        <w:ind w:left="1440" w:hanging="360"/>
      </w:pPr>
      <w:rPr>
        <w:rFonts w:ascii="Courier New" w:hAnsi="Courier New" w:cs="Courier New" w:hint="default"/>
      </w:rPr>
    </w:lvl>
    <w:lvl w:ilvl="2" w:tplc="269E0328" w:tentative="1">
      <w:start w:val="1"/>
      <w:numFmt w:val="bullet"/>
      <w:lvlText w:val=""/>
      <w:lvlJc w:val="left"/>
      <w:pPr>
        <w:ind w:left="2160" w:hanging="360"/>
      </w:pPr>
      <w:rPr>
        <w:rFonts w:ascii="Wingdings" w:hAnsi="Wingdings" w:hint="default"/>
      </w:rPr>
    </w:lvl>
    <w:lvl w:ilvl="3" w:tplc="974CEC34" w:tentative="1">
      <w:start w:val="1"/>
      <w:numFmt w:val="bullet"/>
      <w:lvlText w:val=""/>
      <w:lvlJc w:val="left"/>
      <w:pPr>
        <w:ind w:left="2880" w:hanging="360"/>
      </w:pPr>
      <w:rPr>
        <w:rFonts w:ascii="Symbol" w:hAnsi="Symbol" w:hint="default"/>
      </w:rPr>
    </w:lvl>
    <w:lvl w:ilvl="4" w:tplc="0C683CD0" w:tentative="1">
      <w:start w:val="1"/>
      <w:numFmt w:val="bullet"/>
      <w:lvlText w:val="o"/>
      <w:lvlJc w:val="left"/>
      <w:pPr>
        <w:ind w:left="3600" w:hanging="360"/>
      </w:pPr>
      <w:rPr>
        <w:rFonts w:ascii="Courier New" w:hAnsi="Courier New" w:cs="Courier New" w:hint="default"/>
      </w:rPr>
    </w:lvl>
    <w:lvl w:ilvl="5" w:tplc="4C5826FC" w:tentative="1">
      <w:start w:val="1"/>
      <w:numFmt w:val="bullet"/>
      <w:lvlText w:val=""/>
      <w:lvlJc w:val="left"/>
      <w:pPr>
        <w:ind w:left="4320" w:hanging="360"/>
      </w:pPr>
      <w:rPr>
        <w:rFonts w:ascii="Wingdings" w:hAnsi="Wingdings" w:hint="default"/>
      </w:rPr>
    </w:lvl>
    <w:lvl w:ilvl="6" w:tplc="0E845C3A" w:tentative="1">
      <w:start w:val="1"/>
      <w:numFmt w:val="bullet"/>
      <w:lvlText w:val=""/>
      <w:lvlJc w:val="left"/>
      <w:pPr>
        <w:ind w:left="5040" w:hanging="360"/>
      </w:pPr>
      <w:rPr>
        <w:rFonts w:ascii="Symbol" w:hAnsi="Symbol" w:hint="default"/>
      </w:rPr>
    </w:lvl>
    <w:lvl w:ilvl="7" w:tplc="6ED8EA1E" w:tentative="1">
      <w:start w:val="1"/>
      <w:numFmt w:val="bullet"/>
      <w:lvlText w:val="o"/>
      <w:lvlJc w:val="left"/>
      <w:pPr>
        <w:ind w:left="5760" w:hanging="360"/>
      </w:pPr>
      <w:rPr>
        <w:rFonts w:ascii="Courier New" w:hAnsi="Courier New" w:cs="Courier New" w:hint="default"/>
      </w:rPr>
    </w:lvl>
    <w:lvl w:ilvl="8" w:tplc="32BE0B7C" w:tentative="1">
      <w:start w:val="1"/>
      <w:numFmt w:val="bullet"/>
      <w:lvlText w:val=""/>
      <w:lvlJc w:val="left"/>
      <w:pPr>
        <w:ind w:left="6480" w:hanging="360"/>
      </w:pPr>
      <w:rPr>
        <w:rFonts w:ascii="Wingdings" w:hAnsi="Wingdings" w:hint="default"/>
      </w:rPr>
    </w:lvl>
  </w:abstractNum>
  <w:abstractNum w:abstractNumId="6" w15:restartNumberingAfterBreak="0">
    <w:nsid w:val="2FAB605B"/>
    <w:multiLevelType w:val="hybridMultilevel"/>
    <w:tmpl w:val="542A2790"/>
    <w:lvl w:ilvl="0" w:tplc="A04C33F2">
      <w:start w:val="1"/>
      <w:numFmt w:val="lowerLetter"/>
      <w:lvlText w:val="(%1)"/>
      <w:lvlJc w:val="left"/>
      <w:pPr>
        <w:ind w:left="1080" w:hanging="360"/>
      </w:pPr>
      <w:rPr>
        <w:rFonts w:hint="default"/>
      </w:rPr>
    </w:lvl>
    <w:lvl w:ilvl="1" w:tplc="5074ED84" w:tentative="1">
      <w:start w:val="1"/>
      <w:numFmt w:val="lowerLetter"/>
      <w:lvlText w:val="%2."/>
      <w:lvlJc w:val="left"/>
      <w:pPr>
        <w:ind w:left="1800" w:hanging="360"/>
      </w:pPr>
    </w:lvl>
    <w:lvl w:ilvl="2" w:tplc="9E00E330" w:tentative="1">
      <w:start w:val="1"/>
      <w:numFmt w:val="lowerRoman"/>
      <w:lvlText w:val="%3."/>
      <w:lvlJc w:val="right"/>
      <w:pPr>
        <w:ind w:left="2520" w:hanging="180"/>
      </w:pPr>
    </w:lvl>
    <w:lvl w:ilvl="3" w:tplc="4016157E" w:tentative="1">
      <w:start w:val="1"/>
      <w:numFmt w:val="decimal"/>
      <w:lvlText w:val="%4."/>
      <w:lvlJc w:val="left"/>
      <w:pPr>
        <w:ind w:left="3240" w:hanging="360"/>
      </w:pPr>
    </w:lvl>
    <w:lvl w:ilvl="4" w:tplc="BF606C7C" w:tentative="1">
      <w:start w:val="1"/>
      <w:numFmt w:val="lowerLetter"/>
      <w:lvlText w:val="%5."/>
      <w:lvlJc w:val="left"/>
      <w:pPr>
        <w:ind w:left="3960" w:hanging="360"/>
      </w:pPr>
    </w:lvl>
    <w:lvl w:ilvl="5" w:tplc="3B38605A" w:tentative="1">
      <w:start w:val="1"/>
      <w:numFmt w:val="lowerRoman"/>
      <w:lvlText w:val="%6."/>
      <w:lvlJc w:val="right"/>
      <w:pPr>
        <w:ind w:left="4680" w:hanging="180"/>
      </w:pPr>
    </w:lvl>
    <w:lvl w:ilvl="6" w:tplc="F48683CC" w:tentative="1">
      <w:start w:val="1"/>
      <w:numFmt w:val="decimal"/>
      <w:lvlText w:val="%7."/>
      <w:lvlJc w:val="left"/>
      <w:pPr>
        <w:ind w:left="5400" w:hanging="360"/>
      </w:pPr>
    </w:lvl>
    <w:lvl w:ilvl="7" w:tplc="A50AD92E" w:tentative="1">
      <w:start w:val="1"/>
      <w:numFmt w:val="lowerLetter"/>
      <w:lvlText w:val="%8."/>
      <w:lvlJc w:val="left"/>
      <w:pPr>
        <w:ind w:left="6120" w:hanging="360"/>
      </w:pPr>
    </w:lvl>
    <w:lvl w:ilvl="8" w:tplc="52260076" w:tentative="1">
      <w:start w:val="1"/>
      <w:numFmt w:val="lowerRoman"/>
      <w:lvlText w:val="%9."/>
      <w:lvlJc w:val="right"/>
      <w:pPr>
        <w:ind w:left="6840" w:hanging="180"/>
      </w:pPr>
    </w:lvl>
  </w:abstractNum>
  <w:abstractNum w:abstractNumId="7" w15:restartNumberingAfterBreak="0">
    <w:nsid w:val="34C77686"/>
    <w:multiLevelType w:val="hybridMultilevel"/>
    <w:tmpl w:val="8648FAA8"/>
    <w:lvl w:ilvl="0" w:tplc="93A2487E">
      <w:start w:val="1"/>
      <w:numFmt w:val="lowerRoman"/>
      <w:lvlText w:val="(%1)"/>
      <w:lvlJc w:val="left"/>
      <w:pPr>
        <w:ind w:left="2222" w:hanging="804"/>
      </w:pPr>
      <w:rPr>
        <w:rFonts w:hint="default"/>
      </w:rPr>
    </w:lvl>
    <w:lvl w:ilvl="1" w:tplc="7A9082BE" w:tentative="1">
      <w:start w:val="1"/>
      <w:numFmt w:val="lowerLetter"/>
      <w:lvlText w:val="%2."/>
      <w:lvlJc w:val="left"/>
      <w:pPr>
        <w:ind w:left="2498" w:hanging="360"/>
      </w:pPr>
    </w:lvl>
    <w:lvl w:ilvl="2" w:tplc="19C4FB62" w:tentative="1">
      <w:start w:val="1"/>
      <w:numFmt w:val="lowerRoman"/>
      <w:lvlText w:val="%3."/>
      <w:lvlJc w:val="right"/>
      <w:pPr>
        <w:ind w:left="3218" w:hanging="180"/>
      </w:pPr>
    </w:lvl>
    <w:lvl w:ilvl="3" w:tplc="872ADBA4" w:tentative="1">
      <w:start w:val="1"/>
      <w:numFmt w:val="decimal"/>
      <w:lvlText w:val="%4."/>
      <w:lvlJc w:val="left"/>
      <w:pPr>
        <w:ind w:left="3938" w:hanging="360"/>
      </w:pPr>
    </w:lvl>
    <w:lvl w:ilvl="4" w:tplc="E0A2357C" w:tentative="1">
      <w:start w:val="1"/>
      <w:numFmt w:val="lowerLetter"/>
      <w:lvlText w:val="%5."/>
      <w:lvlJc w:val="left"/>
      <w:pPr>
        <w:ind w:left="4658" w:hanging="360"/>
      </w:pPr>
    </w:lvl>
    <w:lvl w:ilvl="5" w:tplc="30B26AB4" w:tentative="1">
      <w:start w:val="1"/>
      <w:numFmt w:val="lowerRoman"/>
      <w:lvlText w:val="%6."/>
      <w:lvlJc w:val="right"/>
      <w:pPr>
        <w:ind w:left="5378" w:hanging="180"/>
      </w:pPr>
    </w:lvl>
    <w:lvl w:ilvl="6" w:tplc="F418D5C6" w:tentative="1">
      <w:start w:val="1"/>
      <w:numFmt w:val="decimal"/>
      <w:lvlText w:val="%7."/>
      <w:lvlJc w:val="left"/>
      <w:pPr>
        <w:ind w:left="6098" w:hanging="360"/>
      </w:pPr>
    </w:lvl>
    <w:lvl w:ilvl="7" w:tplc="91CCAF74" w:tentative="1">
      <w:start w:val="1"/>
      <w:numFmt w:val="lowerLetter"/>
      <w:lvlText w:val="%8."/>
      <w:lvlJc w:val="left"/>
      <w:pPr>
        <w:ind w:left="6818" w:hanging="360"/>
      </w:pPr>
    </w:lvl>
    <w:lvl w:ilvl="8" w:tplc="905C9F8A" w:tentative="1">
      <w:start w:val="1"/>
      <w:numFmt w:val="lowerRoman"/>
      <w:lvlText w:val="%9."/>
      <w:lvlJc w:val="right"/>
      <w:pPr>
        <w:ind w:left="7538" w:hanging="180"/>
      </w:pPr>
    </w:lvl>
  </w:abstractNum>
  <w:abstractNum w:abstractNumId="8" w15:restartNumberingAfterBreak="0">
    <w:nsid w:val="3E0B6E78"/>
    <w:multiLevelType w:val="hybridMultilevel"/>
    <w:tmpl w:val="E89C3C32"/>
    <w:lvl w:ilvl="0" w:tplc="7744FA34">
      <w:start w:val="1"/>
      <w:numFmt w:val="bullet"/>
      <w:lvlText w:val=""/>
      <w:lvlJc w:val="left"/>
      <w:pPr>
        <w:ind w:left="720" w:hanging="360"/>
      </w:pPr>
      <w:rPr>
        <w:rFonts w:ascii="Symbol" w:hAnsi="Symbol" w:hint="default"/>
      </w:rPr>
    </w:lvl>
    <w:lvl w:ilvl="1" w:tplc="4F6A0920" w:tentative="1">
      <w:start w:val="1"/>
      <w:numFmt w:val="bullet"/>
      <w:lvlText w:val="o"/>
      <w:lvlJc w:val="left"/>
      <w:pPr>
        <w:ind w:left="1440" w:hanging="360"/>
      </w:pPr>
      <w:rPr>
        <w:rFonts w:ascii="Courier New" w:hAnsi="Courier New" w:cs="Courier New" w:hint="default"/>
      </w:rPr>
    </w:lvl>
    <w:lvl w:ilvl="2" w:tplc="8266086E" w:tentative="1">
      <w:start w:val="1"/>
      <w:numFmt w:val="bullet"/>
      <w:lvlText w:val=""/>
      <w:lvlJc w:val="left"/>
      <w:pPr>
        <w:ind w:left="2160" w:hanging="360"/>
      </w:pPr>
      <w:rPr>
        <w:rFonts w:ascii="Wingdings" w:hAnsi="Wingdings" w:hint="default"/>
      </w:rPr>
    </w:lvl>
    <w:lvl w:ilvl="3" w:tplc="C46E31A6" w:tentative="1">
      <w:start w:val="1"/>
      <w:numFmt w:val="bullet"/>
      <w:lvlText w:val=""/>
      <w:lvlJc w:val="left"/>
      <w:pPr>
        <w:ind w:left="2880" w:hanging="360"/>
      </w:pPr>
      <w:rPr>
        <w:rFonts w:ascii="Symbol" w:hAnsi="Symbol" w:hint="default"/>
      </w:rPr>
    </w:lvl>
    <w:lvl w:ilvl="4" w:tplc="07129E48" w:tentative="1">
      <w:start w:val="1"/>
      <w:numFmt w:val="bullet"/>
      <w:lvlText w:val="o"/>
      <w:lvlJc w:val="left"/>
      <w:pPr>
        <w:ind w:left="3600" w:hanging="360"/>
      </w:pPr>
      <w:rPr>
        <w:rFonts w:ascii="Courier New" w:hAnsi="Courier New" w:cs="Courier New" w:hint="default"/>
      </w:rPr>
    </w:lvl>
    <w:lvl w:ilvl="5" w:tplc="A83A471E" w:tentative="1">
      <w:start w:val="1"/>
      <w:numFmt w:val="bullet"/>
      <w:lvlText w:val=""/>
      <w:lvlJc w:val="left"/>
      <w:pPr>
        <w:ind w:left="4320" w:hanging="360"/>
      </w:pPr>
      <w:rPr>
        <w:rFonts w:ascii="Wingdings" w:hAnsi="Wingdings" w:hint="default"/>
      </w:rPr>
    </w:lvl>
    <w:lvl w:ilvl="6" w:tplc="A2E6FE70" w:tentative="1">
      <w:start w:val="1"/>
      <w:numFmt w:val="bullet"/>
      <w:lvlText w:val=""/>
      <w:lvlJc w:val="left"/>
      <w:pPr>
        <w:ind w:left="5040" w:hanging="360"/>
      </w:pPr>
      <w:rPr>
        <w:rFonts w:ascii="Symbol" w:hAnsi="Symbol" w:hint="default"/>
      </w:rPr>
    </w:lvl>
    <w:lvl w:ilvl="7" w:tplc="CE762CBE" w:tentative="1">
      <w:start w:val="1"/>
      <w:numFmt w:val="bullet"/>
      <w:lvlText w:val="o"/>
      <w:lvlJc w:val="left"/>
      <w:pPr>
        <w:ind w:left="5760" w:hanging="360"/>
      </w:pPr>
      <w:rPr>
        <w:rFonts w:ascii="Courier New" w:hAnsi="Courier New" w:cs="Courier New" w:hint="default"/>
      </w:rPr>
    </w:lvl>
    <w:lvl w:ilvl="8" w:tplc="B9AA3A78" w:tentative="1">
      <w:start w:val="1"/>
      <w:numFmt w:val="bullet"/>
      <w:lvlText w:val=""/>
      <w:lvlJc w:val="left"/>
      <w:pPr>
        <w:ind w:left="6480" w:hanging="360"/>
      </w:pPr>
      <w:rPr>
        <w:rFonts w:ascii="Wingdings" w:hAnsi="Wingdings" w:hint="default"/>
      </w:rPr>
    </w:lvl>
  </w:abstractNum>
  <w:abstractNum w:abstractNumId="9" w15:restartNumberingAfterBreak="0">
    <w:nsid w:val="49AC1502"/>
    <w:multiLevelType w:val="hybridMultilevel"/>
    <w:tmpl w:val="E9EE1446"/>
    <w:lvl w:ilvl="0" w:tplc="B6DEED6E">
      <w:start w:val="1"/>
      <w:numFmt w:val="decimal"/>
      <w:lvlText w:val="(%1)"/>
      <w:lvlJc w:val="left"/>
      <w:pPr>
        <w:ind w:left="2160" w:hanging="720"/>
      </w:pPr>
      <w:rPr>
        <w:rFonts w:hint="default"/>
      </w:rPr>
    </w:lvl>
    <w:lvl w:ilvl="1" w:tplc="58A8B09E" w:tentative="1">
      <w:start w:val="1"/>
      <w:numFmt w:val="lowerLetter"/>
      <w:lvlText w:val="%2."/>
      <w:lvlJc w:val="left"/>
      <w:pPr>
        <w:ind w:left="2520" w:hanging="360"/>
      </w:pPr>
    </w:lvl>
    <w:lvl w:ilvl="2" w:tplc="29DC2C4A" w:tentative="1">
      <w:start w:val="1"/>
      <w:numFmt w:val="lowerRoman"/>
      <w:lvlText w:val="%3."/>
      <w:lvlJc w:val="right"/>
      <w:pPr>
        <w:ind w:left="3240" w:hanging="180"/>
      </w:pPr>
    </w:lvl>
    <w:lvl w:ilvl="3" w:tplc="97040994" w:tentative="1">
      <w:start w:val="1"/>
      <w:numFmt w:val="decimal"/>
      <w:lvlText w:val="%4."/>
      <w:lvlJc w:val="left"/>
      <w:pPr>
        <w:ind w:left="3960" w:hanging="360"/>
      </w:pPr>
    </w:lvl>
    <w:lvl w:ilvl="4" w:tplc="B13A8BE8" w:tentative="1">
      <w:start w:val="1"/>
      <w:numFmt w:val="lowerLetter"/>
      <w:lvlText w:val="%5."/>
      <w:lvlJc w:val="left"/>
      <w:pPr>
        <w:ind w:left="4680" w:hanging="360"/>
      </w:pPr>
    </w:lvl>
    <w:lvl w:ilvl="5" w:tplc="E88E0D62" w:tentative="1">
      <w:start w:val="1"/>
      <w:numFmt w:val="lowerRoman"/>
      <w:lvlText w:val="%6."/>
      <w:lvlJc w:val="right"/>
      <w:pPr>
        <w:ind w:left="5400" w:hanging="180"/>
      </w:pPr>
    </w:lvl>
    <w:lvl w:ilvl="6" w:tplc="C21E70C6" w:tentative="1">
      <w:start w:val="1"/>
      <w:numFmt w:val="decimal"/>
      <w:lvlText w:val="%7."/>
      <w:lvlJc w:val="left"/>
      <w:pPr>
        <w:ind w:left="6120" w:hanging="360"/>
      </w:pPr>
    </w:lvl>
    <w:lvl w:ilvl="7" w:tplc="EDD0C8CC" w:tentative="1">
      <w:start w:val="1"/>
      <w:numFmt w:val="lowerLetter"/>
      <w:lvlText w:val="%8."/>
      <w:lvlJc w:val="left"/>
      <w:pPr>
        <w:ind w:left="6840" w:hanging="360"/>
      </w:pPr>
    </w:lvl>
    <w:lvl w:ilvl="8" w:tplc="EBE2E850" w:tentative="1">
      <w:start w:val="1"/>
      <w:numFmt w:val="lowerRoman"/>
      <w:lvlText w:val="%9."/>
      <w:lvlJc w:val="right"/>
      <w:pPr>
        <w:ind w:left="7560" w:hanging="180"/>
      </w:pPr>
    </w:lvl>
  </w:abstractNum>
  <w:abstractNum w:abstractNumId="10" w15:restartNumberingAfterBreak="0">
    <w:nsid w:val="4FBC30D5"/>
    <w:multiLevelType w:val="hybridMultilevel"/>
    <w:tmpl w:val="FA04186A"/>
    <w:lvl w:ilvl="0" w:tplc="E4B2FD2A">
      <w:start w:val="1"/>
      <w:numFmt w:val="bullet"/>
      <w:lvlText w:val="o"/>
      <w:lvlJc w:val="left"/>
      <w:pPr>
        <w:tabs>
          <w:tab w:val="num" w:pos="720"/>
        </w:tabs>
        <w:ind w:left="720" w:hanging="360"/>
      </w:pPr>
      <w:rPr>
        <w:rFonts w:ascii="Courier New" w:hAnsi="Courier New" w:hint="default"/>
      </w:rPr>
    </w:lvl>
    <w:lvl w:ilvl="1" w:tplc="DACA1822" w:tentative="1">
      <w:start w:val="1"/>
      <w:numFmt w:val="bullet"/>
      <w:lvlText w:val="o"/>
      <w:lvlJc w:val="left"/>
      <w:pPr>
        <w:tabs>
          <w:tab w:val="num" w:pos="1440"/>
        </w:tabs>
        <w:ind w:left="1440" w:hanging="360"/>
      </w:pPr>
      <w:rPr>
        <w:rFonts w:ascii="Courier New" w:hAnsi="Courier New" w:hint="default"/>
      </w:rPr>
    </w:lvl>
    <w:lvl w:ilvl="2" w:tplc="1324D016" w:tentative="1">
      <w:start w:val="1"/>
      <w:numFmt w:val="bullet"/>
      <w:lvlText w:val=""/>
      <w:lvlJc w:val="left"/>
      <w:pPr>
        <w:tabs>
          <w:tab w:val="num" w:pos="2160"/>
        </w:tabs>
        <w:ind w:left="2160" w:hanging="360"/>
      </w:pPr>
      <w:rPr>
        <w:rFonts w:ascii="Wingdings" w:hAnsi="Wingdings" w:hint="default"/>
      </w:rPr>
    </w:lvl>
    <w:lvl w:ilvl="3" w:tplc="8C5E5732" w:tentative="1">
      <w:start w:val="1"/>
      <w:numFmt w:val="bullet"/>
      <w:lvlText w:val=""/>
      <w:lvlJc w:val="left"/>
      <w:pPr>
        <w:tabs>
          <w:tab w:val="num" w:pos="2880"/>
        </w:tabs>
        <w:ind w:left="2880" w:hanging="360"/>
      </w:pPr>
      <w:rPr>
        <w:rFonts w:ascii="Symbol" w:hAnsi="Symbol" w:hint="default"/>
      </w:rPr>
    </w:lvl>
    <w:lvl w:ilvl="4" w:tplc="75EECA0E" w:tentative="1">
      <w:start w:val="1"/>
      <w:numFmt w:val="bullet"/>
      <w:lvlText w:val="o"/>
      <w:lvlJc w:val="left"/>
      <w:pPr>
        <w:tabs>
          <w:tab w:val="num" w:pos="3600"/>
        </w:tabs>
        <w:ind w:left="3600" w:hanging="360"/>
      </w:pPr>
      <w:rPr>
        <w:rFonts w:ascii="Courier New" w:hAnsi="Courier New" w:hint="default"/>
      </w:rPr>
    </w:lvl>
    <w:lvl w:ilvl="5" w:tplc="28F816AE" w:tentative="1">
      <w:start w:val="1"/>
      <w:numFmt w:val="bullet"/>
      <w:lvlText w:val=""/>
      <w:lvlJc w:val="left"/>
      <w:pPr>
        <w:tabs>
          <w:tab w:val="num" w:pos="4320"/>
        </w:tabs>
        <w:ind w:left="4320" w:hanging="360"/>
      </w:pPr>
      <w:rPr>
        <w:rFonts w:ascii="Wingdings" w:hAnsi="Wingdings" w:hint="default"/>
      </w:rPr>
    </w:lvl>
    <w:lvl w:ilvl="6" w:tplc="75E0703C" w:tentative="1">
      <w:start w:val="1"/>
      <w:numFmt w:val="bullet"/>
      <w:lvlText w:val=""/>
      <w:lvlJc w:val="left"/>
      <w:pPr>
        <w:tabs>
          <w:tab w:val="num" w:pos="5040"/>
        </w:tabs>
        <w:ind w:left="5040" w:hanging="360"/>
      </w:pPr>
      <w:rPr>
        <w:rFonts w:ascii="Symbol" w:hAnsi="Symbol" w:hint="default"/>
      </w:rPr>
    </w:lvl>
    <w:lvl w:ilvl="7" w:tplc="0D0CDFAA" w:tentative="1">
      <w:start w:val="1"/>
      <w:numFmt w:val="bullet"/>
      <w:lvlText w:val="o"/>
      <w:lvlJc w:val="left"/>
      <w:pPr>
        <w:tabs>
          <w:tab w:val="num" w:pos="5760"/>
        </w:tabs>
        <w:ind w:left="5760" w:hanging="360"/>
      </w:pPr>
      <w:rPr>
        <w:rFonts w:ascii="Courier New" w:hAnsi="Courier New" w:hint="default"/>
      </w:rPr>
    </w:lvl>
    <w:lvl w:ilvl="8" w:tplc="247AD8F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C07B84"/>
    <w:multiLevelType w:val="hybridMultilevel"/>
    <w:tmpl w:val="6D8056D6"/>
    <w:lvl w:ilvl="0" w:tplc="84065B1E">
      <w:start w:val="7"/>
      <w:numFmt w:val="decimal"/>
      <w:lvlText w:val="%1."/>
      <w:lvlJc w:val="left"/>
      <w:pPr>
        <w:ind w:left="720" w:hanging="360"/>
      </w:pPr>
      <w:rPr>
        <w:rFonts w:hint="default"/>
      </w:rPr>
    </w:lvl>
    <w:lvl w:ilvl="1" w:tplc="0E4846CC" w:tentative="1">
      <w:start w:val="1"/>
      <w:numFmt w:val="lowerLetter"/>
      <w:lvlText w:val="%2."/>
      <w:lvlJc w:val="left"/>
      <w:pPr>
        <w:ind w:left="1440" w:hanging="360"/>
      </w:pPr>
    </w:lvl>
    <w:lvl w:ilvl="2" w:tplc="538CABE2" w:tentative="1">
      <w:start w:val="1"/>
      <w:numFmt w:val="lowerRoman"/>
      <w:lvlText w:val="%3."/>
      <w:lvlJc w:val="right"/>
      <w:pPr>
        <w:ind w:left="2160" w:hanging="180"/>
      </w:pPr>
    </w:lvl>
    <w:lvl w:ilvl="3" w:tplc="7EF6144E" w:tentative="1">
      <w:start w:val="1"/>
      <w:numFmt w:val="decimal"/>
      <w:lvlText w:val="%4."/>
      <w:lvlJc w:val="left"/>
      <w:pPr>
        <w:ind w:left="2880" w:hanging="360"/>
      </w:pPr>
    </w:lvl>
    <w:lvl w:ilvl="4" w:tplc="4C049C66" w:tentative="1">
      <w:start w:val="1"/>
      <w:numFmt w:val="lowerLetter"/>
      <w:lvlText w:val="%5."/>
      <w:lvlJc w:val="left"/>
      <w:pPr>
        <w:ind w:left="3600" w:hanging="360"/>
      </w:pPr>
    </w:lvl>
    <w:lvl w:ilvl="5" w:tplc="7C90184C" w:tentative="1">
      <w:start w:val="1"/>
      <w:numFmt w:val="lowerRoman"/>
      <w:lvlText w:val="%6."/>
      <w:lvlJc w:val="right"/>
      <w:pPr>
        <w:ind w:left="4320" w:hanging="180"/>
      </w:pPr>
    </w:lvl>
    <w:lvl w:ilvl="6" w:tplc="95905FDC" w:tentative="1">
      <w:start w:val="1"/>
      <w:numFmt w:val="decimal"/>
      <w:lvlText w:val="%7."/>
      <w:lvlJc w:val="left"/>
      <w:pPr>
        <w:ind w:left="5040" w:hanging="360"/>
      </w:pPr>
    </w:lvl>
    <w:lvl w:ilvl="7" w:tplc="0556FDFA" w:tentative="1">
      <w:start w:val="1"/>
      <w:numFmt w:val="lowerLetter"/>
      <w:lvlText w:val="%8."/>
      <w:lvlJc w:val="left"/>
      <w:pPr>
        <w:ind w:left="5760" w:hanging="360"/>
      </w:pPr>
    </w:lvl>
    <w:lvl w:ilvl="8" w:tplc="FDD8D1DC" w:tentative="1">
      <w:start w:val="1"/>
      <w:numFmt w:val="lowerRoman"/>
      <w:lvlText w:val="%9."/>
      <w:lvlJc w:val="right"/>
      <w:pPr>
        <w:ind w:left="6480" w:hanging="180"/>
      </w:pPr>
    </w:lvl>
  </w:abstractNum>
  <w:abstractNum w:abstractNumId="12" w15:restartNumberingAfterBreak="0">
    <w:nsid w:val="5DDD1F2D"/>
    <w:multiLevelType w:val="hybridMultilevel"/>
    <w:tmpl w:val="C8DE79D6"/>
    <w:lvl w:ilvl="0" w:tplc="C1DCC61A">
      <w:start w:val="1"/>
      <w:numFmt w:val="lowerLetter"/>
      <w:lvlText w:val="(%1)"/>
      <w:lvlJc w:val="left"/>
      <w:pPr>
        <w:ind w:left="1353" w:hanging="360"/>
      </w:pPr>
      <w:rPr>
        <w:rFonts w:hint="default"/>
        <w:b/>
        <w:bCs/>
      </w:rPr>
    </w:lvl>
    <w:lvl w:ilvl="1" w:tplc="6EA2DD18" w:tentative="1">
      <w:start w:val="1"/>
      <w:numFmt w:val="lowerLetter"/>
      <w:lvlText w:val="%2."/>
      <w:lvlJc w:val="left"/>
      <w:pPr>
        <w:ind w:left="2073" w:hanging="360"/>
      </w:pPr>
    </w:lvl>
    <w:lvl w:ilvl="2" w:tplc="6A0A5F50" w:tentative="1">
      <w:start w:val="1"/>
      <w:numFmt w:val="lowerRoman"/>
      <w:lvlText w:val="%3."/>
      <w:lvlJc w:val="right"/>
      <w:pPr>
        <w:ind w:left="2793" w:hanging="180"/>
      </w:pPr>
    </w:lvl>
    <w:lvl w:ilvl="3" w:tplc="E40AF816" w:tentative="1">
      <w:start w:val="1"/>
      <w:numFmt w:val="decimal"/>
      <w:lvlText w:val="%4."/>
      <w:lvlJc w:val="left"/>
      <w:pPr>
        <w:ind w:left="3513" w:hanging="360"/>
      </w:pPr>
    </w:lvl>
    <w:lvl w:ilvl="4" w:tplc="0A2A6908" w:tentative="1">
      <w:start w:val="1"/>
      <w:numFmt w:val="lowerLetter"/>
      <w:lvlText w:val="%5."/>
      <w:lvlJc w:val="left"/>
      <w:pPr>
        <w:ind w:left="4233" w:hanging="360"/>
      </w:pPr>
    </w:lvl>
    <w:lvl w:ilvl="5" w:tplc="BF54A89A" w:tentative="1">
      <w:start w:val="1"/>
      <w:numFmt w:val="lowerRoman"/>
      <w:lvlText w:val="%6."/>
      <w:lvlJc w:val="right"/>
      <w:pPr>
        <w:ind w:left="4953" w:hanging="180"/>
      </w:pPr>
    </w:lvl>
    <w:lvl w:ilvl="6" w:tplc="900455AA" w:tentative="1">
      <w:start w:val="1"/>
      <w:numFmt w:val="decimal"/>
      <w:lvlText w:val="%7."/>
      <w:lvlJc w:val="left"/>
      <w:pPr>
        <w:ind w:left="5673" w:hanging="360"/>
      </w:pPr>
    </w:lvl>
    <w:lvl w:ilvl="7" w:tplc="C4B27310" w:tentative="1">
      <w:start w:val="1"/>
      <w:numFmt w:val="lowerLetter"/>
      <w:lvlText w:val="%8."/>
      <w:lvlJc w:val="left"/>
      <w:pPr>
        <w:ind w:left="6393" w:hanging="360"/>
      </w:pPr>
    </w:lvl>
    <w:lvl w:ilvl="8" w:tplc="BDA29260" w:tentative="1">
      <w:start w:val="1"/>
      <w:numFmt w:val="lowerRoman"/>
      <w:lvlText w:val="%9."/>
      <w:lvlJc w:val="right"/>
      <w:pPr>
        <w:ind w:left="7113" w:hanging="180"/>
      </w:pPr>
    </w:lvl>
  </w:abstractNum>
  <w:abstractNum w:abstractNumId="13" w15:restartNumberingAfterBreak="0">
    <w:nsid w:val="5E1D3D74"/>
    <w:multiLevelType w:val="hybridMultilevel"/>
    <w:tmpl w:val="6F5A711E"/>
    <w:lvl w:ilvl="0" w:tplc="7AE8B8CA">
      <w:start w:val="1"/>
      <w:numFmt w:val="lowerLetter"/>
      <w:lvlText w:val="(%1)"/>
      <w:lvlJc w:val="left"/>
      <w:pPr>
        <w:ind w:left="1080" w:hanging="360"/>
      </w:pPr>
      <w:rPr>
        <w:rFonts w:ascii="Times New Roman" w:hAnsi="Times New Roman" w:cs="Times New Roman" w:hint="default"/>
        <w:b/>
        <w:i/>
      </w:rPr>
    </w:lvl>
    <w:lvl w:ilvl="1" w:tplc="D59EAFDA">
      <w:start w:val="1"/>
      <w:numFmt w:val="lowerLetter"/>
      <w:lvlText w:val="%2."/>
      <w:lvlJc w:val="left"/>
      <w:pPr>
        <w:ind w:left="1800" w:hanging="360"/>
      </w:pPr>
    </w:lvl>
    <w:lvl w:ilvl="2" w:tplc="C4602F8A" w:tentative="1">
      <w:start w:val="1"/>
      <w:numFmt w:val="lowerRoman"/>
      <w:lvlText w:val="%3."/>
      <w:lvlJc w:val="right"/>
      <w:pPr>
        <w:ind w:left="2520" w:hanging="180"/>
      </w:pPr>
    </w:lvl>
    <w:lvl w:ilvl="3" w:tplc="1944BA5A" w:tentative="1">
      <w:start w:val="1"/>
      <w:numFmt w:val="decimal"/>
      <w:lvlText w:val="%4."/>
      <w:lvlJc w:val="left"/>
      <w:pPr>
        <w:ind w:left="3240" w:hanging="360"/>
      </w:pPr>
    </w:lvl>
    <w:lvl w:ilvl="4" w:tplc="930E2244" w:tentative="1">
      <w:start w:val="1"/>
      <w:numFmt w:val="lowerLetter"/>
      <w:lvlText w:val="%5."/>
      <w:lvlJc w:val="left"/>
      <w:pPr>
        <w:ind w:left="3960" w:hanging="360"/>
      </w:pPr>
    </w:lvl>
    <w:lvl w:ilvl="5" w:tplc="04D0EBD0" w:tentative="1">
      <w:start w:val="1"/>
      <w:numFmt w:val="lowerRoman"/>
      <w:lvlText w:val="%6."/>
      <w:lvlJc w:val="right"/>
      <w:pPr>
        <w:ind w:left="4680" w:hanging="180"/>
      </w:pPr>
    </w:lvl>
    <w:lvl w:ilvl="6" w:tplc="13286364" w:tentative="1">
      <w:start w:val="1"/>
      <w:numFmt w:val="decimal"/>
      <w:lvlText w:val="%7."/>
      <w:lvlJc w:val="left"/>
      <w:pPr>
        <w:ind w:left="5400" w:hanging="360"/>
      </w:pPr>
    </w:lvl>
    <w:lvl w:ilvl="7" w:tplc="671ABCE6" w:tentative="1">
      <w:start w:val="1"/>
      <w:numFmt w:val="lowerLetter"/>
      <w:lvlText w:val="%8."/>
      <w:lvlJc w:val="left"/>
      <w:pPr>
        <w:ind w:left="6120" w:hanging="360"/>
      </w:pPr>
    </w:lvl>
    <w:lvl w:ilvl="8" w:tplc="33D0399C" w:tentative="1">
      <w:start w:val="1"/>
      <w:numFmt w:val="lowerRoman"/>
      <w:lvlText w:val="%9."/>
      <w:lvlJc w:val="right"/>
      <w:pPr>
        <w:ind w:left="6840" w:hanging="180"/>
      </w:pPr>
    </w:lvl>
  </w:abstractNum>
  <w:abstractNum w:abstractNumId="14" w15:restartNumberingAfterBreak="0">
    <w:nsid w:val="5E3730AD"/>
    <w:multiLevelType w:val="hybridMultilevel"/>
    <w:tmpl w:val="6F5A711E"/>
    <w:lvl w:ilvl="0" w:tplc="90F225B0">
      <w:start w:val="1"/>
      <w:numFmt w:val="lowerLetter"/>
      <w:lvlText w:val="(%1)"/>
      <w:lvlJc w:val="left"/>
      <w:pPr>
        <w:ind w:left="1080" w:hanging="360"/>
      </w:pPr>
      <w:rPr>
        <w:rFonts w:ascii="Times New Roman" w:hAnsi="Times New Roman" w:cs="Times New Roman" w:hint="default"/>
        <w:b/>
        <w:i/>
      </w:rPr>
    </w:lvl>
    <w:lvl w:ilvl="1" w:tplc="55029FA6">
      <w:start w:val="1"/>
      <w:numFmt w:val="lowerLetter"/>
      <w:lvlText w:val="%2."/>
      <w:lvlJc w:val="left"/>
      <w:pPr>
        <w:ind w:left="1800" w:hanging="360"/>
      </w:pPr>
    </w:lvl>
    <w:lvl w:ilvl="2" w:tplc="36248C12" w:tentative="1">
      <w:start w:val="1"/>
      <w:numFmt w:val="lowerRoman"/>
      <w:lvlText w:val="%3."/>
      <w:lvlJc w:val="right"/>
      <w:pPr>
        <w:ind w:left="2520" w:hanging="180"/>
      </w:pPr>
    </w:lvl>
    <w:lvl w:ilvl="3" w:tplc="290AD7A4" w:tentative="1">
      <w:start w:val="1"/>
      <w:numFmt w:val="decimal"/>
      <w:lvlText w:val="%4."/>
      <w:lvlJc w:val="left"/>
      <w:pPr>
        <w:ind w:left="3240" w:hanging="360"/>
      </w:pPr>
    </w:lvl>
    <w:lvl w:ilvl="4" w:tplc="4C64EEAA" w:tentative="1">
      <w:start w:val="1"/>
      <w:numFmt w:val="lowerLetter"/>
      <w:lvlText w:val="%5."/>
      <w:lvlJc w:val="left"/>
      <w:pPr>
        <w:ind w:left="3960" w:hanging="360"/>
      </w:pPr>
    </w:lvl>
    <w:lvl w:ilvl="5" w:tplc="B99065B6" w:tentative="1">
      <w:start w:val="1"/>
      <w:numFmt w:val="lowerRoman"/>
      <w:lvlText w:val="%6."/>
      <w:lvlJc w:val="right"/>
      <w:pPr>
        <w:ind w:left="4680" w:hanging="180"/>
      </w:pPr>
    </w:lvl>
    <w:lvl w:ilvl="6" w:tplc="68448354" w:tentative="1">
      <w:start w:val="1"/>
      <w:numFmt w:val="decimal"/>
      <w:lvlText w:val="%7."/>
      <w:lvlJc w:val="left"/>
      <w:pPr>
        <w:ind w:left="5400" w:hanging="360"/>
      </w:pPr>
    </w:lvl>
    <w:lvl w:ilvl="7" w:tplc="C4907C1E" w:tentative="1">
      <w:start w:val="1"/>
      <w:numFmt w:val="lowerLetter"/>
      <w:lvlText w:val="%8."/>
      <w:lvlJc w:val="left"/>
      <w:pPr>
        <w:ind w:left="6120" w:hanging="360"/>
      </w:pPr>
    </w:lvl>
    <w:lvl w:ilvl="8" w:tplc="2384E588" w:tentative="1">
      <w:start w:val="1"/>
      <w:numFmt w:val="lowerRoman"/>
      <w:lvlText w:val="%9."/>
      <w:lvlJc w:val="right"/>
      <w:pPr>
        <w:ind w:left="6840" w:hanging="180"/>
      </w:pPr>
    </w:lvl>
  </w:abstractNum>
  <w:abstractNum w:abstractNumId="15" w15:restartNumberingAfterBreak="0">
    <w:nsid w:val="5E900BA2"/>
    <w:multiLevelType w:val="multilevel"/>
    <w:tmpl w:val="ED6E2B3A"/>
    <w:lvl w:ilvl="0">
      <w:start w:val="2"/>
      <w:numFmt w:val="lowerLetter"/>
      <w:lvlText w:val="(%1)"/>
      <w:lvlJc w:val="left"/>
      <w:pPr>
        <w:tabs>
          <w:tab w:val="left" w:pos="864"/>
        </w:tabs>
        <w:ind w:left="720"/>
      </w:pPr>
      <w:rPr>
        <w:rFonts w:ascii="Arial" w:eastAsia="Arial" w:hAnsi="Arial"/>
        <w:strike w:val="0"/>
        <w:color w:val="000000"/>
        <w:spacing w:val="0"/>
        <w:w w:val="100"/>
        <w:sz w:val="22"/>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8303FA7"/>
    <w:multiLevelType w:val="hybridMultilevel"/>
    <w:tmpl w:val="656411BC"/>
    <w:lvl w:ilvl="0" w:tplc="AD7611FE">
      <w:start w:val="1"/>
      <w:numFmt w:val="decimal"/>
      <w:pStyle w:val="Notes"/>
      <w:lvlText w:val="(%1)"/>
      <w:lvlJc w:val="left"/>
      <w:pPr>
        <w:tabs>
          <w:tab w:val="num" w:pos="720"/>
        </w:tabs>
        <w:ind w:left="720" w:hanging="720"/>
      </w:pPr>
      <w:rPr>
        <w:rFonts w:hint="default"/>
      </w:rPr>
    </w:lvl>
    <w:lvl w:ilvl="1" w:tplc="A06A86DC" w:tentative="1">
      <w:start w:val="1"/>
      <w:numFmt w:val="lowerLetter"/>
      <w:lvlText w:val="%2."/>
      <w:lvlJc w:val="left"/>
      <w:pPr>
        <w:tabs>
          <w:tab w:val="num" w:pos="1440"/>
        </w:tabs>
        <w:ind w:left="1440" w:hanging="360"/>
      </w:pPr>
    </w:lvl>
    <w:lvl w:ilvl="2" w:tplc="0B2CDEF6" w:tentative="1">
      <w:start w:val="1"/>
      <w:numFmt w:val="lowerRoman"/>
      <w:lvlText w:val="%3."/>
      <w:lvlJc w:val="right"/>
      <w:pPr>
        <w:tabs>
          <w:tab w:val="num" w:pos="2160"/>
        </w:tabs>
        <w:ind w:left="2160" w:hanging="180"/>
      </w:pPr>
    </w:lvl>
    <w:lvl w:ilvl="3" w:tplc="3C30612E" w:tentative="1">
      <w:start w:val="1"/>
      <w:numFmt w:val="decimal"/>
      <w:lvlText w:val="%4."/>
      <w:lvlJc w:val="left"/>
      <w:pPr>
        <w:tabs>
          <w:tab w:val="num" w:pos="2880"/>
        </w:tabs>
        <w:ind w:left="2880" w:hanging="360"/>
      </w:pPr>
    </w:lvl>
    <w:lvl w:ilvl="4" w:tplc="99A27ADC" w:tentative="1">
      <w:start w:val="1"/>
      <w:numFmt w:val="lowerLetter"/>
      <w:lvlText w:val="%5."/>
      <w:lvlJc w:val="left"/>
      <w:pPr>
        <w:tabs>
          <w:tab w:val="num" w:pos="3600"/>
        </w:tabs>
        <w:ind w:left="3600" w:hanging="360"/>
      </w:pPr>
    </w:lvl>
    <w:lvl w:ilvl="5" w:tplc="C28E7A2E" w:tentative="1">
      <w:start w:val="1"/>
      <w:numFmt w:val="lowerRoman"/>
      <w:lvlText w:val="%6."/>
      <w:lvlJc w:val="right"/>
      <w:pPr>
        <w:tabs>
          <w:tab w:val="num" w:pos="4320"/>
        </w:tabs>
        <w:ind w:left="4320" w:hanging="180"/>
      </w:pPr>
    </w:lvl>
    <w:lvl w:ilvl="6" w:tplc="B7B2DAB0" w:tentative="1">
      <w:start w:val="1"/>
      <w:numFmt w:val="decimal"/>
      <w:lvlText w:val="%7."/>
      <w:lvlJc w:val="left"/>
      <w:pPr>
        <w:tabs>
          <w:tab w:val="num" w:pos="5040"/>
        </w:tabs>
        <w:ind w:left="5040" w:hanging="360"/>
      </w:pPr>
    </w:lvl>
    <w:lvl w:ilvl="7" w:tplc="4F40B2AE" w:tentative="1">
      <w:start w:val="1"/>
      <w:numFmt w:val="lowerLetter"/>
      <w:lvlText w:val="%8."/>
      <w:lvlJc w:val="left"/>
      <w:pPr>
        <w:tabs>
          <w:tab w:val="num" w:pos="5760"/>
        </w:tabs>
        <w:ind w:left="5760" w:hanging="360"/>
      </w:pPr>
    </w:lvl>
    <w:lvl w:ilvl="8" w:tplc="443ABC38" w:tentative="1">
      <w:start w:val="1"/>
      <w:numFmt w:val="lowerRoman"/>
      <w:lvlText w:val="%9."/>
      <w:lvlJc w:val="right"/>
      <w:pPr>
        <w:tabs>
          <w:tab w:val="num" w:pos="6480"/>
        </w:tabs>
        <w:ind w:left="6480" w:hanging="180"/>
      </w:pPr>
    </w:lvl>
  </w:abstractNum>
  <w:abstractNum w:abstractNumId="17" w15:restartNumberingAfterBreak="0">
    <w:nsid w:val="6C605CAB"/>
    <w:multiLevelType w:val="multilevel"/>
    <w:tmpl w:val="7C425240"/>
    <w:lvl w:ilvl="0">
      <w:start w:val="1"/>
      <w:numFmt w:val="lowerLetter"/>
      <w:lvlText w:val="(%1)"/>
      <w:lvlJc w:val="left"/>
      <w:pPr>
        <w:tabs>
          <w:tab w:val="left" w:pos="864"/>
        </w:tabs>
        <w:ind w:left="720"/>
      </w:pPr>
      <w:rPr>
        <w:rFonts w:ascii="Times New Roman" w:eastAsia="Arial" w:hAnsi="Times New Roman" w:cs="Times New Roman" w:hint="default"/>
        <w:strike w:val="0"/>
        <w:color w:val="000000"/>
        <w:spacing w:val="0"/>
        <w:w w:val="100"/>
        <w:sz w:val="24"/>
        <w:szCs w:val="24"/>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0E84E3B"/>
    <w:multiLevelType w:val="hybridMultilevel"/>
    <w:tmpl w:val="DB920E14"/>
    <w:lvl w:ilvl="0" w:tplc="8BF6D6FA">
      <w:start w:val="1"/>
      <w:numFmt w:val="decimal"/>
      <w:lvlText w:val="%1."/>
      <w:lvlJc w:val="left"/>
      <w:pPr>
        <w:ind w:left="720" w:hanging="360"/>
      </w:pPr>
      <w:rPr>
        <w:rFonts w:ascii="Times New Roman" w:hAnsi="Times New Roman" w:cs="Times New Roman" w:hint="default"/>
        <w:b/>
        <w:bCs w:val="0"/>
        <w:i/>
      </w:rPr>
    </w:lvl>
    <w:lvl w:ilvl="1" w:tplc="091CF844" w:tentative="1">
      <w:start w:val="1"/>
      <w:numFmt w:val="lowerLetter"/>
      <w:lvlText w:val="%2."/>
      <w:lvlJc w:val="left"/>
      <w:pPr>
        <w:ind w:left="1440" w:hanging="360"/>
      </w:pPr>
    </w:lvl>
    <w:lvl w:ilvl="2" w:tplc="156A07EA" w:tentative="1">
      <w:start w:val="1"/>
      <w:numFmt w:val="lowerRoman"/>
      <w:lvlText w:val="%3."/>
      <w:lvlJc w:val="right"/>
      <w:pPr>
        <w:ind w:left="2160" w:hanging="180"/>
      </w:pPr>
    </w:lvl>
    <w:lvl w:ilvl="3" w:tplc="14626102" w:tentative="1">
      <w:start w:val="1"/>
      <w:numFmt w:val="decimal"/>
      <w:lvlText w:val="%4."/>
      <w:lvlJc w:val="left"/>
      <w:pPr>
        <w:ind w:left="2880" w:hanging="360"/>
      </w:pPr>
    </w:lvl>
    <w:lvl w:ilvl="4" w:tplc="EFCE44F8" w:tentative="1">
      <w:start w:val="1"/>
      <w:numFmt w:val="lowerLetter"/>
      <w:lvlText w:val="%5."/>
      <w:lvlJc w:val="left"/>
      <w:pPr>
        <w:ind w:left="3600" w:hanging="360"/>
      </w:pPr>
    </w:lvl>
    <w:lvl w:ilvl="5" w:tplc="522A8A06" w:tentative="1">
      <w:start w:val="1"/>
      <w:numFmt w:val="lowerRoman"/>
      <w:lvlText w:val="%6."/>
      <w:lvlJc w:val="right"/>
      <w:pPr>
        <w:ind w:left="4320" w:hanging="180"/>
      </w:pPr>
    </w:lvl>
    <w:lvl w:ilvl="6" w:tplc="8020BEF4" w:tentative="1">
      <w:start w:val="1"/>
      <w:numFmt w:val="decimal"/>
      <w:lvlText w:val="%7."/>
      <w:lvlJc w:val="left"/>
      <w:pPr>
        <w:ind w:left="5040" w:hanging="360"/>
      </w:pPr>
    </w:lvl>
    <w:lvl w:ilvl="7" w:tplc="436AB7F2" w:tentative="1">
      <w:start w:val="1"/>
      <w:numFmt w:val="lowerLetter"/>
      <w:lvlText w:val="%8."/>
      <w:lvlJc w:val="left"/>
      <w:pPr>
        <w:ind w:left="5760" w:hanging="360"/>
      </w:pPr>
    </w:lvl>
    <w:lvl w:ilvl="8" w:tplc="3782D2CA" w:tentative="1">
      <w:start w:val="1"/>
      <w:numFmt w:val="lowerRoman"/>
      <w:lvlText w:val="%9."/>
      <w:lvlJc w:val="right"/>
      <w:pPr>
        <w:ind w:left="6480" w:hanging="180"/>
      </w:pPr>
    </w:lvl>
  </w:abstractNum>
  <w:abstractNum w:abstractNumId="19" w15:restartNumberingAfterBreak="0">
    <w:nsid w:val="71E24DB0"/>
    <w:multiLevelType w:val="multilevel"/>
    <w:tmpl w:val="B944FB0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2B31D17"/>
    <w:multiLevelType w:val="hybridMultilevel"/>
    <w:tmpl w:val="35FA13E0"/>
    <w:lvl w:ilvl="0" w:tplc="094AD720">
      <w:start w:val="3"/>
      <w:numFmt w:val="lowerRoman"/>
      <w:lvlText w:val="(%1)"/>
      <w:lvlJc w:val="left"/>
      <w:pPr>
        <w:ind w:left="2160" w:hanging="720"/>
      </w:pPr>
      <w:rPr>
        <w:rFonts w:hint="default"/>
      </w:rPr>
    </w:lvl>
    <w:lvl w:ilvl="1" w:tplc="8FD8EE56" w:tentative="1">
      <w:start w:val="1"/>
      <w:numFmt w:val="lowerLetter"/>
      <w:lvlText w:val="%2."/>
      <w:lvlJc w:val="left"/>
      <w:pPr>
        <w:ind w:left="2520" w:hanging="360"/>
      </w:pPr>
    </w:lvl>
    <w:lvl w:ilvl="2" w:tplc="F006CE5A" w:tentative="1">
      <w:start w:val="1"/>
      <w:numFmt w:val="lowerRoman"/>
      <w:lvlText w:val="%3."/>
      <w:lvlJc w:val="right"/>
      <w:pPr>
        <w:ind w:left="3240" w:hanging="180"/>
      </w:pPr>
    </w:lvl>
    <w:lvl w:ilvl="3" w:tplc="DEBEA842" w:tentative="1">
      <w:start w:val="1"/>
      <w:numFmt w:val="decimal"/>
      <w:lvlText w:val="%4."/>
      <w:lvlJc w:val="left"/>
      <w:pPr>
        <w:ind w:left="3960" w:hanging="360"/>
      </w:pPr>
    </w:lvl>
    <w:lvl w:ilvl="4" w:tplc="7406930A" w:tentative="1">
      <w:start w:val="1"/>
      <w:numFmt w:val="lowerLetter"/>
      <w:lvlText w:val="%5."/>
      <w:lvlJc w:val="left"/>
      <w:pPr>
        <w:ind w:left="4680" w:hanging="360"/>
      </w:pPr>
    </w:lvl>
    <w:lvl w:ilvl="5" w:tplc="7F683F6A" w:tentative="1">
      <w:start w:val="1"/>
      <w:numFmt w:val="lowerRoman"/>
      <w:lvlText w:val="%6."/>
      <w:lvlJc w:val="right"/>
      <w:pPr>
        <w:ind w:left="5400" w:hanging="180"/>
      </w:pPr>
    </w:lvl>
    <w:lvl w:ilvl="6" w:tplc="33A483E6" w:tentative="1">
      <w:start w:val="1"/>
      <w:numFmt w:val="decimal"/>
      <w:lvlText w:val="%7."/>
      <w:lvlJc w:val="left"/>
      <w:pPr>
        <w:ind w:left="6120" w:hanging="360"/>
      </w:pPr>
    </w:lvl>
    <w:lvl w:ilvl="7" w:tplc="74647FC2" w:tentative="1">
      <w:start w:val="1"/>
      <w:numFmt w:val="lowerLetter"/>
      <w:lvlText w:val="%8."/>
      <w:lvlJc w:val="left"/>
      <w:pPr>
        <w:ind w:left="6840" w:hanging="360"/>
      </w:pPr>
    </w:lvl>
    <w:lvl w:ilvl="8" w:tplc="99BC656E" w:tentative="1">
      <w:start w:val="1"/>
      <w:numFmt w:val="lowerRoman"/>
      <w:lvlText w:val="%9."/>
      <w:lvlJc w:val="right"/>
      <w:pPr>
        <w:ind w:left="7560" w:hanging="180"/>
      </w:pPr>
    </w:lvl>
  </w:abstractNum>
  <w:abstractNum w:abstractNumId="21" w15:restartNumberingAfterBreak="0">
    <w:nsid w:val="76253DCF"/>
    <w:multiLevelType w:val="hybridMultilevel"/>
    <w:tmpl w:val="951E1E10"/>
    <w:lvl w:ilvl="0" w:tplc="215C4DC6">
      <w:start w:val="1"/>
      <w:numFmt w:val="bullet"/>
      <w:lvlText w:val=""/>
      <w:lvlJc w:val="left"/>
      <w:pPr>
        <w:ind w:left="720" w:hanging="360"/>
      </w:pPr>
      <w:rPr>
        <w:rFonts w:ascii="Symbol" w:hAnsi="Symbol" w:hint="default"/>
      </w:rPr>
    </w:lvl>
    <w:lvl w:ilvl="1" w:tplc="2ECA7E60" w:tentative="1">
      <w:start w:val="1"/>
      <w:numFmt w:val="bullet"/>
      <w:lvlText w:val="o"/>
      <w:lvlJc w:val="left"/>
      <w:pPr>
        <w:ind w:left="1440" w:hanging="360"/>
      </w:pPr>
      <w:rPr>
        <w:rFonts w:ascii="Courier New" w:hAnsi="Courier New" w:cs="Courier New" w:hint="default"/>
      </w:rPr>
    </w:lvl>
    <w:lvl w:ilvl="2" w:tplc="BDE48530" w:tentative="1">
      <w:start w:val="1"/>
      <w:numFmt w:val="bullet"/>
      <w:lvlText w:val=""/>
      <w:lvlJc w:val="left"/>
      <w:pPr>
        <w:ind w:left="2160" w:hanging="360"/>
      </w:pPr>
      <w:rPr>
        <w:rFonts w:ascii="Wingdings" w:hAnsi="Wingdings" w:hint="default"/>
      </w:rPr>
    </w:lvl>
    <w:lvl w:ilvl="3" w:tplc="165C2B7E" w:tentative="1">
      <w:start w:val="1"/>
      <w:numFmt w:val="bullet"/>
      <w:lvlText w:val=""/>
      <w:lvlJc w:val="left"/>
      <w:pPr>
        <w:ind w:left="2880" w:hanging="360"/>
      </w:pPr>
      <w:rPr>
        <w:rFonts w:ascii="Symbol" w:hAnsi="Symbol" w:hint="default"/>
      </w:rPr>
    </w:lvl>
    <w:lvl w:ilvl="4" w:tplc="D1CC0B92" w:tentative="1">
      <w:start w:val="1"/>
      <w:numFmt w:val="bullet"/>
      <w:lvlText w:val="o"/>
      <w:lvlJc w:val="left"/>
      <w:pPr>
        <w:ind w:left="3600" w:hanging="360"/>
      </w:pPr>
      <w:rPr>
        <w:rFonts w:ascii="Courier New" w:hAnsi="Courier New" w:cs="Courier New" w:hint="default"/>
      </w:rPr>
    </w:lvl>
    <w:lvl w:ilvl="5" w:tplc="5A70DAEA" w:tentative="1">
      <w:start w:val="1"/>
      <w:numFmt w:val="bullet"/>
      <w:lvlText w:val=""/>
      <w:lvlJc w:val="left"/>
      <w:pPr>
        <w:ind w:left="4320" w:hanging="360"/>
      </w:pPr>
      <w:rPr>
        <w:rFonts w:ascii="Wingdings" w:hAnsi="Wingdings" w:hint="default"/>
      </w:rPr>
    </w:lvl>
    <w:lvl w:ilvl="6" w:tplc="00726868" w:tentative="1">
      <w:start w:val="1"/>
      <w:numFmt w:val="bullet"/>
      <w:lvlText w:val=""/>
      <w:lvlJc w:val="left"/>
      <w:pPr>
        <w:ind w:left="5040" w:hanging="360"/>
      </w:pPr>
      <w:rPr>
        <w:rFonts w:ascii="Symbol" w:hAnsi="Symbol" w:hint="default"/>
      </w:rPr>
    </w:lvl>
    <w:lvl w:ilvl="7" w:tplc="E4260E7E" w:tentative="1">
      <w:start w:val="1"/>
      <w:numFmt w:val="bullet"/>
      <w:lvlText w:val="o"/>
      <w:lvlJc w:val="left"/>
      <w:pPr>
        <w:ind w:left="5760" w:hanging="360"/>
      </w:pPr>
      <w:rPr>
        <w:rFonts w:ascii="Courier New" w:hAnsi="Courier New" w:cs="Courier New" w:hint="default"/>
      </w:rPr>
    </w:lvl>
    <w:lvl w:ilvl="8" w:tplc="58DC6B0A" w:tentative="1">
      <w:start w:val="1"/>
      <w:numFmt w:val="bullet"/>
      <w:lvlText w:val=""/>
      <w:lvlJc w:val="left"/>
      <w:pPr>
        <w:ind w:left="6480" w:hanging="360"/>
      </w:pPr>
      <w:rPr>
        <w:rFonts w:ascii="Wingdings" w:hAnsi="Wingdings" w:hint="default"/>
      </w:rPr>
    </w:lvl>
  </w:abstractNum>
  <w:abstractNum w:abstractNumId="22" w15:restartNumberingAfterBreak="0">
    <w:nsid w:val="7A5E292C"/>
    <w:multiLevelType w:val="multilevel"/>
    <w:tmpl w:val="6FF8F846"/>
    <w:lvl w:ilvl="0">
      <w:start w:val="1"/>
      <w:numFmt w:val="bullet"/>
      <w:lvlText w:val="·"/>
      <w:lvlJc w:val="left"/>
      <w:pPr>
        <w:tabs>
          <w:tab w:val="left" w:pos="576"/>
        </w:tabs>
        <w:ind w:left="720"/>
      </w:pPr>
      <w:rPr>
        <w:rFonts w:ascii="Symbol" w:eastAsia="Symbol" w:hAnsi="Symbol"/>
        <w:strike w:val="0"/>
        <w:color w:val="000000"/>
        <w:spacing w:val="0"/>
        <w:w w:val="100"/>
        <w:sz w:val="22"/>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E875EC4"/>
    <w:multiLevelType w:val="hybridMultilevel"/>
    <w:tmpl w:val="542A2790"/>
    <w:lvl w:ilvl="0" w:tplc="8A5A3882">
      <w:start w:val="1"/>
      <w:numFmt w:val="lowerLetter"/>
      <w:lvlText w:val="(%1)"/>
      <w:lvlJc w:val="left"/>
      <w:pPr>
        <w:ind w:left="1080" w:hanging="360"/>
      </w:pPr>
      <w:rPr>
        <w:rFonts w:hint="default"/>
      </w:rPr>
    </w:lvl>
    <w:lvl w:ilvl="1" w:tplc="4E465128" w:tentative="1">
      <w:start w:val="1"/>
      <w:numFmt w:val="lowerLetter"/>
      <w:lvlText w:val="%2."/>
      <w:lvlJc w:val="left"/>
      <w:pPr>
        <w:ind w:left="1800" w:hanging="360"/>
      </w:pPr>
    </w:lvl>
    <w:lvl w:ilvl="2" w:tplc="C58645AC" w:tentative="1">
      <w:start w:val="1"/>
      <w:numFmt w:val="lowerRoman"/>
      <w:lvlText w:val="%3."/>
      <w:lvlJc w:val="right"/>
      <w:pPr>
        <w:ind w:left="2520" w:hanging="180"/>
      </w:pPr>
    </w:lvl>
    <w:lvl w:ilvl="3" w:tplc="6486D996" w:tentative="1">
      <w:start w:val="1"/>
      <w:numFmt w:val="decimal"/>
      <w:lvlText w:val="%4."/>
      <w:lvlJc w:val="left"/>
      <w:pPr>
        <w:ind w:left="3240" w:hanging="360"/>
      </w:pPr>
    </w:lvl>
    <w:lvl w:ilvl="4" w:tplc="E87A522A" w:tentative="1">
      <w:start w:val="1"/>
      <w:numFmt w:val="lowerLetter"/>
      <w:lvlText w:val="%5."/>
      <w:lvlJc w:val="left"/>
      <w:pPr>
        <w:ind w:left="3960" w:hanging="360"/>
      </w:pPr>
    </w:lvl>
    <w:lvl w:ilvl="5" w:tplc="A5460188" w:tentative="1">
      <w:start w:val="1"/>
      <w:numFmt w:val="lowerRoman"/>
      <w:lvlText w:val="%6."/>
      <w:lvlJc w:val="right"/>
      <w:pPr>
        <w:ind w:left="4680" w:hanging="180"/>
      </w:pPr>
    </w:lvl>
    <w:lvl w:ilvl="6" w:tplc="F79E31C2" w:tentative="1">
      <w:start w:val="1"/>
      <w:numFmt w:val="decimal"/>
      <w:lvlText w:val="%7."/>
      <w:lvlJc w:val="left"/>
      <w:pPr>
        <w:ind w:left="5400" w:hanging="360"/>
      </w:pPr>
    </w:lvl>
    <w:lvl w:ilvl="7" w:tplc="6A46761E" w:tentative="1">
      <w:start w:val="1"/>
      <w:numFmt w:val="lowerLetter"/>
      <w:lvlText w:val="%8."/>
      <w:lvlJc w:val="left"/>
      <w:pPr>
        <w:ind w:left="6120" w:hanging="360"/>
      </w:pPr>
    </w:lvl>
    <w:lvl w:ilvl="8" w:tplc="D7A2EF72" w:tentative="1">
      <w:start w:val="1"/>
      <w:numFmt w:val="lowerRoman"/>
      <w:lvlText w:val="%9."/>
      <w:lvlJc w:val="right"/>
      <w:pPr>
        <w:ind w:left="6840" w:hanging="180"/>
      </w:pPr>
    </w:lvl>
  </w:abstractNum>
  <w:num w:numId="1">
    <w:abstractNumId w:val="10"/>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6"/>
  </w:num>
  <w:num w:numId="11">
    <w:abstractNumId w:val="3"/>
  </w:num>
  <w:num w:numId="12">
    <w:abstractNumId w:val="18"/>
  </w:num>
  <w:num w:numId="13">
    <w:abstractNumId w:val="9"/>
  </w:num>
  <w:num w:numId="14">
    <w:abstractNumId w:val="13"/>
  </w:num>
  <w:num w:numId="15">
    <w:abstractNumId w:val="6"/>
  </w:num>
  <w:num w:numId="16">
    <w:abstractNumId w:val="11"/>
  </w:num>
  <w:num w:numId="17">
    <w:abstractNumId w:val="23"/>
  </w:num>
  <w:num w:numId="18">
    <w:abstractNumId w:val="0"/>
  </w:num>
  <w:num w:numId="19">
    <w:abstractNumId w:val="20"/>
  </w:num>
  <w:num w:numId="20">
    <w:abstractNumId w:val="17"/>
  </w:num>
  <w:num w:numId="21">
    <w:abstractNumId w:val="4"/>
  </w:num>
  <w:num w:numId="22">
    <w:abstractNumId w:val="5"/>
  </w:num>
  <w:num w:numId="23">
    <w:abstractNumId w:val="1"/>
  </w:num>
  <w:num w:numId="24">
    <w:abstractNumId w:val="21"/>
  </w:num>
  <w:num w:numId="25">
    <w:abstractNumId w:val="14"/>
  </w:num>
  <w:num w:numId="26">
    <w:abstractNumId w:val="8"/>
  </w:num>
  <w:num w:numId="27">
    <w:abstractNumId w:val="2"/>
  </w:num>
  <w:num w:numId="28">
    <w:abstractNumId w:val="12"/>
  </w:num>
  <w:num w:numId="29">
    <w:abstractNumId w:val="7"/>
  </w:num>
  <w:num w:numId="30">
    <w:abstractNumId w:val="2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25"/>
    <w:rsid w:val="00013437"/>
    <w:rsid w:val="000135BE"/>
    <w:rsid w:val="0002179C"/>
    <w:rsid w:val="00023CF7"/>
    <w:rsid w:val="00057E45"/>
    <w:rsid w:val="00066D7B"/>
    <w:rsid w:val="00070B1C"/>
    <w:rsid w:val="000729B6"/>
    <w:rsid w:val="000832D6"/>
    <w:rsid w:val="00083DA9"/>
    <w:rsid w:val="000A027A"/>
    <w:rsid w:val="000C4715"/>
    <w:rsid w:val="000D3B6B"/>
    <w:rsid w:val="000D69E7"/>
    <w:rsid w:val="000E4BEC"/>
    <w:rsid w:val="000E7CA2"/>
    <w:rsid w:val="000F54D3"/>
    <w:rsid w:val="001020DF"/>
    <w:rsid w:val="001115BE"/>
    <w:rsid w:val="00112255"/>
    <w:rsid w:val="00117AB6"/>
    <w:rsid w:val="00141DD2"/>
    <w:rsid w:val="00143D5B"/>
    <w:rsid w:val="00145783"/>
    <w:rsid w:val="0016320B"/>
    <w:rsid w:val="00173C13"/>
    <w:rsid w:val="00176A0E"/>
    <w:rsid w:val="001879A8"/>
    <w:rsid w:val="0019006F"/>
    <w:rsid w:val="00194EE9"/>
    <w:rsid w:val="001B1DC8"/>
    <w:rsid w:val="001B31D5"/>
    <w:rsid w:val="001B37F8"/>
    <w:rsid w:val="001C5B68"/>
    <w:rsid w:val="001E4C29"/>
    <w:rsid w:val="001E5220"/>
    <w:rsid w:val="001E52DA"/>
    <w:rsid w:val="001F6F30"/>
    <w:rsid w:val="00211B28"/>
    <w:rsid w:val="00246299"/>
    <w:rsid w:val="002730C9"/>
    <w:rsid w:val="002874D8"/>
    <w:rsid w:val="002A435A"/>
    <w:rsid w:val="002B0AD3"/>
    <w:rsid w:val="002B2164"/>
    <w:rsid w:val="002B43A2"/>
    <w:rsid w:val="002B6087"/>
    <w:rsid w:val="002F2201"/>
    <w:rsid w:val="002F5922"/>
    <w:rsid w:val="0030170F"/>
    <w:rsid w:val="0030333F"/>
    <w:rsid w:val="00351B25"/>
    <w:rsid w:val="003520FB"/>
    <w:rsid w:val="0037518C"/>
    <w:rsid w:val="0039461C"/>
    <w:rsid w:val="003950CC"/>
    <w:rsid w:val="003C0B60"/>
    <w:rsid w:val="003D33D0"/>
    <w:rsid w:val="003D36B3"/>
    <w:rsid w:val="00406914"/>
    <w:rsid w:val="004162FD"/>
    <w:rsid w:val="0042126B"/>
    <w:rsid w:val="00426851"/>
    <w:rsid w:val="00436D0C"/>
    <w:rsid w:val="0045074D"/>
    <w:rsid w:val="00463180"/>
    <w:rsid w:val="0048063F"/>
    <w:rsid w:val="00483D08"/>
    <w:rsid w:val="00484A59"/>
    <w:rsid w:val="004B0F4C"/>
    <w:rsid w:val="004B1516"/>
    <w:rsid w:val="004D0967"/>
    <w:rsid w:val="004D2641"/>
    <w:rsid w:val="004D3EB3"/>
    <w:rsid w:val="0050332E"/>
    <w:rsid w:val="00510852"/>
    <w:rsid w:val="005308DA"/>
    <w:rsid w:val="00564770"/>
    <w:rsid w:val="005900B6"/>
    <w:rsid w:val="005C41E8"/>
    <w:rsid w:val="005C78E0"/>
    <w:rsid w:val="005E5AC1"/>
    <w:rsid w:val="005F01C1"/>
    <w:rsid w:val="005F1B6C"/>
    <w:rsid w:val="006006A9"/>
    <w:rsid w:val="00613E4C"/>
    <w:rsid w:val="00614C5C"/>
    <w:rsid w:val="0061671D"/>
    <w:rsid w:val="00616EFB"/>
    <w:rsid w:val="00624F01"/>
    <w:rsid w:val="00625EEE"/>
    <w:rsid w:val="00633BAF"/>
    <w:rsid w:val="00636670"/>
    <w:rsid w:val="006671D1"/>
    <w:rsid w:val="0068778D"/>
    <w:rsid w:val="00687CBB"/>
    <w:rsid w:val="00692EDA"/>
    <w:rsid w:val="006A415A"/>
    <w:rsid w:val="006B1FC7"/>
    <w:rsid w:val="006B445E"/>
    <w:rsid w:val="006D3A8F"/>
    <w:rsid w:val="006D43EF"/>
    <w:rsid w:val="006E7966"/>
    <w:rsid w:val="006F2037"/>
    <w:rsid w:val="006F7BF4"/>
    <w:rsid w:val="00705F59"/>
    <w:rsid w:val="00717D61"/>
    <w:rsid w:val="007333F3"/>
    <w:rsid w:val="00736926"/>
    <w:rsid w:val="0074027A"/>
    <w:rsid w:val="00747D38"/>
    <w:rsid w:val="007677CE"/>
    <w:rsid w:val="007678AC"/>
    <w:rsid w:val="007725C8"/>
    <w:rsid w:val="007846B2"/>
    <w:rsid w:val="007846FC"/>
    <w:rsid w:val="007A387B"/>
    <w:rsid w:val="007B7B3A"/>
    <w:rsid w:val="007C0E92"/>
    <w:rsid w:val="007D113B"/>
    <w:rsid w:val="007D200B"/>
    <w:rsid w:val="007F0445"/>
    <w:rsid w:val="0080000C"/>
    <w:rsid w:val="008135DE"/>
    <w:rsid w:val="008259AF"/>
    <w:rsid w:val="0083623C"/>
    <w:rsid w:val="008479B3"/>
    <w:rsid w:val="00856A84"/>
    <w:rsid w:val="0085736D"/>
    <w:rsid w:val="008603F4"/>
    <w:rsid w:val="00875391"/>
    <w:rsid w:val="008801DA"/>
    <w:rsid w:val="00882FFE"/>
    <w:rsid w:val="008918E6"/>
    <w:rsid w:val="008930D8"/>
    <w:rsid w:val="008E084F"/>
    <w:rsid w:val="008E492A"/>
    <w:rsid w:val="00900755"/>
    <w:rsid w:val="00926EFD"/>
    <w:rsid w:val="00927FC4"/>
    <w:rsid w:val="00947E02"/>
    <w:rsid w:val="00966967"/>
    <w:rsid w:val="00966CD6"/>
    <w:rsid w:val="009849DB"/>
    <w:rsid w:val="0099091D"/>
    <w:rsid w:val="00993431"/>
    <w:rsid w:val="009C372A"/>
    <w:rsid w:val="009C4555"/>
    <w:rsid w:val="009D4685"/>
    <w:rsid w:val="009F3DAF"/>
    <w:rsid w:val="00A13A1B"/>
    <w:rsid w:val="00A22BD0"/>
    <w:rsid w:val="00A34FBB"/>
    <w:rsid w:val="00A37E81"/>
    <w:rsid w:val="00A44DD6"/>
    <w:rsid w:val="00A51CFE"/>
    <w:rsid w:val="00A70E99"/>
    <w:rsid w:val="00A76E32"/>
    <w:rsid w:val="00A770AA"/>
    <w:rsid w:val="00A81A02"/>
    <w:rsid w:val="00A8566F"/>
    <w:rsid w:val="00A92432"/>
    <w:rsid w:val="00A93DDA"/>
    <w:rsid w:val="00AA58FF"/>
    <w:rsid w:val="00AB142E"/>
    <w:rsid w:val="00AD1D1D"/>
    <w:rsid w:val="00AD45F1"/>
    <w:rsid w:val="00AD6897"/>
    <w:rsid w:val="00AD7BC1"/>
    <w:rsid w:val="00B04A17"/>
    <w:rsid w:val="00B0553C"/>
    <w:rsid w:val="00B16488"/>
    <w:rsid w:val="00B350C3"/>
    <w:rsid w:val="00B45714"/>
    <w:rsid w:val="00B51962"/>
    <w:rsid w:val="00B521A6"/>
    <w:rsid w:val="00B63A4F"/>
    <w:rsid w:val="00B93A49"/>
    <w:rsid w:val="00BA6DE5"/>
    <w:rsid w:val="00BB1924"/>
    <w:rsid w:val="00BB35A4"/>
    <w:rsid w:val="00BB5148"/>
    <w:rsid w:val="00BC18FF"/>
    <w:rsid w:val="00BD1962"/>
    <w:rsid w:val="00BD50CB"/>
    <w:rsid w:val="00BE1AF7"/>
    <w:rsid w:val="00C137A6"/>
    <w:rsid w:val="00C62314"/>
    <w:rsid w:val="00C72E59"/>
    <w:rsid w:val="00C77A28"/>
    <w:rsid w:val="00C9539C"/>
    <w:rsid w:val="00CB4BEB"/>
    <w:rsid w:val="00CB5EFE"/>
    <w:rsid w:val="00CC167A"/>
    <w:rsid w:val="00CC7E5C"/>
    <w:rsid w:val="00CD0FED"/>
    <w:rsid w:val="00CE28A2"/>
    <w:rsid w:val="00D046C7"/>
    <w:rsid w:val="00D0734A"/>
    <w:rsid w:val="00D216F6"/>
    <w:rsid w:val="00D22C7A"/>
    <w:rsid w:val="00D36C7D"/>
    <w:rsid w:val="00D5583C"/>
    <w:rsid w:val="00D57E40"/>
    <w:rsid w:val="00D94657"/>
    <w:rsid w:val="00DA32B0"/>
    <w:rsid w:val="00DB18B0"/>
    <w:rsid w:val="00DD5968"/>
    <w:rsid w:val="00DE3318"/>
    <w:rsid w:val="00DE5129"/>
    <w:rsid w:val="00DF242F"/>
    <w:rsid w:val="00DF4B3D"/>
    <w:rsid w:val="00E40713"/>
    <w:rsid w:val="00E62FD7"/>
    <w:rsid w:val="00E665CE"/>
    <w:rsid w:val="00E71481"/>
    <w:rsid w:val="00E75A51"/>
    <w:rsid w:val="00EB1C01"/>
    <w:rsid w:val="00EB5CF7"/>
    <w:rsid w:val="00ED015B"/>
    <w:rsid w:val="00ED26CD"/>
    <w:rsid w:val="00ED6837"/>
    <w:rsid w:val="00EE3918"/>
    <w:rsid w:val="00EE3C59"/>
    <w:rsid w:val="00F05CB8"/>
    <w:rsid w:val="00F307DD"/>
    <w:rsid w:val="00F55026"/>
    <w:rsid w:val="00F623CF"/>
    <w:rsid w:val="00F64211"/>
    <w:rsid w:val="00F66268"/>
    <w:rsid w:val="00F75082"/>
    <w:rsid w:val="00F85FA2"/>
    <w:rsid w:val="00FA25F6"/>
    <w:rsid w:val="00FC13BB"/>
    <w:rsid w:val="00FD69EF"/>
    <w:rsid w:val="00FD7756"/>
    <w:rsid w:val="00FF63A8"/>
    <w:rsid w:val="25B5BC07"/>
    <w:rsid w:val="39A5AF69"/>
    <w:rsid w:val="502EA4C2"/>
    <w:rsid w:val="5491C353"/>
    <w:rsid w:val="54C21E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FB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8E0"/>
    <w:pPr>
      <w:spacing w:after="0" w:line="240" w:lineRule="auto"/>
    </w:pPr>
    <w:rPr>
      <w:rFonts w:ascii="Times New Roman" w:hAnsi="Times New Roman" w:cs="Times New Roman"/>
      <w:sz w:val="24"/>
      <w:szCs w:val="20"/>
      <w:lang w:val="en-CA"/>
    </w:rPr>
  </w:style>
  <w:style w:type="paragraph" w:styleId="Heading1">
    <w:name w:val="heading 1"/>
    <w:basedOn w:val="Normal"/>
    <w:link w:val="Heading1Char"/>
    <w:qFormat/>
    <w:rsid w:val="00070B1C"/>
    <w:pPr>
      <w:spacing w:after="240"/>
      <w:outlineLvl w:val="0"/>
    </w:pPr>
  </w:style>
  <w:style w:type="paragraph" w:styleId="Heading2">
    <w:name w:val="heading 2"/>
    <w:basedOn w:val="Normal"/>
    <w:link w:val="Heading2Char"/>
    <w:qFormat/>
    <w:rsid w:val="00070B1C"/>
    <w:pPr>
      <w:spacing w:after="240"/>
      <w:outlineLvl w:val="1"/>
    </w:pPr>
  </w:style>
  <w:style w:type="paragraph" w:styleId="Heading3">
    <w:name w:val="heading 3"/>
    <w:basedOn w:val="Normal"/>
    <w:link w:val="Heading3Char"/>
    <w:qFormat/>
    <w:rsid w:val="00070B1C"/>
    <w:pPr>
      <w:spacing w:after="240"/>
      <w:outlineLvl w:val="2"/>
    </w:pPr>
  </w:style>
  <w:style w:type="paragraph" w:styleId="Heading4">
    <w:name w:val="heading 4"/>
    <w:basedOn w:val="Normal"/>
    <w:link w:val="Heading4Char"/>
    <w:qFormat/>
    <w:rsid w:val="00070B1C"/>
    <w:pPr>
      <w:spacing w:after="240"/>
      <w:outlineLvl w:val="3"/>
    </w:pPr>
  </w:style>
  <w:style w:type="paragraph" w:styleId="Heading5">
    <w:name w:val="heading 5"/>
    <w:basedOn w:val="Normal"/>
    <w:link w:val="Heading5Char"/>
    <w:qFormat/>
    <w:rsid w:val="00070B1C"/>
    <w:pPr>
      <w:spacing w:after="240"/>
      <w:outlineLvl w:val="4"/>
    </w:pPr>
  </w:style>
  <w:style w:type="paragraph" w:styleId="Heading6">
    <w:name w:val="heading 6"/>
    <w:basedOn w:val="Normal"/>
    <w:link w:val="Heading6Char"/>
    <w:qFormat/>
    <w:rsid w:val="00070B1C"/>
    <w:pPr>
      <w:spacing w:after="240"/>
      <w:outlineLvl w:val="5"/>
    </w:pPr>
  </w:style>
  <w:style w:type="paragraph" w:styleId="Heading7">
    <w:name w:val="heading 7"/>
    <w:basedOn w:val="Normal"/>
    <w:link w:val="Heading7Char"/>
    <w:qFormat/>
    <w:rsid w:val="00070B1C"/>
    <w:pPr>
      <w:spacing w:after="240"/>
      <w:outlineLvl w:val="6"/>
    </w:pPr>
  </w:style>
  <w:style w:type="paragraph" w:styleId="Heading8">
    <w:name w:val="heading 8"/>
    <w:basedOn w:val="Normal"/>
    <w:link w:val="Heading8Char"/>
    <w:qFormat/>
    <w:rsid w:val="00070B1C"/>
    <w:pPr>
      <w:spacing w:after="240"/>
      <w:outlineLvl w:val="7"/>
    </w:pPr>
  </w:style>
  <w:style w:type="paragraph" w:styleId="Heading9">
    <w:name w:val="heading 9"/>
    <w:basedOn w:val="Normal"/>
    <w:link w:val="Heading9Char"/>
    <w:qFormat/>
    <w:rsid w:val="00070B1C"/>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CBullet1">
    <w:name w:val="ASC Bullet 1"/>
    <w:basedOn w:val="Normal"/>
    <w:rsid w:val="0083623C"/>
  </w:style>
  <w:style w:type="paragraph" w:customStyle="1" w:styleId="ASCBullet2">
    <w:name w:val="ASC Bullet 2"/>
    <w:basedOn w:val="ASCBullet1"/>
    <w:rsid w:val="0083623C"/>
  </w:style>
  <w:style w:type="paragraph" w:customStyle="1" w:styleId="ASCBullet3">
    <w:name w:val="ASC Bullet 3"/>
    <w:basedOn w:val="ASCBullet2"/>
    <w:rsid w:val="0083623C"/>
  </w:style>
  <w:style w:type="paragraph" w:customStyle="1" w:styleId="ASCBullet4">
    <w:name w:val="ASC Bullet 4"/>
    <w:basedOn w:val="ASCBullet3"/>
    <w:rsid w:val="0083623C"/>
  </w:style>
  <w:style w:type="paragraph" w:customStyle="1" w:styleId="ASCBullet5">
    <w:name w:val="ASC Bullet 5"/>
    <w:basedOn w:val="ASCBullet4"/>
    <w:rsid w:val="0083623C"/>
  </w:style>
  <w:style w:type="paragraph" w:customStyle="1" w:styleId="ASCBullet6">
    <w:name w:val="ASC Bullet 6"/>
    <w:basedOn w:val="ASCBullet5"/>
    <w:rsid w:val="0083623C"/>
  </w:style>
  <w:style w:type="paragraph" w:customStyle="1" w:styleId="ASCBullet7">
    <w:name w:val="ASC Bullet 7"/>
    <w:basedOn w:val="ASCBullet6"/>
    <w:rsid w:val="0083623C"/>
  </w:style>
  <w:style w:type="paragraph" w:customStyle="1" w:styleId="ASCBullet8">
    <w:name w:val="ASC Bullet 8"/>
    <w:basedOn w:val="ASCBullet7"/>
    <w:rsid w:val="0083623C"/>
  </w:style>
  <w:style w:type="paragraph" w:customStyle="1" w:styleId="ASCBullet9">
    <w:name w:val="ASC Bullet 9"/>
    <w:basedOn w:val="ASCBullet8"/>
    <w:rsid w:val="0083623C"/>
  </w:style>
  <w:style w:type="paragraph" w:styleId="BodyText">
    <w:name w:val="Body Text"/>
    <w:basedOn w:val="Normal"/>
    <w:link w:val="BodyTextChar"/>
    <w:semiHidden/>
    <w:rsid w:val="0083623C"/>
    <w:pPr>
      <w:spacing w:after="240"/>
    </w:pPr>
  </w:style>
  <w:style w:type="character" w:customStyle="1" w:styleId="BodyTextChar">
    <w:name w:val="Body Text Char"/>
    <w:basedOn w:val="DefaultParagraphFont"/>
    <w:link w:val="BodyText"/>
    <w:semiHidden/>
    <w:rsid w:val="0083623C"/>
    <w:rPr>
      <w:rFonts w:ascii="Times New Roman" w:eastAsia="Times New Roman" w:hAnsi="Times New Roman" w:cs="Times New Roman"/>
      <w:sz w:val="26"/>
      <w:szCs w:val="20"/>
      <w:lang w:val="en-CA"/>
    </w:rPr>
  </w:style>
  <w:style w:type="paragraph" w:styleId="Footer">
    <w:name w:val="footer"/>
    <w:basedOn w:val="Normal"/>
    <w:link w:val="FooterChar"/>
    <w:semiHidden/>
    <w:rsid w:val="0083623C"/>
    <w:pPr>
      <w:tabs>
        <w:tab w:val="center" w:pos="4320"/>
        <w:tab w:val="right" w:pos="8640"/>
      </w:tabs>
    </w:pPr>
  </w:style>
  <w:style w:type="character" w:customStyle="1" w:styleId="FooterChar">
    <w:name w:val="Footer Char"/>
    <w:basedOn w:val="DefaultParagraphFont"/>
    <w:link w:val="Footer"/>
    <w:semiHidden/>
    <w:rsid w:val="0083623C"/>
    <w:rPr>
      <w:rFonts w:ascii="Times New Roman" w:eastAsia="Times New Roman" w:hAnsi="Times New Roman" w:cs="Times New Roman"/>
      <w:sz w:val="26"/>
      <w:szCs w:val="20"/>
      <w:lang w:val="en-CA"/>
    </w:rPr>
  </w:style>
  <w:style w:type="paragraph" w:styleId="Header">
    <w:name w:val="header"/>
    <w:basedOn w:val="Normal"/>
    <w:link w:val="HeaderChar"/>
    <w:uiPriority w:val="99"/>
    <w:rsid w:val="0083623C"/>
    <w:pPr>
      <w:tabs>
        <w:tab w:val="center" w:pos="4680"/>
        <w:tab w:val="right" w:pos="9360"/>
      </w:tabs>
    </w:pPr>
  </w:style>
  <w:style w:type="character" w:customStyle="1" w:styleId="HeaderChar">
    <w:name w:val="Header Char"/>
    <w:basedOn w:val="DefaultParagraphFont"/>
    <w:link w:val="Header"/>
    <w:uiPriority w:val="99"/>
    <w:rsid w:val="0083623C"/>
    <w:rPr>
      <w:rFonts w:ascii="Times New Roman" w:eastAsia="Times New Roman" w:hAnsi="Times New Roman" w:cs="Times New Roman"/>
      <w:sz w:val="26"/>
      <w:szCs w:val="20"/>
      <w:lang w:val="en-CA"/>
    </w:rPr>
  </w:style>
  <w:style w:type="character" w:customStyle="1" w:styleId="Heading1Char">
    <w:name w:val="Heading 1 Char"/>
    <w:basedOn w:val="DefaultParagraphFont"/>
    <w:link w:val="Heading1"/>
    <w:rsid w:val="00070B1C"/>
    <w:rPr>
      <w:rFonts w:ascii="Times New Roman" w:hAnsi="Times New Roman" w:cs="Times New Roman"/>
      <w:sz w:val="24"/>
      <w:szCs w:val="20"/>
      <w:lang w:val="en-CA"/>
    </w:rPr>
  </w:style>
  <w:style w:type="character" w:customStyle="1" w:styleId="Heading2Char">
    <w:name w:val="Heading 2 Char"/>
    <w:basedOn w:val="DefaultParagraphFont"/>
    <w:link w:val="Heading2"/>
    <w:rsid w:val="00070B1C"/>
    <w:rPr>
      <w:rFonts w:ascii="Times New Roman" w:hAnsi="Times New Roman" w:cs="Times New Roman"/>
      <w:sz w:val="24"/>
      <w:szCs w:val="20"/>
      <w:lang w:val="en-CA"/>
    </w:rPr>
  </w:style>
  <w:style w:type="character" w:customStyle="1" w:styleId="Heading3Char">
    <w:name w:val="Heading 3 Char"/>
    <w:basedOn w:val="DefaultParagraphFont"/>
    <w:link w:val="Heading3"/>
    <w:rsid w:val="00070B1C"/>
    <w:rPr>
      <w:rFonts w:ascii="Times New Roman" w:hAnsi="Times New Roman" w:cs="Times New Roman"/>
      <w:sz w:val="24"/>
      <w:szCs w:val="20"/>
      <w:lang w:val="en-CA"/>
    </w:rPr>
  </w:style>
  <w:style w:type="character" w:customStyle="1" w:styleId="Heading4Char">
    <w:name w:val="Heading 4 Char"/>
    <w:basedOn w:val="DefaultParagraphFont"/>
    <w:link w:val="Heading4"/>
    <w:rsid w:val="00070B1C"/>
    <w:rPr>
      <w:rFonts w:ascii="Times New Roman" w:hAnsi="Times New Roman" w:cs="Times New Roman"/>
      <w:sz w:val="24"/>
      <w:szCs w:val="20"/>
      <w:lang w:val="en-CA"/>
    </w:rPr>
  </w:style>
  <w:style w:type="character" w:customStyle="1" w:styleId="Heading5Char">
    <w:name w:val="Heading 5 Char"/>
    <w:basedOn w:val="DefaultParagraphFont"/>
    <w:link w:val="Heading5"/>
    <w:rsid w:val="00070B1C"/>
    <w:rPr>
      <w:rFonts w:ascii="Times New Roman" w:hAnsi="Times New Roman" w:cs="Times New Roman"/>
      <w:sz w:val="24"/>
      <w:szCs w:val="20"/>
      <w:lang w:val="en-CA"/>
    </w:rPr>
  </w:style>
  <w:style w:type="character" w:customStyle="1" w:styleId="Heading6Char">
    <w:name w:val="Heading 6 Char"/>
    <w:basedOn w:val="DefaultParagraphFont"/>
    <w:link w:val="Heading6"/>
    <w:rsid w:val="00070B1C"/>
    <w:rPr>
      <w:rFonts w:ascii="Times New Roman" w:hAnsi="Times New Roman" w:cs="Times New Roman"/>
      <w:sz w:val="24"/>
      <w:szCs w:val="20"/>
      <w:lang w:val="en-CA"/>
    </w:rPr>
  </w:style>
  <w:style w:type="character" w:customStyle="1" w:styleId="Heading7Char">
    <w:name w:val="Heading 7 Char"/>
    <w:basedOn w:val="DefaultParagraphFont"/>
    <w:link w:val="Heading7"/>
    <w:rsid w:val="00070B1C"/>
    <w:rPr>
      <w:rFonts w:ascii="Times New Roman" w:hAnsi="Times New Roman" w:cs="Times New Roman"/>
      <w:sz w:val="24"/>
      <w:szCs w:val="20"/>
      <w:lang w:val="en-CA"/>
    </w:rPr>
  </w:style>
  <w:style w:type="character" w:customStyle="1" w:styleId="Heading8Char">
    <w:name w:val="Heading 8 Char"/>
    <w:basedOn w:val="DefaultParagraphFont"/>
    <w:link w:val="Heading8"/>
    <w:rsid w:val="00070B1C"/>
    <w:rPr>
      <w:rFonts w:ascii="Times New Roman" w:hAnsi="Times New Roman" w:cs="Times New Roman"/>
      <w:sz w:val="24"/>
      <w:szCs w:val="20"/>
      <w:lang w:val="en-CA"/>
    </w:rPr>
  </w:style>
  <w:style w:type="character" w:customStyle="1" w:styleId="Heading9Char">
    <w:name w:val="Heading 9 Char"/>
    <w:basedOn w:val="DefaultParagraphFont"/>
    <w:link w:val="Heading9"/>
    <w:rsid w:val="00070B1C"/>
    <w:rPr>
      <w:rFonts w:ascii="Times New Roman" w:hAnsi="Times New Roman" w:cs="Times New Roman"/>
      <w:sz w:val="24"/>
      <w:szCs w:val="20"/>
      <w:lang w:val="en-CA"/>
    </w:rPr>
  </w:style>
  <w:style w:type="paragraph" w:customStyle="1" w:styleId="IndentDouble">
    <w:name w:val="Indent (Double)"/>
    <w:aliases w:val="D2"/>
    <w:basedOn w:val="Normal"/>
    <w:next w:val="Normal"/>
    <w:rsid w:val="0083623C"/>
    <w:pPr>
      <w:ind w:left="1440" w:right="1440"/>
    </w:pPr>
  </w:style>
  <w:style w:type="paragraph" w:customStyle="1" w:styleId="IndentSingle">
    <w:name w:val="Indent (Single)"/>
    <w:aliases w:val="D1"/>
    <w:basedOn w:val="Normal"/>
    <w:next w:val="Normal"/>
    <w:rsid w:val="0083623C"/>
    <w:pPr>
      <w:ind w:left="720" w:right="720"/>
    </w:pPr>
  </w:style>
  <w:style w:type="paragraph" w:customStyle="1" w:styleId="Notes">
    <w:name w:val="Notes"/>
    <w:basedOn w:val="Normal"/>
    <w:rsid w:val="0083623C"/>
    <w:pPr>
      <w:numPr>
        <w:numId w:val="10"/>
      </w:numPr>
      <w:spacing w:after="180"/>
    </w:pPr>
    <w:rPr>
      <w:sz w:val="18"/>
    </w:rPr>
  </w:style>
  <w:style w:type="paragraph" w:customStyle="1" w:styleId="Quotation">
    <w:name w:val="Quotation"/>
    <w:basedOn w:val="Normal"/>
    <w:rsid w:val="0083623C"/>
    <w:pPr>
      <w:ind w:left="720" w:right="720"/>
      <w:jc w:val="both"/>
    </w:pPr>
    <w:rPr>
      <w:sz w:val="22"/>
      <w:szCs w:val="24"/>
    </w:rPr>
  </w:style>
  <w:style w:type="paragraph" w:styleId="Signature">
    <w:name w:val="Signature"/>
    <w:aliases w:val="SL"/>
    <w:basedOn w:val="Normal"/>
    <w:next w:val="Normal"/>
    <w:link w:val="SignatureChar"/>
    <w:semiHidden/>
    <w:rsid w:val="0083623C"/>
    <w:pPr>
      <w:pBdr>
        <w:top w:val="single" w:sz="4" w:space="1" w:color="auto"/>
      </w:pBdr>
      <w:ind w:left="5040"/>
    </w:pPr>
  </w:style>
  <w:style w:type="character" w:customStyle="1" w:styleId="SignatureChar">
    <w:name w:val="Signature Char"/>
    <w:aliases w:val="SL Char"/>
    <w:basedOn w:val="DefaultParagraphFont"/>
    <w:link w:val="Signature"/>
    <w:semiHidden/>
    <w:rsid w:val="0083623C"/>
    <w:rPr>
      <w:rFonts w:ascii="Times New Roman" w:eastAsia="Times New Roman" w:hAnsi="Times New Roman" w:cs="Times New Roman"/>
      <w:sz w:val="26"/>
      <w:szCs w:val="20"/>
      <w:lang w:val="en-CA"/>
    </w:rPr>
  </w:style>
  <w:style w:type="numbering" w:customStyle="1" w:styleId="Standard">
    <w:name w:val="Standard"/>
    <w:uiPriority w:val="99"/>
    <w:rsid w:val="008930D8"/>
    <w:pPr>
      <w:numPr>
        <w:numId w:val="11"/>
      </w:numPr>
    </w:pPr>
  </w:style>
  <w:style w:type="paragraph" w:customStyle="1" w:styleId="Default">
    <w:name w:val="Default"/>
    <w:rsid w:val="00351B25"/>
    <w:pPr>
      <w:autoSpaceDE w:val="0"/>
      <w:autoSpaceDN w:val="0"/>
      <w:adjustRightInd w:val="0"/>
      <w:spacing w:after="0" w:line="240" w:lineRule="auto"/>
    </w:pPr>
    <w:rPr>
      <w:rFonts w:ascii="Times New Roman" w:hAnsi="Times New Roman" w:cs="Times New Roman"/>
      <w:color w:val="000000"/>
      <w:sz w:val="24"/>
      <w:szCs w:val="24"/>
      <w:lang w:val="en-CA"/>
    </w:rPr>
  </w:style>
  <w:style w:type="paragraph" w:styleId="ListParagraph">
    <w:name w:val="List Paragraph"/>
    <w:basedOn w:val="Normal"/>
    <w:uiPriority w:val="34"/>
    <w:qFormat/>
    <w:rsid w:val="00351B25"/>
    <w:pPr>
      <w:ind w:left="720"/>
      <w:contextualSpacing/>
    </w:pPr>
  </w:style>
  <w:style w:type="table" w:styleId="TableGrid">
    <w:name w:val="Table Grid"/>
    <w:basedOn w:val="TableNormal"/>
    <w:uiPriority w:val="39"/>
    <w:rsid w:val="00DA32B0"/>
    <w:pPr>
      <w:spacing w:after="0" w:line="240" w:lineRule="auto"/>
    </w:pPr>
    <w:rPr>
      <w:rFonts w:eastAsiaTheme="minorHAnsi"/>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32B0"/>
    <w:rPr>
      <w:sz w:val="16"/>
      <w:szCs w:val="16"/>
    </w:rPr>
  </w:style>
  <w:style w:type="paragraph" w:styleId="CommentText">
    <w:name w:val="annotation text"/>
    <w:basedOn w:val="Normal"/>
    <w:link w:val="CommentTextChar"/>
    <w:uiPriority w:val="99"/>
    <w:unhideWhenUsed/>
    <w:rsid w:val="00DA32B0"/>
    <w:rPr>
      <w:rFonts w:ascii="Calibri" w:eastAsiaTheme="minorHAnsi" w:hAnsi="Calibri" w:cs="Calibri"/>
      <w:sz w:val="20"/>
      <w:lang w:eastAsia="fr-CA"/>
    </w:rPr>
  </w:style>
  <w:style w:type="character" w:customStyle="1" w:styleId="CommentTextChar">
    <w:name w:val="Comment Text Char"/>
    <w:basedOn w:val="DefaultParagraphFont"/>
    <w:link w:val="CommentText"/>
    <w:uiPriority w:val="99"/>
    <w:rsid w:val="00DA32B0"/>
    <w:rPr>
      <w:rFonts w:ascii="Calibri" w:eastAsiaTheme="minorHAnsi" w:hAnsi="Calibri" w:cs="Calibri"/>
      <w:sz w:val="20"/>
      <w:szCs w:val="20"/>
      <w:lang w:val="en-CA" w:eastAsia="fr-CA"/>
    </w:rPr>
  </w:style>
  <w:style w:type="paragraph" w:styleId="BalloonText">
    <w:name w:val="Balloon Text"/>
    <w:basedOn w:val="Normal"/>
    <w:link w:val="BalloonTextChar"/>
    <w:uiPriority w:val="99"/>
    <w:semiHidden/>
    <w:unhideWhenUsed/>
    <w:rsid w:val="00DA32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2B0"/>
    <w:rPr>
      <w:rFonts w:ascii="Segoe UI" w:hAnsi="Segoe UI" w:cs="Segoe UI"/>
      <w:sz w:val="18"/>
      <w:szCs w:val="18"/>
      <w:lang w:val="en-CA"/>
    </w:rPr>
  </w:style>
  <w:style w:type="paragraph" w:styleId="CommentSubject">
    <w:name w:val="annotation subject"/>
    <w:basedOn w:val="CommentText"/>
    <w:next w:val="CommentText"/>
    <w:link w:val="CommentSubjectChar"/>
    <w:uiPriority w:val="99"/>
    <w:semiHidden/>
    <w:unhideWhenUsed/>
    <w:rsid w:val="00D5583C"/>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uiPriority w:val="99"/>
    <w:semiHidden/>
    <w:rsid w:val="00D5583C"/>
    <w:rPr>
      <w:rFonts w:ascii="Times New Roman" w:eastAsiaTheme="minorHAnsi" w:hAnsi="Times New Roman" w:cs="Times New Roman"/>
      <w:b/>
      <w:bCs/>
      <w:sz w:val="20"/>
      <w:szCs w:val="20"/>
      <w:lang w:val="en-CA" w:eastAsia="fr-CA"/>
    </w:rPr>
  </w:style>
  <w:style w:type="paragraph" w:styleId="Revision">
    <w:name w:val="Revision"/>
    <w:hidden/>
    <w:uiPriority w:val="99"/>
    <w:semiHidden/>
    <w:rsid w:val="00DD5968"/>
    <w:pPr>
      <w:spacing w:after="0" w:line="240" w:lineRule="auto"/>
    </w:pPr>
    <w:rPr>
      <w:rFonts w:ascii="Times New Roman" w:hAnsi="Times New Roman" w:cs="Times New Roman"/>
      <w:sz w:val="24"/>
      <w:szCs w:val="20"/>
      <w:lang w:val="en-CA"/>
    </w:rPr>
  </w:style>
  <w:style w:type="paragraph" w:customStyle="1" w:styleId="xmsonormal">
    <w:name w:val="x_msonormal"/>
    <w:basedOn w:val="Normal"/>
    <w:uiPriority w:val="99"/>
    <w:rsid w:val="00ED6837"/>
    <w:rPr>
      <w:rFonts w:eastAsiaTheme="minorHAnsi"/>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31C2617C3F854AA4235935C0629F31" ma:contentTypeVersion="4" ma:contentTypeDescription="Crée un document." ma:contentTypeScope="" ma:versionID="891ca13ca7f111cf77c5c1070052377a">
  <xsd:schema xmlns:xsd="http://www.w3.org/2001/XMLSchema" xmlns:xs="http://www.w3.org/2001/XMLSchema" xmlns:p="http://schemas.microsoft.com/office/2006/metadata/properties" xmlns:ns2="49967c35-148d-4445-b944-46ff8b2dff42" targetNamespace="http://schemas.microsoft.com/office/2006/metadata/properties" ma:root="true" ma:fieldsID="8010fa50b2ebd4e20ea97b95696dbe88" ns2:_="">
    <xsd:import namespace="49967c35-148d-4445-b944-46ff8b2dff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67c35-148d-4445-b944-46ff8b2df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72B433-86C3-42E8-9AB9-1BA60A5A6EAF}">
  <ds:schemaRefs>
    <ds:schemaRef ds:uri="http://purl.org/dc/terms/"/>
    <ds:schemaRef ds:uri="http://purl.org/dc/elements/1.1/"/>
    <ds:schemaRef ds:uri="http://www.w3.org/XML/1998/namespace"/>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49967c35-148d-4445-b944-46ff8b2dff42"/>
  </ds:schemaRefs>
</ds:datastoreItem>
</file>

<file path=customXml/itemProps2.xml><?xml version="1.0" encoding="utf-8"?>
<ds:datastoreItem xmlns:ds="http://schemas.openxmlformats.org/officeDocument/2006/customXml" ds:itemID="{3DA66AF9-B37E-499A-B51E-C1A20CFAD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67c35-148d-4445-b944-46ff8b2df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EA3FB4-E6BA-4CB0-947F-D4728F346D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3094</Words>
  <Characters>17637</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2021-08-04T20:33:00Z</dcterms:created>
  <dcterms:modified xsi:type="dcterms:W3CDTF">2021-08-04T20:33:00Z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0x0101001631C2617C3F854AA4235935C0629F31</vt:lpwstr>
  </property>
</Properties>
</file>