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14A22" w14:textId="77777777" w:rsidR="003127FD" w:rsidRDefault="003127FD" w:rsidP="00645D7A">
      <w:pPr>
        <w:jc w:val="both"/>
        <w:rPr>
          <w:rFonts w:cs="Times New Roman"/>
          <w:szCs w:val="24"/>
          <w:lang w:val="en-US"/>
        </w:rPr>
      </w:pPr>
    </w:p>
    <w:p w14:paraId="4D7DF1FB" w14:textId="171A537B" w:rsidR="003F5CD4" w:rsidRDefault="003F5CD4" w:rsidP="00645D7A">
      <w:pPr>
        <w:jc w:val="both"/>
        <w:rPr>
          <w:rFonts w:cs="Times New Roman"/>
          <w:szCs w:val="24"/>
          <w:lang w:val="en-US"/>
        </w:rPr>
      </w:pPr>
      <w:r>
        <w:rPr>
          <w:rFonts w:cs="Times New Roman"/>
          <w:noProof/>
          <w:szCs w:val="24"/>
          <w:lang w:val="en-US" w:eastAsia="en-US"/>
        </w:rPr>
        <w:drawing>
          <wp:anchor distT="0" distB="0" distL="114300" distR="114300" simplePos="0" relativeHeight="251658240" behindDoc="0" locked="0" layoutInCell="1" allowOverlap="1" wp14:anchorId="326A3532" wp14:editId="2F878479">
            <wp:simplePos x="0" y="0"/>
            <wp:positionH relativeFrom="column">
              <wp:posOffset>137160</wp:posOffset>
            </wp:positionH>
            <wp:positionV relativeFrom="paragraph">
              <wp:posOffset>-125730</wp:posOffset>
            </wp:positionV>
            <wp:extent cx="5476875" cy="342900"/>
            <wp:effectExtent l="0" t="0" r="9525" b="0"/>
            <wp:wrapNone/>
            <wp:docPr id="8" name="Picture 8" descr="Logo CSA_AC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SA_ACV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6875"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B902AC" w14:textId="4757C56B" w:rsidR="003F5CD4" w:rsidRDefault="003F5CD4" w:rsidP="003F5CD4">
      <w:pPr>
        <w:widowControl w:val="0"/>
        <w:shd w:val="clear" w:color="auto" w:fill="184B8B"/>
        <w:autoSpaceDE w:val="0"/>
        <w:autoSpaceDN w:val="0"/>
        <w:adjustRightInd w:val="0"/>
        <w:jc w:val="center"/>
        <w:rPr>
          <w:b/>
          <w:color w:val="BEAF87"/>
          <w:sz w:val="32"/>
          <w:szCs w:val="32"/>
          <w:lang w:eastAsia="en-CA"/>
        </w:rPr>
      </w:pPr>
      <w:r>
        <w:rPr>
          <w:b/>
          <w:color w:val="BEAF87"/>
          <w:sz w:val="32"/>
          <w:szCs w:val="32"/>
          <w:lang w:eastAsia="en-CA"/>
        </w:rPr>
        <w:t>C</w:t>
      </w:r>
      <w:r w:rsidRPr="00784F6E">
        <w:rPr>
          <w:b/>
          <w:color w:val="BEAF87"/>
          <w:sz w:val="32"/>
          <w:szCs w:val="32"/>
          <w:lang w:eastAsia="en-CA"/>
        </w:rPr>
        <w:t xml:space="preserve">SA </w:t>
      </w:r>
      <w:r>
        <w:rPr>
          <w:b/>
          <w:color w:val="BEAF87"/>
          <w:sz w:val="32"/>
          <w:szCs w:val="32"/>
          <w:lang w:eastAsia="en-CA"/>
        </w:rPr>
        <w:t xml:space="preserve">Consultation Paper </w:t>
      </w:r>
      <w:r w:rsidR="00467F4D">
        <w:rPr>
          <w:b/>
          <w:color w:val="BEAF87"/>
          <w:sz w:val="32"/>
          <w:szCs w:val="32"/>
          <w:lang w:eastAsia="en-CA"/>
        </w:rPr>
        <w:t>25-403</w:t>
      </w:r>
    </w:p>
    <w:p w14:paraId="1BA86E2F" w14:textId="06FD7C47" w:rsidR="003F5CD4" w:rsidRPr="005E51A1" w:rsidRDefault="003F5CD4" w:rsidP="003F5CD4">
      <w:pPr>
        <w:widowControl w:val="0"/>
        <w:shd w:val="clear" w:color="auto" w:fill="184B8B"/>
        <w:autoSpaceDE w:val="0"/>
        <w:autoSpaceDN w:val="0"/>
        <w:adjustRightInd w:val="0"/>
        <w:jc w:val="center"/>
        <w:rPr>
          <w:b/>
          <w:i/>
          <w:color w:val="BEAF87"/>
          <w:sz w:val="32"/>
          <w:szCs w:val="32"/>
          <w:lang w:eastAsia="en-CA"/>
        </w:rPr>
      </w:pPr>
      <w:r>
        <w:rPr>
          <w:b/>
          <w:i/>
          <w:color w:val="BEAF87"/>
          <w:sz w:val="32"/>
          <w:szCs w:val="32"/>
          <w:lang w:eastAsia="en-CA"/>
        </w:rPr>
        <w:t>Activist Short Selling</w:t>
      </w:r>
    </w:p>
    <w:p w14:paraId="417FA7A9" w14:textId="2A6E41B1" w:rsidR="00467F4D" w:rsidRDefault="00467F4D" w:rsidP="00994510">
      <w:pPr>
        <w:pStyle w:val="Heading1"/>
        <w:spacing w:before="0"/>
        <w:rPr>
          <w:lang w:val="en-US"/>
        </w:rPr>
      </w:pPr>
      <w:r>
        <w:rPr>
          <w:lang w:val="en-US"/>
        </w:rPr>
        <w:t>December 3, 2020</w:t>
      </w:r>
    </w:p>
    <w:p w14:paraId="62DAE04A" w14:textId="77777777" w:rsidR="00994510" w:rsidRPr="00994510" w:rsidRDefault="00994510" w:rsidP="00994510">
      <w:pPr>
        <w:spacing w:before="0" w:after="0"/>
        <w:rPr>
          <w:lang w:val="en-US"/>
        </w:rPr>
      </w:pPr>
    </w:p>
    <w:p w14:paraId="2797B18E" w14:textId="14D632ED" w:rsidR="003F5CD4" w:rsidRDefault="003F5CD4" w:rsidP="00994510">
      <w:pPr>
        <w:pStyle w:val="Heading1"/>
        <w:spacing w:before="0"/>
        <w:rPr>
          <w:lang w:val="en-US"/>
        </w:rPr>
      </w:pPr>
      <w:r>
        <w:rPr>
          <w:lang w:val="en-US"/>
        </w:rPr>
        <w:t>Introduction</w:t>
      </w:r>
    </w:p>
    <w:p w14:paraId="786C5E6B" w14:textId="77777777" w:rsidR="00994510" w:rsidRPr="00994510" w:rsidRDefault="00994510" w:rsidP="00994510">
      <w:pPr>
        <w:spacing w:before="0" w:after="0"/>
        <w:rPr>
          <w:lang w:val="en-US"/>
        </w:rPr>
      </w:pPr>
    </w:p>
    <w:p w14:paraId="01835C12" w14:textId="35BFBB5D" w:rsidR="00645D7A" w:rsidRDefault="00645D7A" w:rsidP="00994510">
      <w:pPr>
        <w:spacing w:before="0" w:after="0"/>
        <w:rPr>
          <w:rFonts w:cs="Times New Roman"/>
          <w:szCs w:val="24"/>
          <w:lang w:val="en-US"/>
        </w:rPr>
      </w:pPr>
      <w:r w:rsidRPr="00645D7A">
        <w:rPr>
          <w:rFonts w:cs="Times New Roman"/>
          <w:szCs w:val="24"/>
          <w:lang w:val="en-US"/>
        </w:rPr>
        <w:t xml:space="preserve">The purpose of this consultation paper (the </w:t>
      </w:r>
      <w:r w:rsidRPr="00645D7A">
        <w:rPr>
          <w:rFonts w:cs="Times New Roman"/>
          <w:b/>
          <w:szCs w:val="24"/>
          <w:lang w:val="en-US"/>
        </w:rPr>
        <w:t>Consultation Paper</w:t>
      </w:r>
      <w:r w:rsidRPr="00645D7A">
        <w:rPr>
          <w:rFonts w:cs="Times New Roman"/>
          <w:szCs w:val="24"/>
          <w:lang w:val="en-US"/>
        </w:rPr>
        <w:t>) is to facilitate discussion of concerns relating to activist short selling and its potential impact on Canadian capital markets.</w:t>
      </w:r>
    </w:p>
    <w:p w14:paraId="1783A525" w14:textId="77777777" w:rsidR="00994510" w:rsidRDefault="00994510" w:rsidP="00994510">
      <w:pPr>
        <w:spacing w:before="0" w:after="0"/>
        <w:rPr>
          <w:rFonts w:cs="Times New Roman"/>
          <w:szCs w:val="24"/>
          <w:lang w:val="en-US"/>
        </w:rPr>
      </w:pPr>
    </w:p>
    <w:p w14:paraId="276FDCF5" w14:textId="0999EF2F" w:rsidR="003F4853" w:rsidRDefault="00AF3D2C" w:rsidP="00994510">
      <w:pPr>
        <w:spacing w:before="0" w:after="0"/>
        <w:rPr>
          <w:rFonts w:cs="Times New Roman"/>
          <w:lang w:val="en-US"/>
        </w:rPr>
      </w:pPr>
      <w:r w:rsidRPr="2E96ABE4">
        <w:rPr>
          <w:rFonts w:cs="Times New Roman"/>
          <w:lang w:val="en-US"/>
        </w:rPr>
        <w:t xml:space="preserve">Since 2019, </w:t>
      </w:r>
      <w:r w:rsidR="00A64862" w:rsidRPr="2E96ABE4">
        <w:rPr>
          <w:rFonts w:cs="Times New Roman"/>
          <w:lang w:val="en-US"/>
        </w:rPr>
        <w:t xml:space="preserve">a committee </w:t>
      </w:r>
      <w:r w:rsidR="00975BEA" w:rsidRPr="2E96ABE4">
        <w:rPr>
          <w:rFonts w:cs="Times New Roman"/>
          <w:lang w:val="en-US"/>
        </w:rPr>
        <w:t>(</w:t>
      </w:r>
      <w:r w:rsidR="00975BEA" w:rsidRPr="2E96ABE4">
        <w:rPr>
          <w:rFonts w:cs="Times New Roman"/>
          <w:b/>
          <w:bCs/>
          <w:lang w:val="en-US"/>
        </w:rPr>
        <w:t xml:space="preserve">we </w:t>
      </w:r>
      <w:r w:rsidR="00975BEA" w:rsidRPr="2E96ABE4">
        <w:rPr>
          <w:rFonts w:cs="Times New Roman"/>
          <w:lang w:val="en-US"/>
        </w:rPr>
        <w:t xml:space="preserve">or the </w:t>
      </w:r>
      <w:r w:rsidR="00975BEA" w:rsidRPr="2E96ABE4">
        <w:rPr>
          <w:rFonts w:cs="Times New Roman"/>
          <w:b/>
          <w:bCs/>
          <w:lang w:val="en-US"/>
        </w:rPr>
        <w:t>Committee</w:t>
      </w:r>
      <w:r w:rsidR="00975BEA" w:rsidRPr="009E73B3">
        <w:rPr>
          <w:rFonts w:cs="Times New Roman"/>
          <w:bCs/>
          <w:lang w:val="en-US"/>
        </w:rPr>
        <w:t>)</w:t>
      </w:r>
      <w:r w:rsidR="00975BEA" w:rsidRPr="00EC2A25">
        <w:rPr>
          <w:rFonts w:cs="Times New Roman"/>
          <w:bCs/>
          <w:lang w:val="en-US"/>
        </w:rPr>
        <w:t xml:space="preserve"> </w:t>
      </w:r>
      <w:r w:rsidR="00A64862" w:rsidRPr="2E96ABE4">
        <w:rPr>
          <w:rFonts w:cs="Times New Roman"/>
          <w:lang w:val="en-US"/>
        </w:rPr>
        <w:t>comprised of staff from the Canadian Securities Administrators (</w:t>
      </w:r>
      <w:r w:rsidR="00A64862" w:rsidRPr="2E96ABE4">
        <w:rPr>
          <w:rFonts w:cs="Times New Roman"/>
          <w:b/>
          <w:bCs/>
          <w:lang w:val="en-US"/>
        </w:rPr>
        <w:t>CSA</w:t>
      </w:r>
      <w:r w:rsidR="00A64862" w:rsidRPr="2E96ABE4">
        <w:rPr>
          <w:rFonts w:cs="Times New Roman"/>
          <w:lang w:val="en-US"/>
        </w:rPr>
        <w:t xml:space="preserve">) </w:t>
      </w:r>
      <w:r w:rsidRPr="2E96ABE4">
        <w:rPr>
          <w:rFonts w:cs="Times New Roman"/>
          <w:lang w:val="en-US"/>
        </w:rPr>
        <w:t xml:space="preserve">has undertaken </w:t>
      </w:r>
      <w:r w:rsidR="005D675F" w:rsidRPr="2E96ABE4">
        <w:rPr>
          <w:rFonts w:cs="Times New Roman"/>
          <w:lang w:val="en-US"/>
        </w:rPr>
        <w:t xml:space="preserve">research </w:t>
      </w:r>
      <w:r w:rsidR="003F468C" w:rsidRPr="2E96ABE4">
        <w:rPr>
          <w:rFonts w:cs="Times New Roman"/>
          <w:lang w:val="en-US"/>
        </w:rPr>
        <w:t xml:space="preserve">and analysis </w:t>
      </w:r>
      <w:r w:rsidRPr="2E96ABE4">
        <w:rPr>
          <w:rFonts w:cs="Times New Roman"/>
          <w:lang w:val="en-US"/>
        </w:rPr>
        <w:t xml:space="preserve">on </w:t>
      </w:r>
      <w:r w:rsidR="005D675F" w:rsidRPr="2E96ABE4">
        <w:rPr>
          <w:rFonts w:cs="Times New Roman"/>
          <w:lang w:val="en-US"/>
        </w:rPr>
        <w:t>activist short selling</w:t>
      </w:r>
      <w:r w:rsidR="00A64862" w:rsidRPr="2E96ABE4">
        <w:rPr>
          <w:rFonts w:cs="Times New Roman"/>
          <w:lang w:val="en-US"/>
        </w:rPr>
        <w:t xml:space="preserve">. </w:t>
      </w:r>
      <w:r w:rsidR="00842B83" w:rsidRPr="2E96ABE4">
        <w:rPr>
          <w:rFonts w:cs="Times New Roman"/>
          <w:lang w:val="en-US"/>
        </w:rPr>
        <w:t xml:space="preserve">The CSA’s consideration of </w:t>
      </w:r>
      <w:r w:rsidR="002921BB" w:rsidRPr="2E96ABE4">
        <w:rPr>
          <w:rFonts w:cs="Times New Roman"/>
          <w:lang w:val="en-US"/>
        </w:rPr>
        <w:t>this activity</w:t>
      </w:r>
      <w:r w:rsidR="00842B83" w:rsidRPr="2E96ABE4">
        <w:rPr>
          <w:rFonts w:cs="Times New Roman"/>
          <w:lang w:val="en-US"/>
        </w:rPr>
        <w:t xml:space="preserve"> </w:t>
      </w:r>
      <w:r w:rsidR="00AA7E8E" w:rsidRPr="2E96ABE4">
        <w:rPr>
          <w:rFonts w:cs="Times New Roman"/>
          <w:lang w:val="en-US"/>
        </w:rPr>
        <w:t>arose in the wake of a</w:t>
      </w:r>
      <w:r w:rsidR="00CF24AB" w:rsidRPr="2E96ABE4">
        <w:rPr>
          <w:rFonts w:cs="Times New Roman"/>
          <w:lang w:val="en-US"/>
        </w:rPr>
        <w:t>n</w:t>
      </w:r>
      <w:r w:rsidR="00AA7E8E" w:rsidRPr="2E96ABE4">
        <w:rPr>
          <w:rFonts w:cs="Times New Roman"/>
          <w:lang w:val="en-US"/>
        </w:rPr>
        <w:t xml:space="preserve"> </w:t>
      </w:r>
      <w:r w:rsidR="008D030B" w:rsidRPr="2E96ABE4">
        <w:rPr>
          <w:rFonts w:cs="Times New Roman"/>
          <w:lang w:val="en-US"/>
        </w:rPr>
        <w:t>increased</w:t>
      </w:r>
      <w:r w:rsidR="00AA7E8E" w:rsidRPr="2E96ABE4">
        <w:rPr>
          <w:rFonts w:cs="Times New Roman"/>
          <w:lang w:val="en-US"/>
        </w:rPr>
        <w:t xml:space="preserve"> number of ca</w:t>
      </w:r>
      <w:r w:rsidR="009E0833" w:rsidRPr="2E96ABE4">
        <w:rPr>
          <w:rFonts w:cs="Times New Roman"/>
          <w:lang w:val="en-US"/>
        </w:rPr>
        <w:t>mpaigns targeting Canadian issuers</w:t>
      </w:r>
      <w:r w:rsidR="000C1B8A" w:rsidRPr="2E96ABE4">
        <w:rPr>
          <w:rFonts w:cs="Times New Roman"/>
          <w:lang w:val="en-US"/>
        </w:rPr>
        <w:t xml:space="preserve"> (</w:t>
      </w:r>
      <w:r w:rsidR="000C1B8A" w:rsidRPr="2E96ABE4">
        <w:rPr>
          <w:rFonts w:cs="Times New Roman"/>
          <w:b/>
          <w:bCs/>
          <w:lang w:val="en-US"/>
        </w:rPr>
        <w:t>Campaigns</w:t>
      </w:r>
      <w:r w:rsidR="000C1B8A" w:rsidRPr="2E96ABE4">
        <w:rPr>
          <w:rFonts w:cs="Times New Roman"/>
          <w:lang w:val="en-US"/>
        </w:rPr>
        <w:t>)</w:t>
      </w:r>
      <w:r w:rsidR="009E0833" w:rsidRPr="2E96ABE4">
        <w:rPr>
          <w:rFonts w:cs="Times New Roman"/>
          <w:lang w:val="en-US"/>
        </w:rPr>
        <w:t xml:space="preserve"> and </w:t>
      </w:r>
      <w:r w:rsidR="00621F9C" w:rsidRPr="2E96ABE4">
        <w:rPr>
          <w:rFonts w:cs="Times New Roman"/>
          <w:lang w:val="en-US"/>
        </w:rPr>
        <w:t>concerns</w:t>
      </w:r>
      <w:r w:rsidR="002921BB" w:rsidRPr="2E96ABE4">
        <w:rPr>
          <w:rFonts w:cs="Times New Roman"/>
          <w:lang w:val="en-US"/>
        </w:rPr>
        <w:t xml:space="preserve"> raised about</w:t>
      </w:r>
      <w:r w:rsidR="00621F9C" w:rsidRPr="2E96ABE4">
        <w:rPr>
          <w:rFonts w:cs="Times New Roman"/>
          <w:lang w:val="en-US"/>
        </w:rPr>
        <w:t xml:space="preserve"> </w:t>
      </w:r>
      <w:r w:rsidR="003D6266" w:rsidRPr="2E96ABE4">
        <w:rPr>
          <w:rFonts w:cs="Times New Roman"/>
          <w:lang w:val="en-US"/>
        </w:rPr>
        <w:t>the</w:t>
      </w:r>
      <w:r w:rsidR="00621F9C" w:rsidRPr="2E96ABE4">
        <w:rPr>
          <w:rFonts w:cs="Times New Roman"/>
          <w:lang w:val="en-US"/>
        </w:rPr>
        <w:t xml:space="preserve"> </w:t>
      </w:r>
      <w:r w:rsidR="00D61469" w:rsidRPr="2E96ABE4">
        <w:rPr>
          <w:rFonts w:cs="Times New Roman"/>
          <w:lang w:val="en-US"/>
        </w:rPr>
        <w:t xml:space="preserve">potential </w:t>
      </w:r>
      <w:r w:rsidR="00621F9C" w:rsidRPr="2E96ABE4">
        <w:rPr>
          <w:rFonts w:cs="Times New Roman"/>
          <w:lang w:val="en-US"/>
        </w:rPr>
        <w:t xml:space="preserve">impact </w:t>
      </w:r>
      <w:r w:rsidR="003D6266" w:rsidRPr="2E96ABE4">
        <w:rPr>
          <w:rFonts w:cs="Times New Roman"/>
          <w:lang w:val="en-US"/>
        </w:rPr>
        <w:t xml:space="preserve">of activist short selling </w:t>
      </w:r>
      <w:r w:rsidR="00621F9C" w:rsidRPr="2E96ABE4">
        <w:rPr>
          <w:rFonts w:cs="Times New Roman"/>
          <w:lang w:val="en-US"/>
        </w:rPr>
        <w:t>on our markets</w:t>
      </w:r>
      <w:r w:rsidR="009E0833" w:rsidRPr="2E96ABE4">
        <w:rPr>
          <w:rFonts w:cs="Times New Roman"/>
          <w:lang w:val="en-US"/>
        </w:rPr>
        <w:t>.</w:t>
      </w:r>
      <w:r w:rsidR="00B3762F" w:rsidRPr="2E96ABE4">
        <w:rPr>
          <w:rStyle w:val="FootnoteReference"/>
          <w:rFonts w:cs="Times New Roman"/>
          <w:lang w:val="en-US"/>
        </w:rPr>
        <w:footnoteReference w:id="1"/>
      </w:r>
      <w:r w:rsidR="008F3D7A" w:rsidRPr="2E96ABE4">
        <w:rPr>
          <w:rFonts w:cs="Times New Roman"/>
          <w:lang w:val="en-US"/>
        </w:rPr>
        <w:t xml:space="preserve"> </w:t>
      </w:r>
      <w:r w:rsidR="009F2111" w:rsidRPr="2E96ABE4">
        <w:rPr>
          <w:rFonts w:cs="Times New Roman"/>
          <w:lang w:val="en-US"/>
        </w:rPr>
        <w:t xml:space="preserve"> We have also heard</w:t>
      </w:r>
      <w:r w:rsidR="00A92DDD" w:rsidRPr="2E96ABE4">
        <w:rPr>
          <w:rFonts w:cs="Times New Roman"/>
          <w:lang w:val="en-US"/>
        </w:rPr>
        <w:t xml:space="preserve"> </w:t>
      </w:r>
      <w:r w:rsidR="003F4853" w:rsidRPr="2E96ABE4">
        <w:rPr>
          <w:rFonts w:cs="Times New Roman"/>
          <w:lang w:val="en-US"/>
        </w:rPr>
        <w:t>concerns from stakeholders about</w:t>
      </w:r>
      <w:r w:rsidR="006C44A4" w:rsidRPr="2E96ABE4">
        <w:rPr>
          <w:rFonts w:cs="Times New Roman"/>
          <w:lang w:val="en-US"/>
        </w:rPr>
        <w:t xml:space="preserve"> potential</w:t>
      </w:r>
      <w:r w:rsidR="003F4853" w:rsidRPr="2E96ABE4">
        <w:rPr>
          <w:rFonts w:cs="Times New Roman"/>
          <w:lang w:val="en-US"/>
        </w:rPr>
        <w:t xml:space="preserve"> regulatory intervention inhibiting beneficial short selling activity and </w:t>
      </w:r>
      <w:r w:rsidR="00BB7D5F" w:rsidRPr="2E96ABE4">
        <w:rPr>
          <w:rFonts w:cs="Times New Roman"/>
          <w:lang w:val="en-US"/>
        </w:rPr>
        <w:t>detra</w:t>
      </w:r>
      <w:r w:rsidR="001F5018" w:rsidRPr="2E96ABE4">
        <w:rPr>
          <w:rFonts w:cs="Times New Roman"/>
          <w:lang w:val="en-US"/>
        </w:rPr>
        <w:t>cting</w:t>
      </w:r>
      <w:r w:rsidR="003F4853" w:rsidRPr="2E96ABE4">
        <w:rPr>
          <w:rFonts w:cs="Times New Roman"/>
          <w:lang w:val="en-US"/>
        </w:rPr>
        <w:t xml:space="preserve"> </w:t>
      </w:r>
      <w:r w:rsidR="00A84AAA" w:rsidRPr="2E96ABE4">
        <w:rPr>
          <w:rFonts w:cs="Times New Roman"/>
          <w:lang w:val="en-US"/>
        </w:rPr>
        <w:t xml:space="preserve">from </w:t>
      </w:r>
      <w:r w:rsidR="003F4853" w:rsidRPr="2E96ABE4">
        <w:rPr>
          <w:rFonts w:cs="Times New Roman"/>
          <w:lang w:val="en-US"/>
        </w:rPr>
        <w:t>the price discovery process.</w:t>
      </w:r>
      <w:r w:rsidR="006C44A4" w:rsidRPr="2E96ABE4">
        <w:rPr>
          <w:rStyle w:val="FootnoteReference"/>
          <w:rFonts w:cs="Times New Roman"/>
          <w:lang w:val="en-US"/>
        </w:rPr>
        <w:footnoteReference w:id="2"/>
      </w:r>
      <w:r w:rsidR="003F4853" w:rsidRPr="2E96ABE4">
        <w:rPr>
          <w:rFonts w:cs="Times New Roman"/>
          <w:lang w:val="en-US"/>
        </w:rPr>
        <w:t xml:space="preserve">   </w:t>
      </w:r>
    </w:p>
    <w:p w14:paraId="717999B7" w14:textId="77777777" w:rsidR="00994510" w:rsidRDefault="00994510" w:rsidP="00994510">
      <w:pPr>
        <w:spacing w:before="0" w:after="0"/>
        <w:rPr>
          <w:rFonts w:cs="Times New Roman"/>
          <w:szCs w:val="24"/>
          <w:lang w:val="en-US"/>
        </w:rPr>
      </w:pPr>
    </w:p>
    <w:p w14:paraId="097C6240" w14:textId="51DCEA87" w:rsidR="001A2B74" w:rsidRDefault="008F3D7A" w:rsidP="00994510">
      <w:pPr>
        <w:spacing w:before="0" w:after="0"/>
        <w:rPr>
          <w:rFonts w:cs="Times New Roman"/>
          <w:szCs w:val="24"/>
        </w:rPr>
      </w:pPr>
      <w:r w:rsidRPr="008F3D7A">
        <w:rPr>
          <w:rFonts w:cs="Times New Roman"/>
          <w:szCs w:val="24"/>
          <w:lang w:val="en-US"/>
        </w:rPr>
        <w:t xml:space="preserve">To </w:t>
      </w:r>
      <w:r w:rsidR="002C4F13" w:rsidRPr="002C7102">
        <w:rPr>
          <w:rFonts w:cs="Times New Roman"/>
          <w:szCs w:val="24"/>
        </w:rPr>
        <w:t>further inform our analysis of the issue</w:t>
      </w:r>
      <w:r w:rsidR="002C4F13">
        <w:rPr>
          <w:rFonts w:cs="Times New Roman"/>
          <w:szCs w:val="24"/>
        </w:rPr>
        <w:t>s, and to</w:t>
      </w:r>
      <w:r w:rsidR="002C4F13" w:rsidRPr="008F3D7A">
        <w:rPr>
          <w:rFonts w:cs="Times New Roman"/>
          <w:szCs w:val="24"/>
          <w:lang w:val="en-US"/>
        </w:rPr>
        <w:t xml:space="preserve"> </w:t>
      </w:r>
      <w:r w:rsidRPr="008F3D7A">
        <w:rPr>
          <w:rFonts w:cs="Times New Roman"/>
          <w:szCs w:val="24"/>
          <w:lang w:val="en-US"/>
        </w:rPr>
        <w:t xml:space="preserve">ensure that </w:t>
      </w:r>
      <w:r w:rsidR="00396397">
        <w:rPr>
          <w:rFonts w:cs="Times New Roman"/>
          <w:szCs w:val="24"/>
          <w:lang w:val="en-US"/>
        </w:rPr>
        <w:t>the CSA</w:t>
      </w:r>
      <w:r w:rsidRPr="008F3D7A">
        <w:rPr>
          <w:rFonts w:cs="Times New Roman"/>
          <w:szCs w:val="24"/>
          <w:lang w:val="en-US"/>
        </w:rPr>
        <w:t xml:space="preserve"> </w:t>
      </w:r>
      <w:r w:rsidR="00396397">
        <w:rPr>
          <w:rFonts w:cs="Times New Roman"/>
          <w:szCs w:val="24"/>
          <w:lang w:val="en-US"/>
        </w:rPr>
        <w:t>has</w:t>
      </w:r>
      <w:r w:rsidRPr="008F3D7A">
        <w:rPr>
          <w:rFonts w:cs="Times New Roman"/>
          <w:szCs w:val="24"/>
          <w:lang w:val="en-US"/>
        </w:rPr>
        <w:t xml:space="preserve"> all relevant </w:t>
      </w:r>
      <w:r w:rsidR="00BA22CA">
        <w:rPr>
          <w:rFonts w:cs="Times New Roman"/>
          <w:szCs w:val="24"/>
          <w:lang w:val="en-US"/>
        </w:rPr>
        <w:t>information</w:t>
      </w:r>
      <w:r w:rsidR="009006EC">
        <w:rPr>
          <w:rFonts w:cs="Times New Roman"/>
          <w:szCs w:val="24"/>
          <w:lang w:val="en-US"/>
        </w:rPr>
        <w:t xml:space="preserve"> before determining </w:t>
      </w:r>
      <w:r w:rsidR="006D7C39">
        <w:rPr>
          <w:rFonts w:cs="Times New Roman"/>
          <w:szCs w:val="24"/>
          <w:lang w:val="en-US"/>
        </w:rPr>
        <w:t>whether regulatory intervention is required</w:t>
      </w:r>
      <w:r w:rsidRPr="008F3D7A">
        <w:rPr>
          <w:rFonts w:cs="Times New Roman"/>
          <w:szCs w:val="24"/>
          <w:lang w:val="en-US"/>
        </w:rPr>
        <w:t xml:space="preserve">, the Committee </w:t>
      </w:r>
      <w:r w:rsidR="006F7BA0">
        <w:rPr>
          <w:rFonts w:cs="Times New Roman"/>
          <w:szCs w:val="24"/>
          <w:lang w:val="en-US"/>
        </w:rPr>
        <w:t xml:space="preserve">is </w:t>
      </w:r>
      <w:r w:rsidRPr="008F3D7A">
        <w:rPr>
          <w:rFonts w:cs="Times New Roman"/>
          <w:szCs w:val="24"/>
          <w:lang w:val="en-US"/>
        </w:rPr>
        <w:t xml:space="preserve">consulting with </w:t>
      </w:r>
      <w:r w:rsidR="00E31F43">
        <w:rPr>
          <w:rFonts w:cs="Times New Roman"/>
          <w:szCs w:val="24"/>
          <w:lang w:val="en-US"/>
        </w:rPr>
        <w:t>the public</w:t>
      </w:r>
      <w:r w:rsidRPr="008F3D7A">
        <w:rPr>
          <w:rFonts w:cs="Times New Roman"/>
          <w:szCs w:val="24"/>
          <w:lang w:val="en-US"/>
        </w:rPr>
        <w:t xml:space="preserve"> on issues identified </w:t>
      </w:r>
      <w:r w:rsidR="006F7BA0">
        <w:rPr>
          <w:rFonts w:cs="Times New Roman"/>
          <w:szCs w:val="24"/>
          <w:lang w:val="en-US"/>
        </w:rPr>
        <w:t xml:space="preserve">through </w:t>
      </w:r>
      <w:r w:rsidR="002B324F">
        <w:rPr>
          <w:rFonts w:cs="Times New Roman"/>
          <w:szCs w:val="24"/>
          <w:lang w:val="en-US"/>
        </w:rPr>
        <w:t xml:space="preserve">our </w:t>
      </w:r>
      <w:r w:rsidRPr="008F3D7A">
        <w:rPr>
          <w:rFonts w:cs="Times New Roman"/>
          <w:szCs w:val="24"/>
          <w:lang w:val="en-US"/>
        </w:rPr>
        <w:t>research</w:t>
      </w:r>
      <w:r w:rsidR="001752BB">
        <w:rPr>
          <w:rFonts w:cs="Times New Roman"/>
          <w:szCs w:val="24"/>
        </w:rPr>
        <w:t xml:space="preserve">. </w:t>
      </w:r>
      <w:r w:rsidR="001A2B74" w:rsidRPr="002C7102">
        <w:rPr>
          <w:rFonts w:cs="Times New Roman"/>
          <w:szCs w:val="24"/>
        </w:rPr>
        <w:t>While th</w:t>
      </w:r>
      <w:r w:rsidR="001752BB">
        <w:rPr>
          <w:rFonts w:cs="Times New Roman"/>
          <w:szCs w:val="24"/>
        </w:rPr>
        <w:t>is</w:t>
      </w:r>
      <w:r w:rsidR="001A2B74" w:rsidRPr="002C7102">
        <w:rPr>
          <w:rFonts w:cs="Times New Roman"/>
          <w:szCs w:val="24"/>
        </w:rPr>
        <w:t xml:space="preserve"> Consultation Paper discusses our understanding of the concerns raised and summarizes the research we have undertaken, we are </w:t>
      </w:r>
      <w:r w:rsidR="001A2B74">
        <w:rPr>
          <w:rFonts w:cs="Times New Roman"/>
          <w:szCs w:val="24"/>
        </w:rPr>
        <w:t>focussed on</w:t>
      </w:r>
      <w:r w:rsidR="001A2B74" w:rsidRPr="002C7102">
        <w:rPr>
          <w:rFonts w:cs="Times New Roman"/>
          <w:szCs w:val="24"/>
        </w:rPr>
        <w:t xml:space="preserve"> soliciting feedback</w:t>
      </w:r>
      <w:r w:rsidR="00584D66">
        <w:rPr>
          <w:rFonts w:cs="Times New Roman"/>
          <w:szCs w:val="24"/>
        </w:rPr>
        <w:t>, supported by evidence whenever possible,</w:t>
      </w:r>
      <w:r w:rsidR="001A2B74" w:rsidRPr="002C7102">
        <w:rPr>
          <w:rFonts w:cs="Times New Roman"/>
          <w:szCs w:val="24"/>
        </w:rPr>
        <w:t xml:space="preserve"> from </w:t>
      </w:r>
      <w:r w:rsidR="004F36A3">
        <w:rPr>
          <w:rFonts w:cs="Times New Roman"/>
          <w:szCs w:val="24"/>
        </w:rPr>
        <w:t xml:space="preserve">stakeholders </w:t>
      </w:r>
      <w:r w:rsidR="001A2B74" w:rsidRPr="002C7102">
        <w:rPr>
          <w:rFonts w:cs="Times New Roman"/>
          <w:szCs w:val="24"/>
        </w:rPr>
        <w:t xml:space="preserve">on specific questions, which are set out </w:t>
      </w:r>
      <w:r w:rsidR="001A2B74">
        <w:rPr>
          <w:rFonts w:cs="Times New Roman"/>
          <w:szCs w:val="24"/>
        </w:rPr>
        <w:t>in this</w:t>
      </w:r>
      <w:r w:rsidR="001A2B74" w:rsidRPr="002C7102">
        <w:rPr>
          <w:rFonts w:cs="Times New Roman"/>
          <w:szCs w:val="24"/>
        </w:rPr>
        <w:t xml:space="preserve"> Consultation Paper.</w:t>
      </w:r>
      <w:r w:rsidR="001A2B74">
        <w:rPr>
          <w:rFonts w:cs="Times New Roman"/>
          <w:szCs w:val="24"/>
        </w:rPr>
        <w:t xml:space="preserve">  </w:t>
      </w:r>
    </w:p>
    <w:p w14:paraId="231E111D" w14:textId="77777777" w:rsidR="00994510" w:rsidRPr="00EC674C" w:rsidRDefault="00994510" w:rsidP="00994510">
      <w:pPr>
        <w:spacing w:before="0" w:after="0"/>
        <w:rPr>
          <w:rFonts w:cs="Times New Roman"/>
          <w:szCs w:val="24"/>
          <w:lang w:val="en-US"/>
        </w:rPr>
      </w:pPr>
    </w:p>
    <w:p w14:paraId="03D1D58F" w14:textId="07941844" w:rsidR="006D60AC" w:rsidRDefault="003D0F13" w:rsidP="00994510">
      <w:pPr>
        <w:spacing w:before="0" w:after="0"/>
        <w:rPr>
          <w:rFonts w:cs="Times New Roman"/>
          <w:szCs w:val="24"/>
        </w:rPr>
      </w:pPr>
      <w:r w:rsidRPr="008D030B">
        <w:rPr>
          <w:rFonts w:cs="Times New Roman"/>
          <w:szCs w:val="24"/>
        </w:rPr>
        <w:t>Th</w:t>
      </w:r>
      <w:r w:rsidR="00DA102C">
        <w:rPr>
          <w:rFonts w:cs="Times New Roman"/>
          <w:szCs w:val="24"/>
        </w:rPr>
        <w:t>is</w:t>
      </w:r>
      <w:r w:rsidRPr="008D030B">
        <w:rPr>
          <w:rFonts w:cs="Times New Roman"/>
          <w:szCs w:val="24"/>
        </w:rPr>
        <w:t xml:space="preserve"> Consultation Paper is organized into four parts</w:t>
      </w:r>
      <w:r w:rsidR="005437BB" w:rsidRPr="008D030B">
        <w:rPr>
          <w:rFonts w:cs="Times New Roman"/>
          <w:szCs w:val="24"/>
        </w:rPr>
        <w:t xml:space="preserve">; </w:t>
      </w:r>
      <w:r w:rsidR="00E2444B" w:rsidRPr="00B730C1">
        <w:rPr>
          <w:rFonts w:cs="Times New Roman"/>
          <w:szCs w:val="24"/>
        </w:rPr>
        <w:t>Part</w:t>
      </w:r>
      <w:r w:rsidR="00585CC0">
        <w:rPr>
          <w:rFonts w:cs="Times New Roman"/>
          <w:szCs w:val="24"/>
        </w:rPr>
        <w:t xml:space="preserve"> </w:t>
      </w:r>
      <w:r w:rsidR="00B96062" w:rsidRPr="00B730C1">
        <w:rPr>
          <w:rFonts w:cs="Times New Roman"/>
          <w:szCs w:val="24"/>
        </w:rPr>
        <w:t>I</w:t>
      </w:r>
      <w:r w:rsidR="00585CC0">
        <w:rPr>
          <w:rFonts w:cs="Times New Roman"/>
          <w:szCs w:val="24"/>
        </w:rPr>
        <w:t xml:space="preserve"> </w:t>
      </w:r>
      <w:r w:rsidR="0072279F" w:rsidRPr="008D030B">
        <w:rPr>
          <w:rFonts w:cs="Times New Roman"/>
          <w:szCs w:val="24"/>
        </w:rPr>
        <w:t xml:space="preserve">provides </w:t>
      </w:r>
      <w:r w:rsidR="006D60AC" w:rsidRPr="008D030B">
        <w:rPr>
          <w:rFonts w:cs="Times New Roman"/>
          <w:szCs w:val="24"/>
        </w:rPr>
        <w:t>an</w:t>
      </w:r>
      <w:r w:rsidR="0072279F" w:rsidRPr="008D030B">
        <w:rPr>
          <w:rFonts w:cs="Times New Roman"/>
          <w:szCs w:val="24"/>
        </w:rPr>
        <w:t xml:space="preserve"> introduction and background </w:t>
      </w:r>
      <w:r w:rsidR="006D60AC" w:rsidRPr="008D030B">
        <w:rPr>
          <w:rFonts w:cs="Times New Roman"/>
          <w:szCs w:val="24"/>
        </w:rPr>
        <w:t xml:space="preserve">to the Committee’s consideration of </w:t>
      </w:r>
      <w:r w:rsidR="001A2B74" w:rsidRPr="008D030B">
        <w:rPr>
          <w:rFonts w:cs="Times New Roman"/>
          <w:szCs w:val="24"/>
        </w:rPr>
        <w:t>activist short selling</w:t>
      </w:r>
      <w:r w:rsidR="006D60AC" w:rsidRPr="008D030B">
        <w:rPr>
          <w:rFonts w:cs="Times New Roman"/>
          <w:szCs w:val="24"/>
        </w:rPr>
        <w:t xml:space="preserve"> with the three remaining </w:t>
      </w:r>
      <w:r w:rsidR="00CE3C64">
        <w:rPr>
          <w:rFonts w:cs="Times New Roman"/>
          <w:szCs w:val="24"/>
        </w:rPr>
        <w:t>P</w:t>
      </w:r>
      <w:r w:rsidR="006D60AC" w:rsidRPr="008D030B">
        <w:rPr>
          <w:rFonts w:cs="Times New Roman"/>
          <w:szCs w:val="24"/>
        </w:rPr>
        <w:t>arts dedicated</w:t>
      </w:r>
      <w:r w:rsidR="006D60AC" w:rsidRPr="00B573AB">
        <w:rPr>
          <w:rFonts w:cs="Times New Roman"/>
          <w:szCs w:val="24"/>
        </w:rPr>
        <w:t xml:space="preserve"> to t</w:t>
      </w:r>
      <w:r w:rsidR="00604C30">
        <w:rPr>
          <w:rFonts w:cs="Times New Roman"/>
          <w:szCs w:val="24"/>
        </w:rPr>
        <w:t>he specific</w:t>
      </w:r>
      <w:r w:rsidR="006D60AC" w:rsidRPr="00B573AB">
        <w:rPr>
          <w:rFonts w:cs="Times New Roman"/>
          <w:szCs w:val="24"/>
        </w:rPr>
        <w:t xml:space="preserve"> areas </w:t>
      </w:r>
      <w:r w:rsidR="006D60AC">
        <w:rPr>
          <w:rFonts w:cs="Times New Roman"/>
          <w:szCs w:val="24"/>
        </w:rPr>
        <w:t>of consultation</w:t>
      </w:r>
      <w:r w:rsidR="006D60AC" w:rsidRPr="00B573AB">
        <w:rPr>
          <w:rFonts w:cs="Times New Roman"/>
          <w:szCs w:val="24"/>
        </w:rPr>
        <w:t>, namely</w:t>
      </w:r>
      <w:r w:rsidR="00D63868">
        <w:rPr>
          <w:rFonts w:cs="Times New Roman"/>
          <w:szCs w:val="24"/>
        </w:rPr>
        <w:t>:</w:t>
      </w:r>
    </w:p>
    <w:p w14:paraId="57739AAE" w14:textId="77777777" w:rsidR="00994510" w:rsidRDefault="00994510" w:rsidP="00994510">
      <w:pPr>
        <w:spacing w:before="0" w:after="0"/>
        <w:rPr>
          <w:rFonts w:cs="Times New Roman"/>
          <w:szCs w:val="24"/>
        </w:rPr>
      </w:pPr>
    </w:p>
    <w:p w14:paraId="23FA6F6F" w14:textId="77777777" w:rsidR="00B96062" w:rsidRDefault="005D5F05" w:rsidP="00994510">
      <w:pPr>
        <w:pStyle w:val="ListParagraph"/>
        <w:numPr>
          <w:ilvl w:val="0"/>
          <w:numId w:val="19"/>
        </w:numPr>
        <w:spacing w:before="0" w:after="0"/>
        <w:rPr>
          <w:rFonts w:cs="Times New Roman"/>
          <w:szCs w:val="24"/>
        </w:rPr>
      </w:pPr>
      <w:r w:rsidRPr="00B96062">
        <w:rPr>
          <w:rFonts w:cs="Times New Roman"/>
          <w:szCs w:val="24"/>
        </w:rPr>
        <w:t>The n</w:t>
      </w:r>
      <w:r w:rsidR="001C324D" w:rsidRPr="00B96062">
        <w:rPr>
          <w:rFonts w:cs="Times New Roman"/>
          <w:szCs w:val="24"/>
        </w:rPr>
        <w:t xml:space="preserve">ature and extent of </w:t>
      </w:r>
      <w:r w:rsidR="00D63868" w:rsidRPr="00B96062">
        <w:rPr>
          <w:rFonts w:cs="Times New Roman"/>
          <w:szCs w:val="24"/>
        </w:rPr>
        <w:t>activist short selling</w:t>
      </w:r>
      <w:r w:rsidRPr="00B96062">
        <w:rPr>
          <w:rFonts w:cs="Times New Roman"/>
          <w:szCs w:val="24"/>
        </w:rPr>
        <w:t xml:space="preserve"> activity in Canada;</w:t>
      </w:r>
    </w:p>
    <w:p w14:paraId="5991B20D" w14:textId="77777777" w:rsidR="00B96062" w:rsidRDefault="005D5F05" w:rsidP="000902F5">
      <w:pPr>
        <w:pStyle w:val="ListParagraph"/>
        <w:numPr>
          <w:ilvl w:val="0"/>
          <w:numId w:val="19"/>
        </w:numPr>
        <w:rPr>
          <w:rFonts w:cs="Times New Roman"/>
          <w:szCs w:val="24"/>
        </w:rPr>
      </w:pPr>
      <w:r w:rsidRPr="00B96062">
        <w:rPr>
          <w:rFonts w:cs="Times New Roman"/>
          <w:szCs w:val="24"/>
        </w:rPr>
        <w:t>The C</w:t>
      </w:r>
      <w:r w:rsidR="00E8413E" w:rsidRPr="00B96062">
        <w:rPr>
          <w:rFonts w:cs="Times New Roman"/>
          <w:szCs w:val="24"/>
        </w:rPr>
        <w:t xml:space="preserve">anadian </w:t>
      </w:r>
      <w:r w:rsidR="00D43D3D" w:rsidRPr="00B96062">
        <w:rPr>
          <w:rFonts w:cs="Times New Roman"/>
          <w:szCs w:val="24"/>
        </w:rPr>
        <w:t xml:space="preserve">and international </w:t>
      </w:r>
      <w:r w:rsidR="00E8413E" w:rsidRPr="00B96062">
        <w:rPr>
          <w:rFonts w:cs="Times New Roman"/>
          <w:szCs w:val="24"/>
        </w:rPr>
        <w:t>regulatory</w:t>
      </w:r>
      <w:r w:rsidR="00D43D3D" w:rsidRPr="00B96062">
        <w:rPr>
          <w:rFonts w:cs="Times New Roman"/>
          <w:szCs w:val="24"/>
        </w:rPr>
        <w:t xml:space="preserve"> </w:t>
      </w:r>
      <w:r w:rsidR="005E20B0" w:rsidRPr="00B96062">
        <w:rPr>
          <w:rFonts w:cs="Times New Roman"/>
          <w:szCs w:val="24"/>
        </w:rPr>
        <w:t>framework</w:t>
      </w:r>
      <w:r w:rsidRPr="00B96062">
        <w:rPr>
          <w:rFonts w:cs="Times New Roman"/>
          <w:szCs w:val="24"/>
        </w:rPr>
        <w:t>; and</w:t>
      </w:r>
    </w:p>
    <w:p w14:paraId="4568922C" w14:textId="6E8276E2" w:rsidR="00E8413E" w:rsidRDefault="0014681E" w:rsidP="00994510">
      <w:pPr>
        <w:pStyle w:val="ListParagraph"/>
        <w:numPr>
          <w:ilvl w:val="0"/>
          <w:numId w:val="19"/>
        </w:numPr>
        <w:spacing w:before="0" w:after="0"/>
        <w:rPr>
          <w:rFonts w:cs="Times New Roman"/>
          <w:szCs w:val="24"/>
        </w:rPr>
      </w:pPr>
      <w:r w:rsidRPr="00B96062">
        <w:rPr>
          <w:rFonts w:cs="Times New Roman"/>
          <w:szCs w:val="24"/>
        </w:rPr>
        <w:t>Issues related to e</w:t>
      </w:r>
      <w:r w:rsidR="005E20B0" w:rsidRPr="00B96062">
        <w:rPr>
          <w:rFonts w:cs="Times New Roman"/>
          <w:szCs w:val="24"/>
        </w:rPr>
        <w:t xml:space="preserve">nforcement and other </w:t>
      </w:r>
      <w:r w:rsidR="00F739C1" w:rsidRPr="00B96062">
        <w:rPr>
          <w:rFonts w:cs="Times New Roman"/>
          <w:szCs w:val="24"/>
        </w:rPr>
        <w:t xml:space="preserve">potential </w:t>
      </w:r>
      <w:r w:rsidR="005E20B0" w:rsidRPr="00B96062">
        <w:rPr>
          <w:rFonts w:cs="Times New Roman"/>
          <w:szCs w:val="24"/>
        </w:rPr>
        <w:t>remedi</w:t>
      </w:r>
      <w:r w:rsidRPr="00B96062">
        <w:rPr>
          <w:rFonts w:cs="Times New Roman"/>
          <w:szCs w:val="24"/>
        </w:rPr>
        <w:t>al actions</w:t>
      </w:r>
      <w:r w:rsidR="008D3649" w:rsidRPr="00B96062">
        <w:rPr>
          <w:rFonts w:cs="Times New Roman"/>
          <w:szCs w:val="24"/>
        </w:rPr>
        <w:t>.</w:t>
      </w:r>
    </w:p>
    <w:p w14:paraId="1E17B0C4" w14:textId="77777777" w:rsidR="00994510" w:rsidRPr="00B96062" w:rsidRDefault="00994510" w:rsidP="00994510">
      <w:pPr>
        <w:pStyle w:val="ListParagraph"/>
        <w:spacing w:before="0" w:after="0"/>
        <w:ind w:left="1080"/>
        <w:rPr>
          <w:rFonts w:cs="Times New Roman"/>
          <w:szCs w:val="24"/>
        </w:rPr>
      </w:pPr>
    </w:p>
    <w:p w14:paraId="57BC844A" w14:textId="77777777" w:rsidR="00FA6C01" w:rsidRPr="00B26254" w:rsidRDefault="006D60AC" w:rsidP="00994510">
      <w:pPr>
        <w:spacing w:before="0" w:after="0"/>
        <w:rPr>
          <w:rFonts w:cs="Times New Roman"/>
          <w:szCs w:val="24"/>
        </w:rPr>
      </w:pPr>
      <w:r w:rsidRPr="00B573AB">
        <w:rPr>
          <w:rFonts w:cs="Times New Roman"/>
          <w:szCs w:val="24"/>
        </w:rPr>
        <w:t xml:space="preserve">Each </w:t>
      </w:r>
      <w:r w:rsidR="00CE3C64">
        <w:rPr>
          <w:rFonts w:cs="Times New Roman"/>
          <w:szCs w:val="24"/>
        </w:rPr>
        <w:t xml:space="preserve">Part </w:t>
      </w:r>
      <w:r w:rsidRPr="00B573AB">
        <w:rPr>
          <w:rFonts w:cs="Times New Roman"/>
          <w:szCs w:val="24"/>
        </w:rPr>
        <w:t>summari</w:t>
      </w:r>
      <w:r w:rsidR="00F360A5">
        <w:rPr>
          <w:rFonts w:cs="Times New Roman"/>
          <w:szCs w:val="24"/>
        </w:rPr>
        <w:t>z</w:t>
      </w:r>
      <w:r w:rsidRPr="00B573AB">
        <w:rPr>
          <w:rFonts w:cs="Times New Roman"/>
          <w:szCs w:val="24"/>
        </w:rPr>
        <w:t>es the</w:t>
      </w:r>
      <w:r>
        <w:rPr>
          <w:rFonts w:cs="Times New Roman"/>
          <w:szCs w:val="24"/>
        </w:rPr>
        <w:t xml:space="preserve"> Committee’s research</w:t>
      </w:r>
      <w:r w:rsidR="00C95A30">
        <w:rPr>
          <w:rFonts w:cs="Times New Roman"/>
          <w:szCs w:val="24"/>
        </w:rPr>
        <w:t xml:space="preserve">, </w:t>
      </w:r>
      <w:r w:rsidR="00C04BA3">
        <w:rPr>
          <w:rFonts w:cs="Times New Roman"/>
          <w:szCs w:val="24"/>
        </w:rPr>
        <w:t xml:space="preserve">our understanding of the </w:t>
      </w:r>
      <w:r w:rsidRPr="00B573AB">
        <w:rPr>
          <w:rFonts w:cs="Times New Roman"/>
          <w:szCs w:val="24"/>
        </w:rPr>
        <w:t>issues and concerns</w:t>
      </w:r>
      <w:r w:rsidR="00C04BA3">
        <w:rPr>
          <w:rFonts w:cs="Times New Roman"/>
          <w:szCs w:val="24"/>
        </w:rPr>
        <w:t xml:space="preserve"> raised</w:t>
      </w:r>
      <w:r w:rsidRPr="00B573AB">
        <w:rPr>
          <w:rFonts w:cs="Times New Roman"/>
          <w:szCs w:val="24"/>
        </w:rPr>
        <w:t xml:space="preserve"> and </w:t>
      </w:r>
      <w:r w:rsidR="00C04BA3">
        <w:rPr>
          <w:rFonts w:cs="Times New Roman"/>
          <w:szCs w:val="24"/>
        </w:rPr>
        <w:t>sets out</w:t>
      </w:r>
      <w:r w:rsidR="00FA6C01">
        <w:rPr>
          <w:rFonts w:cs="Times New Roman"/>
          <w:szCs w:val="24"/>
        </w:rPr>
        <w:t xml:space="preserve"> </w:t>
      </w:r>
      <w:r w:rsidR="00C04BA3">
        <w:rPr>
          <w:rFonts w:cs="Times New Roman"/>
          <w:szCs w:val="24"/>
        </w:rPr>
        <w:t>questions</w:t>
      </w:r>
      <w:r w:rsidR="00FA6C01">
        <w:rPr>
          <w:rFonts w:cs="Times New Roman"/>
          <w:szCs w:val="24"/>
        </w:rPr>
        <w:t xml:space="preserve"> </w:t>
      </w:r>
      <w:r w:rsidR="00B26254">
        <w:rPr>
          <w:rFonts w:cs="Times New Roman"/>
          <w:szCs w:val="24"/>
        </w:rPr>
        <w:t>for consultation</w:t>
      </w:r>
      <w:r w:rsidR="00FA6C01" w:rsidRPr="002C7102">
        <w:rPr>
          <w:rFonts w:cs="Times New Roman"/>
          <w:szCs w:val="24"/>
        </w:rPr>
        <w:t xml:space="preserve">. </w:t>
      </w:r>
    </w:p>
    <w:p w14:paraId="762BF0B5" w14:textId="77777777" w:rsidR="0021769F" w:rsidRPr="005B328A" w:rsidRDefault="00FA6C01" w:rsidP="000902F5">
      <w:pPr>
        <w:pStyle w:val="SECTION"/>
        <w:jc w:val="left"/>
      </w:pPr>
      <w:r>
        <w:lastRenderedPageBreak/>
        <w:t>BACKGROUND</w:t>
      </w:r>
    </w:p>
    <w:p w14:paraId="0EBE4A31" w14:textId="3FAA1807" w:rsidR="001003EE" w:rsidRDefault="00834477" w:rsidP="00994510">
      <w:pPr>
        <w:spacing w:before="0" w:after="0"/>
      </w:pPr>
      <w:r w:rsidRPr="2E96ABE4">
        <w:rPr>
          <w:rFonts w:cs="Times New Roman"/>
        </w:rPr>
        <w:t xml:space="preserve">We use the term “activist short selling” to refer to instances where </w:t>
      </w:r>
      <w:r w:rsidR="00375C80" w:rsidRPr="2E96ABE4">
        <w:rPr>
          <w:rFonts w:cs="Times New Roman"/>
        </w:rPr>
        <w:t xml:space="preserve">an </w:t>
      </w:r>
      <w:r w:rsidRPr="2E96ABE4">
        <w:rPr>
          <w:rFonts w:cs="Times New Roman"/>
        </w:rPr>
        <w:t>individual or entity take</w:t>
      </w:r>
      <w:r w:rsidR="00074D80" w:rsidRPr="2E96ABE4">
        <w:rPr>
          <w:rFonts w:cs="Times New Roman"/>
        </w:rPr>
        <w:t>s</w:t>
      </w:r>
      <w:r w:rsidRPr="2E96ABE4">
        <w:rPr>
          <w:rFonts w:cs="Times New Roman"/>
        </w:rPr>
        <w:t xml:space="preserve"> a short position</w:t>
      </w:r>
      <w:r w:rsidR="00452CAD" w:rsidRPr="2E96ABE4">
        <w:rPr>
          <w:rFonts w:cs="Times New Roman"/>
        </w:rPr>
        <w:t xml:space="preserve"> in a security </w:t>
      </w:r>
      <w:r w:rsidRPr="2E96ABE4">
        <w:rPr>
          <w:rFonts w:cs="Times New Roman"/>
        </w:rPr>
        <w:t xml:space="preserve">and </w:t>
      </w:r>
      <w:r w:rsidR="004F4BA3" w:rsidRPr="2E96ABE4">
        <w:rPr>
          <w:rFonts w:cs="Times New Roman"/>
        </w:rPr>
        <w:t xml:space="preserve">then </w:t>
      </w:r>
      <w:r w:rsidRPr="2E96ABE4">
        <w:rPr>
          <w:rFonts w:cs="Times New Roman"/>
        </w:rPr>
        <w:t xml:space="preserve">makes a public statement, issues a report, or otherwise publicly </w:t>
      </w:r>
      <w:r w:rsidR="00492AFD" w:rsidRPr="2E96ABE4">
        <w:rPr>
          <w:rFonts w:cs="Times New Roman"/>
        </w:rPr>
        <w:t>shares information or analysis</w:t>
      </w:r>
      <w:r w:rsidRPr="2E96ABE4">
        <w:rPr>
          <w:rFonts w:cs="Times New Roman"/>
        </w:rPr>
        <w:t xml:space="preserve"> that is likely to have a negative effect on the price of the security</w:t>
      </w:r>
      <w:r w:rsidR="00C94396" w:rsidRPr="2E96ABE4">
        <w:rPr>
          <w:rFonts w:cs="Times New Roman"/>
        </w:rPr>
        <w:t xml:space="preserve">.  </w:t>
      </w:r>
      <w:r w:rsidR="00ED4203" w:rsidRPr="2E96ABE4">
        <w:rPr>
          <w:rFonts w:cs="Times New Roman"/>
        </w:rPr>
        <w:t>If</w:t>
      </w:r>
      <w:r w:rsidR="00C94396" w:rsidRPr="2E96ABE4">
        <w:rPr>
          <w:rFonts w:cs="Times New Roman"/>
        </w:rPr>
        <w:t xml:space="preserve"> the value of the security declines</w:t>
      </w:r>
      <w:r w:rsidRPr="2E96ABE4">
        <w:rPr>
          <w:rFonts w:cs="Times New Roman"/>
        </w:rPr>
        <w:t>, the short seller realize</w:t>
      </w:r>
      <w:r w:rsidR="00C94396" w:rsidRPr="2E96ABE4">
        <w:rPr>
          <w:rFonts w:cs="Times New Roman"/>
        </w:rPr>
        <w:t>s</w:t>
      </w:r>
      <w:r w:rsidRPr="2E96ABE4">
        <w:rPr>
          <w:rFonts w:cs="Times New Roman"/>
        </w:rPr>
        <w:t xml:space="preserve"> a profit.</w:t>
      </w:r>
      <w:r w:rsidR="001A4801" w:rsidRPr="2E96ABE4">
        <w:rPr>
          <w:rStyle w:val="FootnoteReference"/>
          <w:rFonts w:cs="Times New Roman"/>
        </w:rPr>
        <w:footnoteReference w:id="3"/>
      </w:r>
      <w:r w:rsidR="001003EE" w:rsidRPr="2E96ABE4">
        <w:rPr>
          <w:rFonts w:cs="Times New Roman"/>
        </w:rPr>
        <w:t xml:space="preserve">  </w:t>
      </w:r>
      <w:r w:rsidR="00ED4203" w:rsidRPr="2E96ABE4">
        <w:rPr>
          <w:rFonts w:cs="Times New Roman"/>
        </w:rPr>
        <w:t>Activist short sellers</w:t>
      </w:r>
      <w:r w:rsidR="00987B52" w:rsidRPr="2E96ABE4">
        <w:rPr>
          <w:rFonts w:cs="Times New Roman"/>
        </w:rPr>
        <w:t xml:space="preserve"> are a subset of “directional” short sellers</w:t>
      </w:r>
      <w:r w:rsidR="00D73098" w:rsidRPr="2E96ABE4">
        <w:rPr>
          <w:rFonts w:cs="Times New Roman"/>
        </w:rPr>
        <w:t>.</w:t>
      </w:r>
      <w:r w:rsidR="00195977" w:rsidRPr="2E96ABE4">
        <w:rPr>
          <w:rStyle w:val="FootnoteReference"/>
          <w:rFonts w:cs="Times New Roman"/>
        </w:rPr>
        <w:footnoteReference w:id="4"/>
      </w:r>
      <w:r w:rsidR="00541929" w:rsidRPr="2E96ABE4">
        <w:rPr>
          <w:rFonts w:cs="Times New Roman"/>
        </w:rPr>
        <w:t xml:space="preserve"> </w:t>
      </w:r>
      <w:r w:rsidR="00E30416" w:rsidRPr="2E96ABE4">
        <w:rPr>
          <w:rFonts w:cs="Times New Roman"/>
        </w:rPr>
        <w:t xml:space="preserve"> </w:t>
      </w:r>
      <w:r w:rsidR="001003EE" w:rsidRPr="2E96ABE4">
        <w:rPr>
          <w:rFonts w:cs="Times New Roman"/>
        </w:rPr>
        <w:t>The key difference between activist</w:t>
      </w:r>
      <w:r w:rsidR="00F2121B" w:rsidRPr="2E96ABE4">
        <w:rPr>
          <w:rFonts w:cs="Times New Roman"/>
        </w:rPr>
        <w:t xml:space="preserve"> and</w:t>
      </w:r>
      <w:r w:rsidR="001003EE" w:rsidRPr="2E96ABE4">
        <w:rPr>
          <w:rFonts w:cs="Times New Roman"/>
        </w:rPr>
        <w:t xml:space="preserve"> </w:t>
      </w:r>
      <w:r w:rsidR="00541929" w:rsidRPr="2E96ABE4">
        <w:rPr>
          <w:rFonts w:cs="Times New Roman"/>
        </w:rPr>
        <w:t>other directional short sellers</w:t>
      </w:r>
      <w:r w:rsidR="00F2121B" w:rsidRPr="2E96ABE4">
        <w:rPr>
          <w:rFonts w:cs="Times New Roman"/>
        </w:rPr>
        <w:t xml:space="preserve"> </w:t>
      </w:r>
      <w:r w:rsidR="001003EE" w:rsidRPr="2E96ABE4">
        <w:rPr>
          <w:rFonts w:cs="Times New Roman"/>
        </w:rPr>
        <w:t xml:space="preserve">is that activists will publicly disclose concerns they have identified with an issuer.  Material and accurate information about issuers, whether it is positive or negative, assists in ensuring market prices reflect the fundamental value of the issuer’s securities.  </w:t>
      </w:r>
      <w:r w:rsidR="00F378D9" w:rsidRPr="2E96ABE4">
        <w:rPr>
          <w:rFonts w:cs="Times New Roman"/>
        </w:rPr>
        <w:t xml:space="preserve">However, </w:t>
      </w:r>
      <w:r w:rsidR="00F378D9">
        <w:t>t</w:t>
      </w:r>
      <w:r w:rsidR="001003EE">
        <w:t xml:space="preserve">he utility or harm of </w:t>
      </w:r>
      <w:r w:rsidR="00A12668">
        <w:t>activist short selling</w:t>
      </w:r>
      <w:r w:rsidR="001003EE">
        <w:t xml:space="preserve"> </w:t>
      </w:r>
      <w:r w:rsidR="002C0053">
        <w:t xml:space="preserve">to the market </w:t>
      </w:r>
      <w:r w:rsidR="001003EE">
        <w:t xml:space="preserve">depends on the materiality </w:t>
      </w:r>
      <w:r w:rsidR="00B97E62">
        <w:t xml:space="preserve">and accuracy </w:t>
      </w:r>
      <w:r w:rsidR="001003EE">
        <w:t>of the information relied upon and whether there is a manipulative intent to spread falsehood or to distort prices.</w:t>
      </w:r>
    </w:p>
    <w:p w14:paraId="7B6893F7" w14:textId="77777777" w:rsidR="00994510" w:rsidRDefault="00994510" w:rsidP="00994510">
      <w:pPr>
        <w:spacing w:before="0" w:after="0"/>
        <w:rPr>
          <w:rFonts w:cs="Times New Roman"/>
        </w:rPr>
      </w:pPr>
    </w:p>
    <w:p w14:paraId="3530E5C9" w14:textId="724F263B" w:rsidR="006105BB" w:rsidRDefault="007A45F3" w:rsidP="00994510">
      <w:pPr>
        <w:spacing w:before="0" w:after="0"/>
        <w:rPr>
          <w:rFonts w:cs="Times New Roman"/>
        </w:rPr>
      </w:pPr>
      <w:r w:rsidRPr="2E96ABE4">
        <w:rPr>
          <w:rFonts w:cs="Times New Roman"/>
        </w:rPr>
        <w:t>A</w:t>
      </w:r>
      <w:r w:rsidR="006105BB" w:rsidRPr="2E96ABE4">
        <w:rPr>
          <w:rFonts w:cs="Times New Roman"/>
        </w:rPr>
        <w:t>ctivist short selling is not new</w:t>
      </w:r>
      <w:r w:rsidR="00B97E62" w:rsidRPr="2E96ABE4">
        <w:rPr>
          <w:rFonts w:cs="Times New Roman"/>
        </w:rPr>
        <w:t xml:space="preserve">. </w:t>
      </w:r>
      <w:r w:rsidR="00E30416" w:rsidRPr="2E96ABE4">
        <w:rPr>
          <w:rFonts w:cs="Times New Roman"/>
        </w:rPr>
        <w:t xml:space="preserve"> </w:t>
      </w:r>
      <w:r w:rsidR="00B97E62" w:rsidRPr="2E96ABE4">
        <w:rPr>
          <w:rFonts w:cs="Times New Roman"/>
        </w:rPr>
        <w:t>H</w:t>
      </w:r>
      <w:r w:rsidR="00A316D1" w:rsidRPr="2E96ABE4">
        <w:rPr>
          <w:rFonts w:cs="Times New Roman"/>
        </w:rPr>
        <w:t>owever,</w:t>
      </w:r>
      <w:r w:rsidR="006105BB" w:rsidRPr="2E96ABE4">
        <w:rPr>
          <w:rFonts w:cs="Times New Roman"/>
        </w:rPr>
        <w:t xml:space="preserve"> </w:t>
      </w:r>
      <w:r w:rsidR="00A12668" w:rsidRPr="2E96ABE4">
        <w:rPr>
          <w:rFonts w:cs="Times New Roman"/>
        </w:rPr>
        <w:t>these</w:t>
      </w:r>
      <w:r w:rsidR="00F37EE3" w:rsidRPr="2E96ABE4">
        <w:rPr>
          <w:rFonts w:cs="Times New Roman"/>
        </w:rPr>
        <w:t xml:space="preserve"> </w:t>
      </w:r>
      <w:r w:rsidR="00C90473" w:rsidRPr="2E96ABE4">
        <w:rPr>
          <w:rFonts w:cs="Times New Roman"/>
        </w:rPr>
        <w:t xml:space="preserve">types of </w:t>
      </w:r>
      <w:r w:rsidR="00F37EE3" w:rsidRPr="2E96ABE4">
        <w:rPr>
          <w:rFonts w:cs="Times New Roman"/>
        </w:rPr>
        <w:t xml:space="preserve">campaigns </w:t>
      </w:r>
      <w:r w:rsidR="006105BB" w:rsidRPr="2E96ABE4">
        <w:rPr>
          <w:rFonts w:cs="Times New Roman"/>
        </w:rPr>
        <w:t>ha</w:t>
      </w:r>
      <w:r w:rsidR="00A75626" w:rsidRPr="2E96ABE4">
        <w:rPr>
          <w:rFonts w:cs="Times New Roman"/>
        </w:rPr>
        <w:t>ve</w:t>
      </w:r>
      <w:r w:rsidR="006105BB" w:rsidRPr="2E96ABE4">
        <w:rPr>
          <w:rFonts w:cs="Times New Roman"/>
        </w:rPr>
        <w:t xml:space="preserve"> received considerably more attention </w:t>
      </w:r>
      <w:r w:rsidR="00D16DE6" w:rsidRPr="2E96ABE4">
        <w:rPr>
          <w:rFonts w:cs="Times New Roman"/>
        </w:rPr>
        <w:t>in recent years</w:t>
      </w:r>
      <w:r w:rsidR="00001B9D" w:rsidRPr="2E96ABE4">
        <w:rPr>
          <w:rFonts w:cs="Times New Roman"/>
        </w:rPr>
        <w:t xml:space="preserve">.  </w:t>
      </w:r>
      <w:r w:rsidR="00A97C61" w:rsidRPr="2E96ABE4">
        <w:rPr>
          <w:rFonts w:cs="Times New Roman"/>
        </w:rPr>
        <w:t>This may be due</w:t>
      </w:r>
      <w:r w:rsidR="00851F36" w:rsidRPr="2E96ABE4">
        <w:rPr>
          <w:rFonts w:cs="Times New Roman"/>
        </w:rPr>
        <w:t>, in part</w:t>
      </w:r>
      <w:r w:rsidR="00A97C61" w:rsidRPr="2E96ABE4">
        <w:rPr>
          <w:rFonts w:cs="Times New Roman"/>
        </w:rPr>
        <w:t>,</w:t>
      </w:r>
      <w:r w:rsidR="00851F36" w:rsidRPr="2E96ABE4">
        <w:rPr>
          <w:rFonts w:cs="Times New Roman"/>
        </w:rPr>
        <w:t xml:space="preserve"> to</w:t>
      </w:r>
      <w:r w:rsidR="007D4EE6" w:rsidRPr="2E96ABE4">
        <w:rPr>
          <w:rFonts w:cs="Times New Roman"/>
        </w:rPr>
        <w:t xml:space="preserve"> the rise in the use of social media</w:t>
      </w:r>
      <w:r w:rsidR="00492AFD" w:rsidRPr="2E96ABE4">
        <w:rPr>
          <w:rFonts w:cs="Times New Roman"/>
        </w:rPr>
        <w:t xml:space="preserve"> and </w:t>
      </w:r>
      <w:r w:rsidR="002A0335" w:rsidRPr="2E96ABE4">
        <w:rPr>
          <w:rFonts w:cs="Times New Roman"/>
        </w:rPr>
        <w:t xml:space="preserve">its </w:t>
      </w:r>
      <w:r w:rsidR="00492AFD" w:rsidRPr="2E96ABE4">
        <w:rPr>
          <w:rFonts w:cs="Times New Roman"/>
        </w:rPr>
        <w:t>impact on markets</w:t>
      </w:r>
      <w:r w:rsidR="006228A7" w:rsidRPr="2E96ABE4">
        <w:rPr>
          <w:rFonts w:cs="Times New Roman"/>
        </w:rPr>
        <w:t>.</w:t>
      </w:r>
      <w:r w:rsidR="00492AFD" w:rsidRPr="2E96ABE4">
        <w:rPr>
          <w:rStyle w:val="FootnoteReference"/>
          <w:rFonts w:cs="Times New Roman"/>
        </w:rPr>
        <w:footnoteReference w:id="5"/>
      </w:r>
      <w:r w:rsidR="006228A7" w:rsidRPr="2E96ABE4">
        <w:rPr>
          <w:rFonts w:cs="Times New Roman"/>
        </w:rPr>
        <w:t xml:space="preserve">  </w:t>
      </w:r>
      <w:r w:rsidR="00492AFD" w:rsidRPr="2E96ABE4">
        <w:rPr>
          <w:rFonts w:cs="Times New Roman"/>
        </w:rPr>
        <w:t xml:space="preserve">Indeed, </w:t>
      </w:r>
      <w:r w:rsidR="00402855" w:rsidRPr="2E96ABE4">
        <w:rPr>
          <w:rFonts w:cs="Times New Roman"/>
        </w:rPr>
        <w:t xml:space="preserve">through </w:t>
      </w:r>
      <w:r w:rsidR="00492AFD" w:rsidRPr="2E96ABE4">
        <w:rPr>
          <w:rFonts w:cs="Times New Roman"/>
        </w:rPr>
        <w:t>social media</w:t>
      </w:r>
      <w:r w:rsidR="006228A7" w:rsidRPr="2E96ABE4">
        <w:rPr>
          <w:rFonts w:cs="Times New Roman"/>
        </w:rPr>
        <w:t xml:space="preserve"> </w:t>
      </w:r>
      <w:r w:rsidR="00492AFD" w:rsidRPr="2E96ABE4">
        <w:rPr>
          <w:rFonts w:cs="Times New Roman"/>
        </w:rPr>
        <w:t>platforms</w:t>
      </w:r>
      <w:r w:rsidR="004124EC" w:rsidRPr="2E96ABE4">
        <w:rPr>
          <w:rFonts w:cs="Times New Roman"/>
        </w:rPr>
        <w:t>,</w:t>
      </w:r>
      <w:r w:rsidR="004F4BA3" w:rsidRPr="2E96ABE4">
        <w:rPr>
          <w:rFonts w:cs="Times New Roman"/>
        </w:rPr>
        <w:t xml:space="preserve"> </w:t>
      </w:r>
      <w:r w:rsidR="002F09A3" w:rsidRPr="2E96ABE4">
        <w:rPr>
          <w:rFonts w:cs="Times New Roman"/>
        </w:rPr>
        <w:t>prominent a</w:t>
      </w:r>
      <w:r w:rsidR="00001B9D" w:rsidRPr="2E96ABE4">
        <w:rPr>
          <w:rFonts w:cs="Times New Roman"/>
        </w:rPr>
        <w:t xml:space="preserve">ctivists </w:t>
      </w:r>
      <w:r w:rsidR="004F4BA3" w:rsidRPr="2E96ABE4">
        <w:rPr>
          <w:rFonts w:cs="Times New Roman"/>
        </w:rPr>
        <w:t xml:space="preserve">with a large following </w:t>
      </w:r>
      <w:r w:rsidR="00402855" w:rsidRPr="2E96ABE4">
        <w:rPr>
          <w:rFonts w:cs="Times New Roman"/>
        </w:rPr>
        <w:t>can</w:t>
      </w:r>
      <w:r w:rsidR="002F09A3" w:rsidRPr="2E96ABE4">
        <w:rPr>
          <w:rFonts w:cs="Times New Roman"/>
        </w:rPr>
        <w:t xml:space="preserve"> </w:t>
      </w:r>
      <w:r w:rsidR="00BC3417" w:rsidRPr="2E96ABE4">
        <w:rPr>
          <w:rFonts w:cs="Times New Roman"/>
        </w:rPr>
        <w:t>promote</w:t>
      </w:r>
      <w:r w:rsidR="009772C3" w:rsidRPr="2E96ABE4">
        <w:rPr>
          <w:rFonts w:cs="Times New Roman"/>
        </w:rPr>
        <w:t xml:space="preserve"> and disseminate </w:t>
      </w:r>
      <w:r w:rsidR="004F4BA3" w:rsidRPr="2E96ABE4">
        <w:rPr>
          <w:rFonts w:cs="Times New Roman"/>
        </w:rPr>
        <w:t xml:space="preserve">their </w:t>
      </w:r>
      <w:r w:rsidR="00A13890" w:rsidRPr="2E96ABE4">
        <w:rPr>
          <w:rFonts w:cs="Times New Roman"/>
        </w:rPr>
        <w:t>short thes</w:t>
      </w:r>
      <w:r w:rsidR="00B97E62" w:rsidRPr="2E96ABE4">
        <w:rPr>
          <w:rFonts w:cs="Times New Roman"/>
        </w:rPr>
        <w:t>e</w:t>
      </w:r>
      <w:r w:rsidR="00A13890" w:rsidRPr="2E96ABE4">
        <w:rPr>
          <w:rFonts w:cs="Times New Roman"/>
        </w:rPr>
        <w:t xml:space="preserve">s </w:t>
      </w:r>
      <w:r w:rsidR="006079C2" w:rsidRPr="2E96ABE4">
        <w:rPr>
          <w:rFonts w:cs="Times New Roman"/>
        </w:rPr>
        <w:t>about</w:t>
      </w:r>
      <w:r w:rsidR="00AE1961" w:rsidRPr="2E96ABE4">
        <w:rPr>
          <w:rFonts w:cs="Times New Roman"/>
        </w:rPr>
        <w:t xml:space="preserve"> </w:t>
      </w:r>
      <w:r w:rsidR="006A24A4" w:rsidRPr="2E96ABE4">
        <w:rPr>
          <w:rFonts w:cs="Times New Roman"/>
        </w:rPr>
        <w:t xml:space="preserve">target </w:t>
      </w:r>
      <w:r w:rsidR="00AE1961" w:rsidRPr="2E96ABE4">
        <w:rPr>
          <w:rFonts w:cs="Times New Roman"/>
        </w:rPr>
        <w:t>companies</w:t>
      </w:r>
      <w:r w:rsidR="00C615E6" w:rsidRPr="2E96ABE4">
        <w:rPr>
          <w:rFonts w:cs="Times New Roman"/>
        </w:rPr>
        <w:t xml:space="preserve"> to a broader audience</w:t>
      </w:r>
      <w:r w:rsidR="00342167" w:rsidRPr="2E96ABE4">
        <w:rPr>
          <w:rFonts w:cs="Times New Roman"/>
        </w:rPr>
        <w:t xml:space="preserve"> </w:t>
      </w:r>
      <w:r w:rsidR="00B17A72" w:rsidRPr="2E96ABE4">
        <w:rPr>
          <w:rFonts w:cs="Times New Roman"/>
        </w:rPr>
        <w:t xml:space="preserve">and </w:t>
      </w:r>
      <w:r w:rsidR="00342167" w:rsidRPr="2E96ABE4">
        <w:rPr>
          <w:rFonts w:cs="Times New Roman"/>
        </w:rPr>
        <w:t>at a much faster pace</w:t>
      </w:r>
      <w:r w:rsidR="00D101A2" w:rsidRPr="2E96ABE4">
        <w:rPr>
          <w:rFonts w:cs="Times New Roman"/>
        </w:rPr>
        <w:t>.</w:t>
      </w:r>
      <w:r w:rsidR="00E73A99" w:rsidRPr="2E96ABE4">
        <w:rPr>
          <w:rStyle w:val="FootnoteReference"/>
          <w:rFonts w:cs="Times New Roman"/>
        </w:rPr>
        <w:footnoteReference w:id="6"/>
      </w:r>
    </w:p>
    <w:p w14:paraId="617A875D" w14:textId="77777777" w:rsidR="00994510" w:rsidRDefault="00994510" w:rsidP="00994510">
      <w:pPr>
        <w:spacing w:before="0" w:after="0"/>
        <w:rPr>
          <w:rFonts w:cs="Times New Roman"/>
        </w:rPr>
      </w:pPr>
    </w:p>
    <w:p w14:paraId="2FEC1B66" w14:textId="77777777" w:rsidR="000004E2" w:rsidRPr="00704557" w:rsidRDefault="002931C3" w:rsidP="00994510">
      <w:pPr>
        <w:spacing w:before="0" w:after="0"/>
        <w:rPr>
          <w:rFonts w:cs="Times New Roman"/>
        </w:rPr>
      </w:pPr>
      <w:r w:rsidRPr="2E96ABE4">
        <w:rPr>
          <w:rFonts w:cs="Times New Roman"/>
        </w:rPr>
        <w:t>While t</w:t>
      </w:r>
      <w:r w:rsidR="006D4720" w:rsidRPr="2E96ABE4">
        <w:rPr>
          <w:rFonts w:cs="Times New Roman"/>
        </w:rPr>
        <w:t xml:space="preserve">raditional </w:t>
      </w:r>
      <w:r w:rsidR="00686BAF" w:rsidRPr="2E96ABE4">
        <w:rPr>
          <w:rFonts w:cs="Times New Roman"/>
        </w:rPr>
        <w:t xml:space="preserve">long </w:t>
      </w:r>
      <w:r w:rsidR="006D4720" w:rsidRPr="2E96ABE4">
        <w:rPr>
          <w:rFonts w:cs="Times New Roman"/>
        </w:rPr>
        <w:t>s</w:t>
      </w:r>
      <w:r w:rsidR="00BD1D2B" w:rsidRPr="2E96ABE4">
        <w:rPr>
          <w:rFonts w:cs="Times New Roman"/>
        </w:rPr>
        <w:t>hareholder activism</w:t>
      </w:r>
      <w:r w:rsidR="006064EE" w:rsidRPr="2E96ABE4">
        <w:rPr>
          <w:rFonts w:cs="Times New Roman"/>
        </w:rPr>
        <w:t xml:space="preserve"> is </w:t>
      </w:r>
      <w:r w:rsidR="001D33FF" w:rsidRPr="2E96ABE4">
        <w:rPr>
          <w:rFonts w:cs="Times New Roman"/>
        </w:rPr>
        <w:t xml:space="preserve">a </w:t>
      </w:r>
      <w:r w:rsidR="006D4720" w:rsidRPr="2E96ABE4">
        <w:rPr>
          <w:rFonts w:cs="Times New Roman"/>
        </w:rPr>
        <w:t>well</w:t>
      </w:r>
      <w:r w:rsidR="005D193E" w:rsidRPr="2E96ABE4">
        <w:rPr>
          <w:rFonts w:cs="Times New Roman"/>
        </w:rPr>
        <w:t>-</w:t>
      </w:r>
      <w:r w:rsidR="006064EE" w:rsidRPr="2E96ABE4">
        <w:rPr>
          <w:rFonts w:cs="Times New Roman"/>
        </w:rPr>
        <w:t>accepted</w:t>
      </w:r>
      <w:r w:rsidR="006D4720" w:rsidRPr="2E96ABE4">
        <w:rPr>
          <w:rFonts w:cs="Times New Roman"/>
        </w:rPr>
        <w:t xml:space="preserve"> practice in our </w:t>
      </w:r>
      <w:r w:rsidR="006D4720" w:rsidRPr="00B17A72">
        <w:t>market</w:t>
      </w:r>
      <w:r w:rsidR="00B17A72">
        <w:t>s</w:t>
      </w:r>
      <w:r w:rsidR="005F39C5">
        <w:t xml:space="preserve"> </w:t>
      </w:r>
      <w:r w:rsidR="00B17A72">
        <w:t xml:space="preserve">and </w:t>
      </w:r>
      <w:r w:rsidR="001C7734" w:rsidRPr="2E96ABE4">
        <w:rPr>
          <w:rFonts w:cs="Times New Roman"/>
        </w:rPr>
        <w:t xml:space="preserve">viewed </w:t>
      </w:r>
      <w:r w:rsidR="002464F3" w:rsidRPr="2E96ABE4">
        <w:rPr>
          <w:rFonts w:cs="Times New Roman"/>
        </w:rPr>
        <w:t>by</w:t>
      </w:r>
      <w:r w:rsidR="00416A29" w:rsidRPr="2E96ABE4">
        <w:rPr>
          <w:rFonts w:cs="Times New Roman"/>
        </w:rPr>
        <w:t xml:space="preserve"> most</w:t>
      </w:r>
      <w:r w:rsidR="002464F3" w:rsidRPr="2E96ABE4">
        <w:rPr>
          <w:rFonts w:cs="Times New Roman"/>
        </w:rPr>
        <w:t xml:space="preserve"> </w:t>
      </w:r>
      <w:r w:rsidR="001C7734" w:rsidRPr="2E96ABE4">
        <w:rPr>
          <w:rFonts w:cs="Times New Roman"/>
        </w:rPr>
        <w:t xml:space="preserve">as </w:t>
      </w:r>
      <w:r w:rsidR="00C01DA6" w:rsidRPr="2E96ABE4">
        <w:rPr>
          <w:rFonts w:cs="Times New Roman"/>
        </w:rPr>
        <w:t xml:space="preserve">an </w:t>
      </w:r>
      <w:r w:rsidR="001C7734" w:rsidRPr="2E96ABE4">
        <w:rPr>
          <w:rFonts w:cs="Times New Roman"/>
        </w:rPr>
        <w:t xml:space="preserve">effort to </w:t>
      </w:r>
      <w:r w:rsidR="00BD1D2B" w:rsidRPr="2E96ABE4">
        <w:rPr>
          <w:rFonts w:cs="Times New Roman"/>
        </w:rPr>
        <w:t xml:space="preserve">improve </w:t>
      </w:r>
      <w:r w:rsidR="00BA7E24" w:rsidRPr="2E96ABE4">
        <w:rPr>
          <w:rFonts w:cs="Times New Roman"/>
        </w:rPr>
        <w:t>shareholder value in public companies</w:t>
      </w:r>
      <w:r w:rsidRPr="2E96ABE4">
        <w:rPr>
          <w:rFonts w:cs="Times New Roman"/>
        </w:rPr>
        <w:t>, a</w:t>
      </w:r>
      <w:r w:rsidR="00DC5337" w:rsidRPr="2E96ABE4">
        <w:rPr>
          <w:rFonts w:cs="Times New Roman"/>
        </w:rPr>
        <w:t>ctivis</w:t>
      </w:r>
      <w:r w:rsidR="00F02956" w:rsidRPr="2E96ABE4">
        <w:rPr>
          <w:rFonts w:cs="Times New Roman"/>
        </w:rPr>
        <w:t>m</w:t>
      </w:r>
      <w:r w:rsidR="00DC5337" w:rsidRPr="2E96ABE4">
        <w:rPr>
          <w:rFonts w:cs="Times New Roman"/>
        </w:rPr>
        <w:t xml:space="preserve"> </w:t>
      </w:r>
      <w:r w:rsidR="00F02956" w:rsidRPr="2E96ABE4">
        <w:rPr>
          <w:rFonts w:cs="Times New Roman"/>
        </w:rPr>
        <w:t xml:space="preserve">by </w:t>
      </w:r>
      <w:r w:rsidR="00DC5337" w:rsidRPr="2E96ABE4">
        <w:rPr>
          <w:rFonts w:cs="Times New Roman"/>
        </w:rPr>
        <w:t>short sell</w:t>
      </w:r>
      <w:r w:rsidR="001952C6" w:rsidRPr="2E96ABE4">
        <w:rPr>
          <w:rFonts w:cs="Times New Roman"/>
        </w:rPr>
        <w:t>er</w:t>
      </w:r>
      <w:r w:rsidR="00532C84" w:rsidRPr="2E96ABE4">
        <w:rPr>
          <w:rFonts w:cs="Times New Roman"/>
        </w:rPr>
        <w:t xml:space="preserve">s </w:t>
      </w:r>
      <w:r w:rsidR="00212DE2" w:rsidRPr="2E96ABE4">
        <w:rPr>
          <w:rFonts w:cs="Times New Roman"/>
        </w:rPr>
        <w:t>is often</w:t>
      </w:r>
      <w:r w:rsidR="00532C84" w:rsidRPr="2E96ABE4">
        <w:rPr>
          <w:rFonts w:cs="Times New Roman"/>
        </w:rPr>
        <w:t xml:space="preserve"> viewed differently</w:t>
      </w:r>
      <w:r w:rsidRPr="2E96ABE4">
        <w:rPr>
          <w:rFonts w:cs="Times New Roman"/>
        </w:rPr>
        <w:t xml:space="preserve">.  </w:t>
      </w:r>
      <w:r w:rsidR="00B7520A" w:rsidRPr="2E96ABE4">
        <w:rPr>
          <w:rFonts w:cs="Times New Roman"/>
        </w:rPr>
        <w:t>Activist short sellers</w:t>
      </w:r>
      <w:r w:rsidR="00F37C11" w:rsidRPr="2E96ABE4">
        <w:rPr>
          <w:rFonts w:cs="Times New Roman"/>
        </w:rPr>
        <w:t xml:space="preserve"> </w:t>
      </w:r>
      <w:r w:rsidR="00F155D3" w:rsidRPr="2E96ABE4">
        <w:rPr>
          <w:rFonts w:cs="Times New Roman"/>
        </w:rPr>
        <w:t xml:space="preserve">state </w:t>
      </w:r>
      <w:r w:rsidR="00082B6A" w:rsidRPr="2E96ABE4">
        <w:rPr>
          <w:rFonts w:cs="Times New Roman"/>
        </w:rPr>
        <w:t xml:space="preserve">that </w:t>
      </w:r>
      <w:r w:rsidR="00F155D3" w:rsidRPr="2E96ABE4">
        <w:rPr>
          <w:rFonts w:cs="Times New Roman"/>
        </w:rPr>
        <w:t xml:space="preserve">they create real value for public markets by contributing to </w:t>
      </w:r>
      <w:r w:rsidR="00BA7E24" w:rsidRPr="2E96ABE4">
        <w:rPr>
          <w:rFonts w:cs="Times New Roman"/>
        </w:rPr>
        <w:t xml:space="preserve">market </w:t>
      </w:r>
      <w:r w:rsidR="00F155D3" w:rsidRPr="2E96ABE4">
        <w:rPr>
          <w:rFonts w:cs="Times New Roman"/>
        </w:rPr>
        <w:t>efficiency and price discovery</w:t>
      </w:r>
      <w:r w:rsidR="00C35B41" w:rsidRPr="2E96ABE4">
        <w:rPr>
          <w:rFonts w:cs="Times New Roman"/>
        </w:rPr>
        <w:t>.  S</w:t>
      </w:r>
      <w:r w:rsidR="00F155D3" w:rsidRPr="2E96ABE4">
        <w:rPr>
          <w:rFonts w:cs="Times New Roman"/>
        </w:rPr>
        <w:t>ome</w:t>
      </w:r>
      <w:r w:rsidR="00C35B41" w:rsidRPr="2E96ABE4">
        <w:rPr>
          <w:rFonts w:cs="Times New Roman"/>
        </w:rPr>
        <w:t xml:space="preserve"> take it even further describing their work as </w:t>
      </w:r>
      <w:r w:rsidR="00F155D3" w:rsidRPr="2E96ABE4">
        <w:rPr>
          <w:rFonts w:cs="Times New Roman"/>
        </w:rPr>
        <w:t>a “first line of defence against fraud and subsequent losses.”</w:t>
      </w:r>
      <w:r w:rsidR="00F155D3" w:rsidRPr="2E96ABE4">
        <w:rPr>
          <w:rStyle w:val="FootnoteReference"/>
          <w:rFonts w:cs="Times New Roman"/>
        </w:rPr>
        <w:footnoteReference w:id="7"/>
      </w:r>
      <w:r w:rsidR="00006DAF" w:rsidRPr="2E96ABE4">
        <w:rPr>
          <w:rFonts w:cs="Times New Roman"/>
        </w:rPr>
        <w:t xml:space="preserve">  </w:t>
      </w:r>
      <w:r w:rsidR="00820641" w:rsidRPr="2E96ABE4">
        <w:rPr>
          <w:rFonts w:cs="Times New Roman"/>
        </w:rPr>
        <w:t>The approach of activist short sellers is not without controversy</w:t>
      </w:r>
      <w:r w:rsidR="00F14BDF" w:rsidRPr="2E96ABE4">
        <w:rPr>
          <w:rFonts w:cs="Times New Roman"/>
        </w:rPr>
        <w:t>.</w:t>
      </w:r>
      <w:r w:rsidR="00820641" w:rsidRPr="2E96ABE4">
        <w:rPr>
          <w:rFonts w:cs="Times New Roman"/>
        </w:rPr>
        <w:t xml:space="preserve"> </w:t>
      </w:r>
      <w:r w:rsidR="00E30416" w:rsidRPr="2E96ABE4">
        <w:rPr>
          <w:rFonts w:cs="Times New Roman"/>
        </w:rPr>
        <w:t xml:space="preserve"> </w:t>
      </w:r>
      <w:r w:rsidR="00F14BDF" w:rsidRPr="2E96ABE4">
        <w:rPr>
          <w:rFonts w:cs="Times New Roman"/>
        </w:rPr>
        <w:t>I</w:t>
      </w:r>
      <w:r w:rsidR="00B2720E" w:rsidRPr="2E96ABE4">
        <w:rPr>
          <w:rFonts w:cs="Times New Roman"/>
        </w:rPr>
        <w:t xml:space="preserve">f </w:t>
      </w:r>
      <w:r w:rsidR="00FB36E2" w:rsidRPr="2E96ABE4">
        <w:rPr>
          <w:rFonts w:cs="Times New Roman"/>
        </w:rPr>
        <w:t>an activist short seller’s</w:t>
      </w:r>
      <w:r w:rsidR="00B2720E" w:rsidRPr="2E96ABE4">
        <w:rPr>
          <w:rFonts w:cs="Times New Roman"/>
        </w:rPr>
        <w:t xml:space="preserve"> </w:t>
      </w:r>
      <w:r w:rsidR="00532C84" w:rsidRPr="2E96ABE4">
        <w:rPr>
          <w:rFonts w:cs="Times New Roman"/>
        </w:rPr>
        <w:t>objective</w:t>
      </w:r>
      <w:r w:rsidR="00B2720E" w:rsidRPr="2E96ABE4">
        <w:rPr>
          <w:rFonts w:cs="Times New Roman"/>
        </w:rPr>
        <w:t xml:space="preserve"> is met, </w:t>
      </w:r>
      <w:r w:rsidR="00FB36E2" w:rsidRPr="2E96ABE4">
        <w:rPr>
          <w:rFonts w:cs="Times New Roman"/>
        </w:rPr>
        <w:t xml:space="preserve">it </w:t>
      </w:r>
      <w:r w:rsidR="00B2720E" w:rsidRPr="2E96ABE4">
        <w:rPr>
          <w:rFonts w:cs="Times New Roman"/>
        </w:rPr>
        <w:t>will</w:t>
      </w:r>
      <w:r w:rsidR="006B1508" w:rsidRPr="2E96ABE4">
        <w:rPr>
          <w:rFonts w:cs="Times New Roman"/>
        </w:rPr>
        <w:t xml:space="preserve"> mean they have convinced the market of their thesis and</w:t>
      </w:r>
      <w:r w:rsidR="00532C84" w:rsidRPr="2E96ABE4">
        <w:rPr>
          <w:rFonts w:cs="Times New Roman"/>
        </w:rPr>
        <w:t xml:space="preserve"> </w:t>
      </w:r>
      <w:r w:rsidR="008E5591" w:rsidRPr="2E96ABE4">
        <w:rPr>
          <w:rFonts w:cs="Times New Roman"/>
        </w:rPr>
        <w:t>cause</w:t>
      </w:r>
      <w:r w:rsidR="006B1508" w:rsidRPr="2E96ABE4">
        <w:rPr>
          <w:rFonts w:cs="Times New Roman"/>
        </w:rPr>
        <w:t>d</w:t>
      </w:r>
      <w:r w:rsidR="009F2A96" w:rsidRPr="2E96ABE4">
        <w:rPr>
          <w:rFonts w:cs="Times New Roman"/>
        </w:rPr>
        <w:t xml:space="preserve"> </w:t>
      </w:r>
      <w:r w:rsidR="001A7CA2" w:rsidRPr="2E96ABE4">
        <w:rPr>
          <w:rFonts w:cs="Times New Roman"/>
        </w:rPr>
        <w:t>a</w:t>
      </w:r>
      <w:r w:rsidR="00DC5337" w:rsidRPr="2E96ABE4">
        <w:rPr>
          <w:rFonts w:cs="Times New Roman"/>
        </w:rPr>
        <w:t xml:space="preserve"> decline</w:t>
      </w:r>
      <w:r w:rsidR="001A7CA2" w:rsidRPr="2E96ABE4">
        <w:rPr>
          <w:rFonts w:cs="Times New Roman"/>
        </w:rPr>
        <w:t xml:space="preserve"> in a </w:t>
      </w:r>
      <w:r w:rsidR="006B1508" w:rsidRPr="2E96ABE4">
        <w:rPr>
          <w:rFonts w:cs="Times New Roman"/>
        </w:rPr>
        <w:t xml:space="preserve">target </w:t>
      </w:r>
      <w:r w:rsidR="008D0A9B" w:rsidRPr="2E96ABE4">
        <w:rPr>
          <w:rFonts w:cs="Times New Roman"/>
        </w:rPr>
        <w:t>issuer</w:t>
      </w:r>
      <w:r w:rsidR="001A7CA2" w:rsidRPr="2E96ABE4">
        <w:rPr>
          <w:rFonts w:cs="Times New Roman"/>
        </w:rPr>
        <w:t>’s share price, leading to a loss of value</w:t>
      </w:r>
      <w:r w:rsidR="00586A8E" w:rsidRPr="2E96ABE4">
        <w:rPr>
          <w:rFonts w:cs="Times New Roman"/>
        </w:rPr>
        <w:t xml:space="preserve"> for </w:t>
      </w:r>
      <w:r w:rsidR="00DF48F0" w:rsidRPr="2E96ABE4">
        <w:rPr>
          <w:rFonts w:cs="Times New Roman"/>
        </w:rPr>
        <w:t>its</w:t>
      </w:r>
      <w:r w:rsidR="00586A8E" w:rsidRPr="2E96ABE4">
        <w:rPr>
          <w:rFonts w:cs="Times New Roman"/>
        </w:rPr>
        <w:t xml:space="preserve"> shareholders</w:t>
      </w:r>
      <w:r w:rsidR="00F37C11" w:rsidRPr="2E96ABE4">
        <w:rPr>
          <w:rFonts w:cs="Times New Roman"/>
        </w:rPr>
        <w:t>.</w:t>
      </w:r>
      <w:r w:rsidR="00E95D3F" w:rsidRPr="2E96ABE4">
        <w:rPr>
          <w:rStyle w:val="FootnoteReference"/>
          <w:rFonts w:cs="Times New Roman"/>
        </w:rPr>
        <w:t xml:space="preserve"> </w:t>
      </w:r>
      <w:r w:rsidR="00E95D3F" w:rsidRPr="2E96ABE4">
        <w:rPr>
          <w:rStyle w:val="FootnoteReference"/>
          <w:rFonts w:cs="Times New Roman"/>
        </w:rPr>
        <w:footnoteReference w:id="8"/>
      </w:r>
      <w:r w:rsidR="00E95D3F" w:rsidRPr="2E96ABE4">
        <w:rPr>
          <w:rFonts w:cs="Times New Roman"/>
        </w:rPr>
        <w:t xml:space="preserve"> </w:t>
      </w:r>
      <w:r w:rsidR="00711605" w:rsidRPr="2E96ABE4">
        <w:rPr>
          <w:rFonts w:cs="Times New Roman"/>
        </w:rPr>
        <w:t xml:space="preserve">  </w:t>
      </w:r>
    </w:p>
    <w:p w14:paraId="0FE3E78F" w14:textId="77777777" w:rsidR="001125D7" w:rsidRPr="00FF2D19" w:rsidRDefault="001125D7" w:rsidP="000902F5">
      <w:pPr>
        <w:pStyle w:val="SUB-SECTION"/>
        <w:jc w:val="left"/>
      </w:pPr>
      <w:r w:rsidRPr="00EC4B4F">
        <w:t>Concerns</w:t>
      </w:r>
      <w:r w:rsidRPr="00FF2D19">
        <w:t xml:space="preserve"> </w:t>
      </w:r>
      <w:r w:rsidR="00FF2D19" w:rsidRPr="00FF2D19">
        <w:t>Raised</w:t>
      </w:r>
    </w:p>
    <w:p w14:paraId="353701B6" w14:textId="6F7E781D" w:rsidR="00B17A72" w:rsidRDefault="00847D39" w:rsidP="00994510">
      <w:pPr>
        <w:spacing w:before="0" w:after="0"/>
        <w:rPr>
          <w:rFonts w:cs="Times New Roman"/>
          <w:szCs w:val="24"/>
        </w:rPr>
      </w:pPr>
      <w:r>
        <w:rPr>
          <w:rFonts w:cs="Times New Roman"/>
          <w:szCs w:val="24"/>
        </w:rPr>
        <w:lastRenderedPageBreak/>
        <w:t>In the last few years, c</w:t>
      </w:r>
      <w:r w:rsidR="00B17A72">
        <w:rPr>
          <w:rFonts w:cs="Times New Roman"/>
          <w:szCs w:val="24"/>
        </w:rPr>
        <w:t xml:space="preserve">ertain Canadian </w:t>
      </w:r>
      <w:r w:rsidR="00EC540F">
        <w:rPr>
          <w:rFonts w:cs="Times New Roman"/>
          <w:szCs w:val="24"/>
        </w:rPr>
        <w:t>market stakeholders</w:t>
      </w:r>
      <w:r w:rsidR="00B17A72" w:rsidRPr="002C7102">
        <w:rPr>
          <w:rFonts w:cs="Times New Roman"/>
          <w:szCs w:val="24"/>
        </w:rPr>
        <w:t xml:space="preserve">, primarily </w:t>
      </w:r>
      <w:r w:rsidR="00B17A72">
        <w:rPr>
          <w:rFonts w:cs="Times New Roman"/>
          <w:szCs w:val="24"/>
        </w:rPr>
        <w:t xml:space="preserve">in the </w:t>
      </w:r>
      <w:r w:rsidR="00B17A72" w:rsidRPr="002C7102">
        <w:rPr>
          <w:rFonts w:cs="Times New Roman"/>
          <w:szCs w:val="24"/>
        </w:rPr>
        <w:t>issuer</w:t>
      </w:r>
      <w:r w:rsidR="00B17A72">
        <w:rPr>
          <w:rFonts w:cs="Times New Roman"/>
          <w:szCs w:val="24"/>
        </w:rPr>
        <w:t xml:space="preserve"> community, have</w:t>
      </w:r>
      <w:r w:rsidR="00C470FE">
        <w:rPr>
          <w:rFonts w:cs="Times New Roman"/>
          <w:szCs w:val="24"/>
        </w:rPr>
        <w:t xml:space="preserve"> </w:t>
      </w:r>
      <w:r w:rsidR="00B17A72">
        <w:rPr>
          <w:rFonts w:cs="Times New Roman"/>
          <w:szCs w:val="24"/>
        </w:rPr>
        <w:t>raised</w:t>
      </w:r>
      <w:r w:rsidR="00B17A72" w:rsidRPr="002C7102">
        <w:rPr>
          <w:rFonts w:cs="Times New Roman"/>
          <w:szCs w:val="24"/>
        </w:rPr>
        <w:t xml:space="preserve"> concerns about</w:t>
      </w:r>
      <w:r w:rsidR="00B17A72">
        <w:rPr>
          <w:rFonts w:cs="Times New Roman"/>
          <w:szCs w:val="24"/>
        </w:rPr>
        <w:t xml:space="preserve"> </w:t>
      </w:r>
      <w:r w:rsidR="00B17A72" w:rsidRPr="002C7102">
        <w:rPr>
          <w:rFonts w:cs="Times New Roman"/>
          <w:szCs w:val="24"/>
        </w:rPr>
        <w:t>activist short sell</w:t>
      </w:r>
      <w:r w:rsidR="00B17A72">
        <w:rPr>
          <w:rFonts w:cs="Times New Roman"/>
          <w:szCs w:val="24"/>
        </w:rPr>
        <w:t>ing and its impact on our markets.</w:t>
      </w:r>
      <w:r w:rsidR="00B573AB">
        <w:rPr>
          <w:rStyle w:val="FootnoteReference"/>
          <w:rFonts w:cs="Times New Roman"/>
          <w:szCs w:val="24"/>
        </w:rPr>
        <w:footnoteReference w:id="9"/>
      </w:r>
      <w:r w:rsidR="00B17A72">
        <w:rPr>
          <w:rFonts w:cs="Times New Roman"/>
          <w:szCs w:val="24"/>
        </w:rPr>
        <w:t xml:space="preserve">  These concerns appear to be based on perceptio</w:t>
      </w:r>
      <w:r w:rsidR="006E72F8">
        <w:rPr>
          <w:rFonts w:cs="Times New Roman"/>
          <w:szCs w:val="24"/>
        </w:rPr>
        <w:t xml:space="preserve">ns </w:t>
      </w:r>
      <w:r w:rsidR="00B17A72">
        <w:rPr>
          <w:rFonts w:cs="Times New Roman"/>
          <w:szCs w:val="24"/>
        </w:rPr>
        <w:t>that</w:t>
      </w:r>
      <w:r w:rsidR="00B17A72" w:rsidRPr="002C7102">
        <w:rPr>
          <w:rFonts w:cs="Times New Roman"/>
          <w:szCs w:val="24"/>
        </w:rPr>
        <w:t xml:space="preserve">: </w:t>
      </w:r>
    </w:p>
    <w:p w14:paraId="61D2EB91" w14:textId="77777777" w:rsidR="00994510" w:rsidRPr="002C7102" w:rsidRDefault="00994510" w:rsidP="00994510">
      <w:pPr>
        <w:spacing w:before="0" w:after="0"/>
        <w:rPr>
          <w:rFonts w:cs="Times New Roman"/>
          <w:szCs w:val="24"/>
        </w:rPr>
      </w:pPr>
    </w:p>
    <w:p w14:paraId="1A4975C4" w14:textId="77777777" w:rsidR="00B17A72" w:rsidRPr="002C7102" w:rsidRDefault="00B17A72" w:rsidP="00994510">
      <w:pPr>
        <w:pStyle w:val="ListParagraph"/>
        <w:numPr>
          <w:ilvl w:val="0"/>
          <w:numId w:val="7"/>
        </w:numPr>
        <w:spacing w:before="0" w:after="0"/>
        <w:rPr>
          <w:rFonts w:cs="Times New Roman"/>
          <w:szCs w:val="24"/>
        </w:rPr>
      </w:pPr>
      <w:r w:rsidRPr="002C7102">
        <w:rPr>
          <w:rFonts w:cs="Times New Roman"/>
          <w:szCs w:val="24"/>
        </w:rPr>
        <w:t>The</w:t>
      </w:r>
      <w:r>
        <w:rPr>
          <w:rFonts w:cs="Times New Roman"/>
          <w:szCs w:val="24"/>
        </w:rPr>
        <w:t xml:space="preserve">re is </w:t>
      </w:r>
      <w:r w:rsidR="0096616A">
        <w:rPr>
          <w:rFonts w:cs="Times New Roman"/>
          <w:szCs w:val="24"/>
        </w:rPr>
        <w:t>a</w:t>
      </w:r>
      <w:r w:rsidR="00DE2B81">
        <w:rPr>
          <w:rFonts w:cs="Times New Roman"/>
          <w:szCs w:val="24"/>
        </w:rPr>
        <w:t>n increasing</w:t>
      </w:r>
      <w:r w:rsidR="0096616A">
        <w:rPr>
          <w:rFonts w:cs="Times New Roman"/>
          <w:szCs w:val="24"/>
        </w:rPr>
        <w:t xml:space="preserve"> </w:t>
      </w:r>
      <w:r w:rsidRPr="002C7102">
        <w:rPr>
          <w:rFonts w:cs="Times New Roman"/>
          <w:szCs w:val="24"/>
        </w:rPr>
        <w:t xml:space="preserve">number of activist short selling </w:t>
      </w:r>
      <w:r w:rsidR="000C1B8A">
        <w:rPr>
          <w:rFonts w:cs="Times New Roman"/>
          <w:szCs w:val="24"/>
        </w:rPr>
        <w:t>C</w:t>
      </w:r>
      <w:r w:rsidRPr="002C7102">
        <w:rPr>
          <w:rFonts w:cs="Times New Roman"/>
          <w:szCs w:val="24"/>
        </w:rPr>
        <w:t xml:space="preserve">ampaigns </w:t>
      </w:r>
      <w:r>
        <w:rPr>
          <w:rFonts w:cs="Times New Roman"/>
          <w:szCs w:val="24"/>
        </w:rPr>
        <w:t>in Canada</w:t>
      </w:r>
      <w:r w:rsidR="00FA370A">
        <w:rPr>
          <w:rStyle w:val="FootnoteReference"/>
          <w:rFonts w:cs="Times New Roman"/>
          <w:szCs w:val="24"/>
        </w:rPr>
        <w:footnoteReference w:id="10"/>
      </w:r>
      <w:r w:rsidRPr="002C7102">
        <w:rPr>
          <w:rFonts w:cs="Times New Roman"/>
          <w:szCs w:val="24"/>
        </w:rPr>
        <w:t>;</w:t>
      </w:r>
    </w:p>
    <w:p w14:paraId="0F37A118" w14:textId="77777777" w:rsidR="00B17A72" w:rsidRPr="002C7102" w:rsidRDefault="00B17A72" w:rsidP="000902F5">
      <w:pPr>
        <w:pStyle w:val="ListParagraph"/>
        <w:numPr>
          <w:ilvl w:val="0"/>
          <w:numId w:val="7"/>
        </w:numPr>
        <w:rPr>
          <w:rFonts w:cs="Times New Roman"/>
          <w:szCs w:val="24"/>
        </w:rPr>
      </w:pPr>
      <w:r w:rsidRPr="002C7102">
        <w:rPr>
          <w:rFonts w:cs="Times New Roman"/>
          <w:szCs w:val="24"/>
        </w:rPr>
        <w:t>The Canadian regulatory framework</w:t>
      </w:r>
      <w:r>
        <w:rPr>
          <w:rFonts w:cs="Times New Roman"/>
          <w:szCs w:val="24"/>
        </w:rPr>
        <w:t xml:space="preserve"> addressing short selling is less strict in comparison to other jurisdictions</w:t>
      </w:r>
      <w:r w:rsidR="008B4C9D">
        <w:rPr>
          <w:rStyle w:val="FootnoteReference"/>
          <w:rFonts w:cs="Times New Roman"/>
          <w:szCs w:val="24"/>
        </w:rPr>
        <w:footnoteReference w:id="11"/>
      </w:r>
      <w:r w:rsidRPr="002C7102">
        <w:rPr>
          <w:rFonts w:cs="Times New Roman"/>
          <w:szCs w:val="24"/>
        </w:rPr>
        <w:t>;</w:t>
      </w:r>
      <w:r>
        <w:rPr>
          <w:rFonts w:cs="Times New Roman"/>
          <w:szCs w:val="24"/>
        </w:rPr>
        <w:t xml:space="preserve"> and</w:t>
      </w:r>
    </w:p>
    <w:p w14:paraId="642BD4BB" w14:textId="059B7B15" w:rsidR="00B17A72" w:rsidRDefault="00B17A72" w:rsidP="00994510">
      <w:pPr>
        <w:pStyle w:val="ListParagraph"/>
        <w:numPr>
          <w:ilvl w:val="0"/>
          <w:numId w:val="7"/>
        </w:numPr>
        <w:spacing w:before="0" w:after="0"/>
        <w:rPr>
          <w:rFonts w:cs="Times New Roman"/>
          <w:szCs w:val="24"/>
        </w:rPr>
      </w:pPr>
      <w:r w:rsidRPr="00353319">
        <w:rPr>
          <w:rFonts w:cs="Times New Roman"/>
          <w:szCs w:val="24"/>
        </w:rPr>
        <w:t xml:space="preserve">There </w:t>
      </w:r>
      <w:r w:rsidR="00847D39" w:rsidRPr="00353319">
        <w:rPr>
          <w:rFonts w:cs="Times New Roman"/>
          <w:szCs w:val="24"/>
        </w:rPr>
        <w:t xml:space="preserve">is </w:t>
      </w:r>
      <w:r w:rsidRPr="00353319">
        <w:rPr>
          <w:rFonts w:cs="Times New Roman"/>
          <w:szCs w:val="24"/>
        </w:rPr>
        <w:t>inadequate</w:t>
      </w:r>
      <w:r w:rsidR="00847D39" w:rsidRPr="00353319">
        <w:rPr>
          <w:rFonts w:cs="Times New Roman"/>
          <w:szCs w:val="24"/>
        </w:rPr>
        <w:t xml:space="preserve"> </w:t>
      </w:r>
      <w:r w:rsidRPr="00353319">
        <w:rPr>
          <w:rFonts w:cs="Times New Roman"/>
          <w:szCs w:val="24"/>
        </w:rPr>
        <w:t>deterrence</w:t>
      </w:r>
      <w:r w:rsidR="00847D39" w:rsidRPr="00353319">
        <w:rPr>
          <w:rFonts w:cs="Times New Roman"/>
          <w:szCs w:val="24"/>
        </w:rPr>
        <w:t xml:space="preserve"> to problematic conduct given </w:t>
      </w:r>
      <w:r w:rsidRPr="00353319">
        <w:rPr>
          <w:rFonts w:cs="Times New Roman"/>
          <w:szCs w:val="24"/>
        </w:rPr>
        <w:t xml:space="preserve">the limited number of enforcement proceedings </w:t>
      </w:r>
      <w:r w:rsidR="009A4FC0" w:rsidRPr="00353319">
        <w:rPr>
          <w:rFonts w:cs="Times New Roman"/>
          <w:szCs w:val="24"/>
        </w:rPr>
        <w:t>involving problematic</w:t>
      </w:r>
      <w:r w:rsidRPr="00353319">
        <w:rPr>
          <w:rFonts w:cs="Times New Roman"/>
          <w:szCs w:val="24"/>
        </w:rPr>
        <w:t xml:space="preserve"> activist short sell</w:t>
      </w:r>
      <w:r w:rsidR="009A4FC0" w:rsidRPr="00353319">
        <w:rPr>
          <w:rFonts w:cs="Times New Roman"/>
          <w:szCs w:val="24"/>
        </w:rPr>
        <w:t>ing</w:t>
      </w:r>
      <w:r w:rsidRPr="00353319">
        <w:rPr>
          <w:rFonts w:cs="Times New Roman"/>
          <w:szCs w:val="24"/>
        </w:rPr>
        <w:t xml:space="preserve"> as well as a lack of </w:t>
      </w:r>
      <w:r w:rsidR="00DD5B65" w:rsidRPr="00353319">
        <w:rPr>
          <w:rFonts w:cs="Times New Roman"/>
          <w:szCs w:val="24"/>
        </w:rPr>
        <w:t xml:space="preserve">meaningful </w:t>
      </w:r>
      <w:r w:rsidRPr="00353319">
        <w:rPr>
          <w:rFonts w:cs="Times New Roman"/>
          <w:szCs w:val="24"/>
        </w:rPr>
        <w:t>remedial actions</w:t>
      </w:r>
      <w:r w:rsidR="00DD5B65" w:rsidRPr="00353319">
        <w:rPr>
          <w:rFonts w:cs="Times New Roman"/>
          <w:szCs w:val="24"/>
        </w:rPr>
        <w:t xml:space="preserve"> for misconduct</w:t>
      </w:r>
      <w:r w:rsidRPr="00353319">
        <w:rPr>
          <w:rFonts w:cs="Times New Roman"/>
          <w:szCs w:val="24"/>
        </w:rPr>
        <w:t>.</w:t>
      </w:r>
      <w:r w:rsidRPr="00353319">
        <w:rPr>
          <w:rStyle w:val="FootnoteReference"/>
          <w:rFonts w:cs="Times New Roman"/>
          <w:szCs w:val="24"/>
        </w:rPr>
        <w:footnoteReference w:id="12"/>
      </w:r>
    </w:p>
    <w:p w14:paraId="38CD8CD3" w14:textId="77777777" w:rsidR="00994510" w:rsidRPr="00353319" w:rsidRDefault="00994510" w:rsidP="00994510">
      <w:pPr>
        <w:pStyle w:val="ListParagraph"/>
        <w:spacing w:before="0" w:after="0"/>
        <w:rPr>
          <w:rFonts w:cs="Times New Roman"/>
          <w:szCs w:val="24"/>
        </w:rPr>
      </w:pPr>
    </w:p>
    <w:p w14:paraId="008D00ED" w14:textId="392A0D63" w:rsidR="00FD1B99" w:rsidRDefault="007824EE" w:rsidP="00994510">
      <w:pPr>
        <w:spacing w:before="0" w:after="0"/>
        <w:rPr>
          <w:rFonts w:cs="Times New Roman"/>
        </w:rPr>
      </w:pPr>
      <w:r w:rsidRPr="2E96ABE4">
        <w:rPr>
          <w:rFonts w:cs="Times New Roman"/>
        </w:rPr>
        <w:t xml:space="preserve">In contrast, </w:t>
      </w:r>
      <w:r w:rsidR="00FE0F6D" w:rsidRPr="2E96ABE4">
        <w:rPr>
          <w:rFonts w:cs="Times New Roman"/>
        </w:rPr>
        <w:t>activist short seller</w:t>
      </w:r>
      <w:r w:rsidR="000566B1" w:rsidRPr="2E96ABE4">
        <w:rPr>
          <w:rFonts w:cs="Times New Roman"/>
        </w:rPr>
        <w:t>s</w:t>
      </w:r>
      <w:r w:rsidR="00547127" w:rsidRPr="2E96ABE4">
        <w:rPr>
          <w:rFonts w:cs="Times New Roman"/>
        </w:rPr>
        <w:t xml:space="preserve"> </w:t>
      </w:r>
      <w:r w:rsidR="00DD6A4E" w:rsidRPr="2E96ABE4">
        <w:rPr>
          <w:rFonts w:cs="Times New Roman"/>
        </w:rPr>
        <w:t>have said</w:t>
      </w:r>
      <w:r w:rsidR="00547127" w:rsidRPr="2E96ABE4">
        <w:rPr>
          <w:rFonts w:cs="Times New Roman"/>
        </w:rPr>
        <w:t xml:space="preserve"> they target Canadian firms because </w:t>
      </w:r>
      <w:r w:rsidR="00206D59" w:rsidRPr="2E96ABE4">
        <w:rPr>
          <w:rFonts w:cs="Times New Roman"/>
        </w:rPr>
        <w:t>Canada</w:t>
      </w:r>
      <w:r w:rsidR="00547127" w:rsidRPr="2E96ABE4">
        <w:rPr>
          <w:rFonts w:cs="Times New Roman"/>
        </w:rPr>
        <w:t xml:space="preserve"> is </w:t>
      </w:r>
      <w:r w:rsidR="00206D59" w:rsidRPr="2E96ABE4">
        <w:rPr>
          <w:rFonts w:cs="Times New Roman"/>
        </w:rPr>
        <w:t>“</w:t>
      </w:r>
      <w:r w:rsidR="00547127" w:rsidRPr="2E96ABE4">
        <w:rPr>
          <w:rFonts w:cs="Times New Roman"/>
        </w:rPr>
        <w:t>fertile ground for corporate malfeasance</w:t>
      </w:r>
      <w:r w:rsidR="00206D59" w:rsidRPr="2E96ABE4">
        <w:rPr>
          <w:rFonts w:cs="Times New Roman"/>
        </w:rPr>
        <w:t>”</w:t>
      </w:r>
      <w:r w:rsidR="009E5893" w:rsidRPr="2E96ABE4">
        <w:rPr>
          <w:rStyle w:val="FootnoteReference"/>
          <w:rFonts w:cs="Times New Roman"/>
        </w:rPr>
        <w:footnoteReference w:id="13"/>
      </w:r>
      <w:r w:rsidR="00815A02" w:rsidRPr="2E96ABE4">
        <w:rPr>
          <w:rFonts w:cs="Times New Roman"/>
        </w:rPr>
        <w:t xml:space="preserve"> </w:t>
      </w:r>
      <w:r w:rsidR="00224138" w:rsidRPr="2E96ABE4">
        <w:rPr>
          <w:rFonts w:cs="Times New Roman"/>
        </w:rPr>
        <w:t xml:space="preserve">and </w:t>
      </w:r>
      <w:r w:rsidR="00242C7B" w:rsidRPr="2E96ABE4">
        <w:rPr>
          <w:rFonts w:cs="Times New Roman"/>
        </w:rPr>
        <w:t>that th</w:t>
      </w:r>
      <w:r w:rsidR="0020177A" w:rsidRPr="2E96ABE4">
        <w:rPr>
          <w:rFonts w:cs="Times New Roman"/>
        </w:rPr>
        <w:t xml:space="preserve">eir research and analysis serve an important </w:t>
      </w:r>
      <w:r w:rsidR="00A767D9" w:rsidRPr="2E96ABE4">
        <w:rPr>
          <w:rFonts w:cs="Times New Roman"/>
        </w:rPr>
        <w:t>function in the price discovery process</w:t>
      </w:r>
      <w:r w:rsidR="000C20DD" w:rsidRPr="2E96ABE4">
        <w:rPr>
          <w:rFonts w:cs="Times New Roman"/>
        </w:rPr>
        <w:t xml:space="preserve"> by bringing to light new information</w:t>
      </w:r>
      <w:r w:rsidR="00A767D9" w:rsidRPr="2E96ABE4">
        <w:rPr>
          <w:rFonts w:cs="Times New Roman"/>
        </w:rPr>
        <w:t>.</w:t>
      </w:r>
      <w:r w:rsidR="00F12B92" w:rsidRPr="2E96ABE4">
        <w:rPr>
          <w:rStyle w:val="FootnoteReference"/>
          <w:rFonts w:cs="Times New Roman"/>
        </w:rPr>
        <w:footnoteReference w:id="14"/>
      </w:r>
      <w:r w:rsidR="002E15D5" w:rsidRPr="2E96ABE4">
        <w:rPr>
          <w:rFonts w:cs="Times New Roman"/>
        </w:rPr>
        <w:t xml:space="preserve"> </w:t>
      </w:r>
      <w:r w:rsidR="00E30416" w:rsidRPr="2E96ABE4">
        <w:rPr>
          <w:rFonts w:cs="Times New Roman"/>
        </w:rPr>
        <w:t xml:space="preserve"> </w:t>
      </w:r>
      <w:r w:rsidR="007D4D7C" w:rsidRPr="2E96ABE4">
        <w:rPr>
          <w:rFonts w:cs="Times New Roman"/>
        </w:rPr>
        <w:t>Shorts sellers and others have expressed</w:t>
      </w:r>
      <w:r w:rsidR="001C79AC" w:rsidRPr="2E96ABE4">
        <w:rPr>
          <w:rFonts w:cs="Times New Roman"/>
        </w:rPr>
        <w:t xml:space="preserve"> concerns </w:t>
      </w:r>
      <w:r w:rsidR="00A767D9" w:rsidRPr="2E96ABE4">
        <w:rPr>
          <w:rFonts w:cs="Times New Roman"/>
        </w:rPr>
        <w:t xml:space="preserve">that </w:t>
      </w:r>
      <w:r w:rsidR="001C79AC" w:rsidRPr="2E96ABE4">
        <w:rPr>
          <w:rFonts w:cs="Times New Roman"/>
        </w:rPr>
        <w:t>regulatory intervention</w:t>
      </w:r>
      <w:r w:rsidR="00A767D9" w:rsidRPr="2E96ABE4">
        <w:rPr>
          <w:rFonts w:cs="Times New Roman"/>
        </w:rPr>
        <w:t xml:space="preserve"> </w:t>
      </w:r>
      <w:r w:rsidR="006F0982" w:rsidRPr="2E96ABE4">
        <w:rPr>
          <w:rFonts w:cs="Times New Roman"/>
        </w:rPr>
        <w:t xml:space="preserve">that restrict activist short selling </w:t>
      </w:r>
      <w:r w:rsidR="00A767D9" w:rsidRPr="2E96ABE4">
        <w:rPr>
          <w:rFonts w:cs="Times New Roman"/>
        </w:rPr>
        <w:t>could</w:t>
      </w:r>
      <w:r w:rsidR="001C79AC" w:rsidRPr="2E96ABE4">
        <w:rPr>
          <w:rFonts w:cs="Times New Roman"/>
        </w:rPr>
        <w:t xml:space="preserve"> inhibit beneficial short selling activity.</w:t>
      </w:r>
      <w:r w:rsidR="001C79AC" w:rsidRPr="002C0F0A">
        <w:rPr>
          <w:rStyle w:val="FootnoteReference"/>
        </w:rPr>
        <w:footnoteReference w:id="15"/>
      </w:r>
      <w:r w:rsidR="001C79AC" w:rsidRPr="002C0F0A">
        <w:rPr>
          <w:rStyle w:val="FootnoteReference"/>
        </w:rPr>
        <w:t xml:space="preserve"> </w:t>
      </w:r>
      <w:r w:rsidR="001C79AC" w:rsidRPr="2E96ABE4">
        <w:rPr>
          <w:rFonts w:cs="Times New Roman"/>
        </w:rPr>
        <w:t xml:space="preserve"> </w:t>
      </w:r>
    </w:p>
    <w:p w14:paraId="1D507086" w14:textId="77777777" w:rsidR="00994510" w:rsidRDefault="00994510" w:rsidP="00994510">
      <w:pPr>
        <w:spacing w:before="0" w:after="0"/>
        <w:rPr>
          <w:rFonts w:cs="Times New Roman"/>
        </w:rPr>
      </w:pPr>
    </w:p>
    <w:p w14:paraId="4E45D312" w14:textId="77777777" w:rsidR="00994510" w:rsidRDefault="001C79AC" w:rsidP="00994510">
      <w:pPr>
        <w:spacing w:before="0" w:after="0"/>
        <w:rPr>
          <w:rFonts w:cs="Times New Roman"/>
        </w:rPr>
      </w:pPr>
      <w:r w:rsidRPr="2E96ABE4">
        <w:rPr>
          <w:rFonts w:cs="Times New Roman"/>
        </w:rPr>
        <w:t xml:space="preserve">As the CSA considered these issues, additional information was necessary to properly analyze the concerns raised. </w:t>
      </w:r>
      <w:r w:rsidR="00E30416" w:rsidRPr="2E96ABE4">
        <w:rPr>
          <w:rFonts w:cs="Times New Roman"/>
        </w:rPr>
        <w:t xml:space="preserve"> </w:t>
      </w:r>
      <w:r w:rsidRPr="2E96ABE4">
        <w:rPr>
          <w:rFonts w:cs="Times New Roman"/>
        </w:rPr>
        <w:t>For example, with the exception of activist short sellers that have become well-known in the media or have publicly issued full reports and analysis, there is very limited information and data about other less prominent activist short selling activity (e.g.</w:t>
      </w:r>
      <w:r w:rsidR="0072699F" w:rsidRPr="2E96ABE4">
        <w:rPr>
          <w:rFonts w:cs="Times New Roman"/>
        </w:rPr>
        <w:t>,</w:t>
      </w:r>
      <w:r w:rsidRPr="2E96ABE4">
        <w:rPr>
          <w:rFonts w:cs="Times New Roman"/>
        </w:rPr>
        <w:t xml:space="preserve"> an anonymous negative commentary or analysis about an issuer posted on social media platforms).  Even among more prominent activists, there is little information on the impact such campaigns have on affected issuers and on markets more generally.</w:t>
      </w:r>
    </w:p>
    <w:p w14:paraId="3C69224B" w14:textId="35851A11" w:rsidR="001C79AC" w:rsidRDefault="001C79AC" w:rsidP="00994510">
      <w:pPr>
        <w:spacing w:before="0" w:after="0"/>
        <w:rPr>
          <w:rFonts w:cs="Times New Roman"/>
        </w:rPr>
      </w:pPr>
      <w:r w:rsidRPr="2E96ABE4">
        <w:rPr>
          <w:rFonts w:cs="Times New Roman"/>
        </w:rPr>
        <w:t xml:space="preserve"> </w:t>
      </w:r>
    </w:p>
    <w:p w14:paraId="11893B6B" w14:textId="77777777" w:rsidR="00994510" w:rsidRDefault="0007572F" w:rsidP="00994510">
      <w:pPr>
        <w:spacing w:before="0" w:after="0"/>
        <w:rPr>
          <w:rFonts w:cs="Times New Roman"/>
          <w:szCs w:val="24"/>
        </w:rPr>
      </w:pPr>
      <w:r>
        <w:rPr>
          <w:rFonts w:cs="Times New Roman"/>
          <w:szCs w:val="24"/>
        </w:rPr>
        <w:t>As regulators considering the overall impact of activist short selling on our markets, it is important to consult and understand the concerns that have been raised from all stakeholders</w:t>
      </w:r>
      <w:r w:rsidR="00584D66">
        <w:rPr>
          <w:rFonts w:cs="Times New Roman"/>
          <w:szCs w:val="24"/>
        </w:rPr>
        <w:t xml:space="preserve"> and understand</w:t>
      </w:r>
      <w:r w:rsidR="007906B4">
        <w:rPr>
          <w:rFonts w:cs="Times New Roman"/>
          <w:szCs w:val="24"/>
        </w:rPr>
        <w:t xml:space="preserve"> the</w:t>
      </w:r>
      <w:r w:rsidR="00584D66">
        <w:rPr>
          <w:rFonts w:cs="Times New Roman"/>
          <w:szCs w:val="24"/>
        </w:rPr>
        <w:t xml:space="preserve"> evide</w:t>
      </w:r>
      <w:r w:rsidR="007906B4">
        <w:rPr>
          <w:rFonts w:cs="Times New Roman"/>
          <w:szCs w:val="24"/>
        </w:rPr>
        <w:t>ntiary basis for these</w:t>
      </w:r>
      <w:r w:rsidR="00584D66">
        <w:rPr>
          <w:rFonts w:cs="Times New Roman"/>
          <w:szCs w:val="24"/>
        </w:rPr>
        <w:t xml:space="preserve"> concerns</w:t>
      </w:r>
      <w:r w:rsidRPr="005E1E99">
        <w:rPr>
          <w:rFonts w:cs="Times New Roman"/>
          <w:szCs w:val="24"/>
        </w:rPr>
        <w:t xml:space="preserve">. </w:t>
      </w:r>
    </w:p>
    <w:p w14:paraId="285578CE" w14:textId="40EAFA18" w:rsidR="002349C0" w:rsidRPr="005E1E99" w:rsidRDefault="0007572F" w:rsidP="00994510">
      <w:pPr>
        <w:spacing w:before="0" w:after="0"/>
        <w:rPr>
          <w:rFonts w:cs="Times New Roman"/>
          <w:szCs w:val="24"/>
        </w:rPr>
      </w:pPr>
      <w:r w:rsidRPr="005E1E99">
        <w:rPr>
          <w:rFonts w:cs="Times New Roman"/>
          <w:szCs w:val="24"/>
        </w:rPr>
        <w:t xml:space="preserve"> </w:t>
      </w:r>
    </w:p>
    <w:p w14:paraId="720848CE" w14:textId="3297FD6A" w:rsidR="00AB3231" w:rsidRDefault="00855BF7" w:rsidP="00994510">
      <w:pPr>
        <w:pStyle w:val="SUB-SECTION"/>
        <w:spacing w:before="0" w:after="0"/>
        <w:jc w:val="left"/>
      </w:pPr>
      <w:r w:rsidRPr="00AC023F">
        <w:t>S</w:t>
      </w:r>
      <w:r w:rsidR="00A45535" w:rsidRPr="00AC023F">
        <w:t xml:space="preserve">hort </w:t>
      </w:r>
      <w:r w:rsidRPr="00AC023F">
        <w:t>S</w:t>
      </w:r>
      <w:r w:rsidR="00A45535" w:rsidRPr="00AC023F">
        <w:t>elling</w:t>
      </w:r>
    </w:p>
    <w:p w14:paraId="0BE1A247" w14:textId="77777777" w:rsidR="00994510" w:rsidRPr="00AC023F" w:rsidRDefault="00994510" w:rsidP="00994510">
      <w:pPr>
        <w:pStyle w:val="SUB-SECTION"/>
        <w:numPr>
          <w:ilvl w:val="0"/>
          <w:numId w:val="0"/>
        </w:numPr>
        <w:spacing w:before="0" w:after="0"/>
        <w:ind w:left="1440"/>
        <w:jc w:val="left"/>
      </w:pPr>
    </w:p>
    <w:p w14:paraId="42DDFC19" w14:textId="6796F476" w:rsidR="00CB5C45" w:rsidRDefault="00CB5C45" w:rsidP="00994510">
      <w:pPr>
        <w:spacing w:before="0" w:after="0"/>
        <w:rPr>
          <w:rFonts w:cs="Times New Roman"/>
          <w:szCs w:val="24"/>
          <w:lang w:val="en-US"/>
        </w:rPr>
      </w:pPr>
      <w:r w:rsidRPr="00CB5C45">
        <w:rPr>
          <w:rFonts w:cs="Times New Roman"/>
          <w:szCs w:val="24"/>
        </w:rPr>
        <w:t xml:space="preserve">Short selling, as a trading activity, is subject to a well-developed risk based regulatory regime </w:t>
      </w:r>
      <w:r w:rsidR="006410DC">
        <w:rPr>
          <w:rFonts w:cs="Times New Roman"/>
          <w:szCs w:val="24"/>
        </w:rPr>
        <w:t xml:space="preserve">and </w:t>
      </w:r>
      <w:r w:rsidRPr="00CB5C45">
        <w:rPr>
          <w:rFonts w:cs="Times New Roman"/>
          <w:szCs w:val="24"/>
        </w:rPr>
        <w:t>is overseen mainly by the Investment Industry Regulatory Organization of Canada (</w:t>
      </w:r>
      <w:r w:rsidRPr="00CB5C45">
        <w:rPr>
          <w:rFonts w:cs="Times New Roman"/>
          <w:b/>
          <w:szCs w:val="24"/>
        </w:rPr>
        <w:t>IIROC</w:t>
      </w:r>
      <w:r w:rsidRPr="00CB5C45">
        <w:rPr>
          <w:rFonts w:cs="Times New Roman"/>
          <w:szCs w:val="24"/>
        </w:rPr>
        <w:t>)</w:t>
      </w:r>
      <w:r w:rsidR="009E1E00">
        <w:rPr>
          <w:rFonts w:cs="Times New Roman"/>
          <w:szCs w:val="24"/>
        </w:rPr>
        <w:t xml:space="preserve">, </w:t>
      </w:r>
      <w:r w:rsidR="009E1E00">
        <w:rPr>
          <w:rFonts w:cs="Times New Roman"/>
          <w:szCs w:val="24"/>
        </w:rPr>
        <w:lastRenderedPageBreak/>
        <w:t xml:space="preserve">as will be further discussed below in </w:t>
      </w:r>
      <w:r w:rsidR="00573DB1" w:rsidRPr="00624C0A">
        <w:rPr>
          <w:rFonts w:cs="Times New Roman"/>
          <w:szCs w:val="24"/>
        </w:rPr>
        <w:t xml:space="preserve">Part </w:t>
      </w:r>
      <w:r w:rsidR="002C06C7">
        <w:rPr>
          <w:rFonts w:cs="Times New Roman"/>
          <w:szCs w:val="24"/>
        </w:rPr>
        <w:t>III</w:t>
      </w:r>
      <w:r w:rsidR="009E1E00">
        <w:rPr>
          <w:rFonts w:cs="Times New Roman"/>
          <w:szCs w:val="24"/>
        </w:rPr>
        <w:t>.</w:t>
      </w:r>
      <w:r w:rsidRPr="00CB5C45">
        <w:rPr>
          <w:rFonts w:cs="Times New Roman"/>
          <w:szCs w:val="24"/>
        </w:rPr>
        <w:t xml:space="preserve">  </w:t>
      </w:r>
      <w:r w:rsidR="00B456CC">
        <w:rPr>
          <w:rFonts w:cs="Times New Roman"/>
          <w:szCs w:val="24"/>
          <w:lang w:val="en-US"/>
        </w:rPr>
        <w:t xml:space="preserve">IIROC’s </w:t>
      </w:r>
      <w:r w:rsidR="00B456CC" w:rsidRPr="004F77D0">
        <w:rPr>
          <w:rFonts w:cs="Times New Roman"/>
          <w:szCs w:val="24"/>
          <w:lang w:val="en-US"/>
        </w:rPr>
        <w:t>U</w:t>
      </w:r>
      <w:r w:rsidR="00B456CC">
        <w:rPr>
          <w:rFonts w:cs="Times New Roman"/>
          <w:szCs w:val="24"/>
          <w:lang w:val="en-US"/>
        </w:rPr>
        <w:t xml:space="preserve">niversal </w:t>
      </w:r>
      <w:r w:rsidR="00B456CC" w:rsidRPr="004F77D0">
        <w:rPr>
          <w:rFonts w:cs="Times New Roman"/>
          <w:szCs w:val="24"/>
          <w:lang w:val="en-US"/>
        </w:rPr>
        <w:t>M</w:t>
      </w:r>
      <w:r w:rsidR="00B456CC">
        <w:rPr>
          <w:rFonts w:cs="Times New Roman"/>
          <w:szCs w:val="24"/>
          <w:lang w:val="en-US"/>
        </w:rPr>
        <w:t xml:space="preserve">arket </w:t>
      </w:r>
      <w:r w:rsidR="00B456CC" w:rsidRPr="004F77D0">
        <w:rPr>
          <w:rFonts w:cs="Times New Roman"/>
          <w:szCs w:val="24"/>
          <w:lang w:val="en-US"/>
        </w:rPr>
        <w:t>I</w:t>
      </w:r>
      <w:r w:rsidR="00B456CC">
        <w:rPr>
          <w:rFonts w:cs="Times New Roman"/>
          <w:szCs w:val="24"/>
          <w:lang w:val="en-US"/>
        </w:rPr>
        <w:t>ntegrity Rules (</w:t>
      </w:r>
      <w:r w:rsidR="00B456CC" w:rsidRPr="00812357">
        <w:rPr>
          <w:rFonts w:cs="Times New Roman"/>
          <w:b/>
          <w:szCs w:val="24"/>
          <w:lang w:val="en-US"/>
        </w:rPr>
        <w:t>UMIR</w:t>
      </w:r>
      <w:r w:rsidR="00B456CC">
        <w:rPr>
          <w:rFonts w:cs="Times New Roman"/>
          <w:szCs w:val="24"/>
          <w:lang w:val="en-US"/>
        </w:rPr>
        <w:t xml:space="preserve">) </w:t>
      </w:r>
      <w:r w:rsidR="00B456CC" w:rsidRPr="004F77D0">
        <w:rPr>
          <w:rFonts w:cs="Times New Roman"/>
          <w:szCs w:val="24"/>
          <w:lang w:val="en-US"/>
        </w:rPr>
        <w:t>define a short sale as a sale of a security, other than a derivative instrument, which the seller does not own either directly or through an agent or trustee.</w:t>
      </w:r>
      <w:r w:rsidR="008A2B7F">
        <w:rPr>
          <w:rStyle w:val="FootnoteReference"/>
          <w:rFonts w:cs="Times New Roman"/>
          <w:szCs w:val="24"/>
          <w:lang w:val="en-US"/>
        </w:rPr>
        <w:footnoteReference w:id="16"/>
      </w:r>
      <w:r w:rsidR="00B456CC" w:rsidRPr="004F77D0">
        <w:rPr>
          <w:rFonts w:cs="Times New Roman"/>
          <w:szCs w:val="24"/>
          <w:lang w:val="en-US"/>
        </w:rPr>
        <w:t xml:space="preserve"> </w:t>
      </w:r>
      <w:r w:rsidR="00B456CC">
        <w:rPr>
          <w:rFonts w:cs="Times New Roman"/>
          <w:szCs w:val="24"/>
          <w:lang w:val="en-US"/>
        </w:rPr>
        <w:t xml:space="preserve"> </w:t>
      </w:r>
      <w:r w:rsidR="00B456CC" w:rsidRPr="00BA28CE">
        <w:rPr>
          <w:rFonts w:cs="Times New Roman"/>
          <w:szCs w:val="24"/>
          <w:lang w:val="en-US"/>
        </w:rPr>
        <w:t xml:space="preserve">It involves selling </w:t>
      </w:r>
      <w:r w:rsidR="00B456CC">
        <w:rPr>
          <w:rFonts w:cs="Times New Roman"/>
          <w:szCs w:val="24"/>
          <w:lang w:val="en-US"/>
        </w:rPr>
        <w:t xml:space="preserve">the borrowed </w:t>
      </w:r>
      <w:r w:rsidR="00B456CC" w:rsidRPr="00BA28CE">
        <w:rPr>
          <w:rFonts w:cs="Times New Roman"/>
          <w:szCs w:val="24"/>
          <w:lang w:val="en-US"/>
        </w:rPr>
        <w:t xml:space="preserve">securities at the current market price </w:t>
      </w:r>
      <w:r w:rsidR="00B456CC">
        <w:rPr>
          <w:rFonts w:cs="Times New Roman"/>
          <w:szCs w:val="24"/>
          <w:lang w:val="en-US"/>
        </w:rPr>
        <w:t>with</w:t>
      </w:r>
      <w:r w:rsidR="00B456CC" w:rsidRPr="00BA28CE">
        <w:rPr>
          <w:rFonts w:cs="Times New Roman"/>
          <w:szCs w:val="24"/>
          <w:lang w:val="en-US"/>
        </w:rPr>
        <w:t xml:space="preserve"> the expectation of being able to </w:t>
      </w:r>
      <w:r w:rsidR="00B456CC">
        <w:rPr>
          <w:rFonts w:cs="Times New Roman"/>
          <w:szCs w:val="24"/>
          <w:lang w:val="en-US"/>
        </w:rPr>
        <w:t xml:space="preserve">cover the short position by </w:t>
      </w:r>
      <w:r w:rsidR="00B456CC" w:rsidRPr="00BA28CE">
        <w:rPr>
          <w:rFonts w:cs="Times New Roman"/>
          <w:szCs w:val="24"/>
          <w:lang w:val="en-US"/>
        </w:rPr>
        <w:t>purchas</w:t>
      </w:r>
      <w:r w:rsidR="00B456CC">
        <w:rPr>
          <w:rFonts w:cs="Times New Roman"/>
          <w:szCs w:val="24"/>
          <w:lang w:val="en-US"/>
        </w:rPr>
        <w:t>ing</w:t>
      </w:r>
      <w:r w:rsidR="00B456CC" w:rsidRPr="00BA28CE">
        <w:rPr>
          <w:rFonts w:cs="Times New Roman"/>
          <w:szCs w:val="24"/>
          <w:lang w:val="en-US"/>
        </w:rPr>
        <w:t xml:space="preserve"> later at a lower price</w:t>
      </w:r>
      <w:r w:rsidR="001F7D9D">
        <w:rPr>
          <w:rFonts w:cs="Times New Roman"/>
          <w:szCs w:val="24"/>
          <w:lang w:val="en-US"/>
        </w:rPr>
        <w:t xml:space="preserve"> to replace the borrowed securities</w:t>
      </w:r>
      <w:r w:rsidR="00B456CC" w:rsidRPr="00BA28CE">
        <w:rPr>
          <w:rFonts w:cs="Times New Roman"/>
          <w:szCs w:val="24"/>
          <w:lang w:val="en-US"/>
        </w:rPr>
        <w:t>.</w:t>
      </w:r>
    </w:p>
    <w:p w14:paraId="252D3074" w14:textId="77777777" w:rsidR="00994510" w:rsidRPr="00CB5C45" w:rsidRDefault="00994510" w:rsidP="00994510">
      <w:pPr>
        <w:spacing w:before="0" w:after="0"/>
        <w:rPr>
          <w:rFonts w:cs="Times New Roman"/>
          <w:szCs w:val="24"/>
        </w:rPr>
      </w:pPr>
    </w:p>
    <w:p w14:paraId="591D2F43" w14:textId="09A7C352" w:rsidR="004F77D0" w:rsidRDefault="00F658CB" w:rsidP="00994510">
      <w:pPr>
        <w:spacing w:before="0" w:after="0"/>
        <w:rPr>
          <w:rFonts w:cs="Times New Roman"/>
          <w:lang w:val="en-US"/>
        </w:rPr>
      </w:pPr>
      <w:r w:rsidRPr="2E96ABE4">
        <w:rPr>
          <w:rFonts w:cs="Times New Roman"/>
        </w:rPr>
        <w:t>Short selling is a legitimate trading practice which contributes to market liquidity and price efficiency.</w:t>
      </w:r>
      <w:r w:rsidRPr="2E96ABE4">
        <w:rPr>
          <w:rStyle w:val="FootnoteReference"/>
          <w:rFonts w:cs="Times New Roman"/>
        </w:rPr>
        <w:footnoteReference w:id="17"/>
      </w:r>
      <w:r w:rsidR="00E30416" w:rsidRPr="2E96ABE4">
        <w:rPr>
          <w:rFonts w:cs="Times New Roman"/>
        </w:rPr>
        <w:t xml:space="preserve"> </w:t>
      </w:r>
      <w:r w:rsidRPr="2E96ABE4">
        <w:rPr>
          <w:rFonts w:cs="Times New Roman"/>
        </w:rPr>
        <w:t xml:space="preserve"> It also contributes to the price discovery process by providing an opportunity for negative views about the issuer to be reflected in the price of a security thereby limiting overvaluation and biased price increases.</w:t>
      </w:r>
      <w:r w:rsidRPr="2E96ABE4">
        <w:rPr>
          <w:rStyle w:val="FootnoteReference"/>
          <w:rFonts w:cs="Times New Roman"/>
        </w:rPr>
        <w:footnoteReference w:id="18"/>
      </w:r>
      <w:r w:rsidRPr="2E96ABE4">
        <w:rPr>
          <w:rFonts w:cs="Times New Roman"/>
        </w:rPr>
        <w:t xml:space="preserve"> Short selling can also be an important part of an investor’s hedging and </w:t>
      </w:r>
      <w:r w:rsidR="000862C5" w:rsidRPr="2E96ABE4">
        <w:rPr>
          <w:rFonts w:cs="Times New Roman"/>
        </w:rPr>
        <w:t xml:space="preserve">investment </w:t>
      </w:r>
      <w:r w:rsidRPr="2E96ABE4">
        <w:rPr>
          <w:rFonts w:cs="Times New Roman"/>
        </w:rPr>
        <w:t>risk management strategy.</w:t>
      </w:r>
      <w:r w:rsidRPr="2E96ABE4">
        <w:rPr>
          <w:rStyle w:val="FootnoteReference"/>
          <w:rFonts w:cs="Times New Roman"/>
        </w:rPr>
        <w:footnoteReference w:id="19"/>
      </w:r>
      <w:r w:rsidRPr="2E96ABE4">
        <w:rPr>
          <w:rFonts w:cs="Times New Roman"/>
        </w:rPr>
        <w:t xml:space="preserve"> </w:t>
      </w:r>
      <w:r w:rsidR="00A236AA" w:rsidRPr="2E96ABE4">
        <w:rPr>
          <w:rFonts w:cs="Times New Roman"/>
        </w:rPr>
        <w:t xml:space="preserve"> </w:t>
      </w:r>
      <w:r w:rsidRPr="2E96ABE4">
        <w:rPr>
          <w:rFonts w:cs="Times New Roman"/>
        </w:rPr>
        <w:t>For example, the proceeds from a short sale may be applied to a long position in a different security.</w:t>
      </w:r>
      <w:r w:rsidR="001774A5" w:rsidRPr="2E96ABE4">
        <w:rPr>
          <w:rFonts w:cs="Times New Roman"/>
        </w:rPr>
        <w:t xml:space="preserve">  </w:t>
      </w:r>
      <w:r w:rsidR="000862C5" w:rsidRPr="2E96ABE4">
        <w:rPr>
          <w:rFonts w:cs="Times New Roman"/>
          <w:lang w:val="en-US"/>
        </w:rPr>
        <w:t xml:space="preserve">Even so, there is also risk inherent in short sales because </w:t>
      </w:r>
      <w:r w:rsidR="00217825" w:rsidRPr="2E96ABE4">
        <w:rPr>
          <w:rFonts w:cs="Times New Roman"/>
          <w:lang w:val="en-US"/>
        </w:rPr>
        <w:t>unless the sale</w:t>
      </w:r>
      <w:r w:rsidR="00BA28CE" w:rsidRPr="2E96ABE4">
        <w:rPr>
          <w:rFonts w:cs="Times New Roman"/>
          <w:lang w:val="en-US"/>
        </w:rPr>
        <w:t xml:space="preserve"> is otherwise</w:t>
      </w:r>
      <w:r w:rsidR="00FE70FB" w:rsidRPr="2E96ABE4">
        <w:rPr>
          <w:rFonts w:cs="Times New Roman"/>
          <w:lang w:val="en-US"/>
        </w:rPr>
        <w:t xml:space="preserve"> </w:t>
      </w:r>
      <w:r w:rsidR="00BA28CE" w:rsidRPr="2E96ABE4">
        <w:rPr>
          <w:rFonts w:cs="Times New Roman"/>
          <w:lang w:val="en-US"/>
        </w:rPr>
        <w:t>“hedged”, a short seller can lose a potentially unlimited amount if the price</w:t>
      </w:r>
      <w:r w:rsidR="00391105" w:rsidRPr="2E96ABE4">
        <w:rPr>
          <w:rFonts w:cs="Times New Roman"/>
          <w:lang w:val="en-US"/>
        </w:rPr>
        <w:t xml:space="preserve"> of the security</w:t>
      </w:r>
      <w:r w:rsidR="00BA28CE" w:rsidRPr="2E96ABE4">
        <w:rPr>
          <w:rFonts w:cs="Times New Roman"/>
          <w:lang w:val="en-US"/>
        </w:rPr>
        <w:t xml:space="preserve"> rises unexpectedly. </w:t>
      </w:r>
    </w:p>
    <w:p w14:paraId="03FCD312" w14:textId="77777777" w:rsidR="00994510" w:rsidRDefault="00994510" w:rsidP="00994510">
      <w:pPr>
        <w:spacing w:before="0" w:after="0"/>
        <w:rPr>
          <w:rFonts w:cs="Times New Roman"/>
          <w:lang w:val="en-US"/>
        </w:rPr>
      </w:pPr>
    </w:p>
    <w:p w14:paraId="4FAAF18F" w14:textId="77777777" w:rsidR="00FE70FB" w:rsidRDefault="00FE70FB" w:rsidP="00994510">
      <w:pPr>
        <w:spacing w:before="0" w:after="0"/>
        <w:rPr>
          <w:rFonts w:cs="Times New Roman"/>
        </w:rPr>
      </w:pPr>
      <w:r w:rsidRPr="007C471F">
        <w:t>A short seller can take a short position in a stock either directly (by borrowing shares to sell short)</w:t>
      </w:r>
      <w:r w:rsidRPr="007C471F">
        <w:rPr>
          <w:rStyle w:val="FootnoteReference"/>
        </w:rPr>
        <w:footnoteReference w:id="20"/>
      </w:r>
      <w:r w:rsidRPr="007C471F">
        <w:t xml:space="preserve">  or synthetically (via options or stock futures).  There are</w:t>
      </w:r>
      <w:r>
        <w:t>,</w:t>
      </w:r>
      <w:r w:rsidRPr="007C471F">
        <w:t xml:space="preserve"> however</w:t>
      </w:r>
      <w:r>
        <w:t>,</w:t>
      </w:r>
      <w:r w:rsidRPr="007C471F">
        <w:t xml:space="preserve"> obstacles to short selling.  For example, it can be difficult or expensive to borrow shares to sell short if the securities are thinly traded, in large demand by other short sellers, or not readily made available for loan.</w:t>
      </w:r>
      <w:r w:rsidRPr="007C471F">
        <w:rPr>
          <w:rStyle w:val="FootnoteReference"/>
        </w:rPr>
        <w:footnoteReference w:id="21"/>
      </w:r>
      <w:r w:rsidRPr="007C471F">
        <w:t xml:space="preserve"> </w:t>
      </w:r>
      <w:r w:rsidR="00E30416">
        <w:t xml:space="preserve"> </w:t>
      </w:r>
      <w:r w:rsidRPr="007C471F">
        <w:t>Further, many Canadian listed issuers trade infrequently</w:t>
      </w:r>
      <w:r w:rsidRPr="007C471F">
        <w:rPr>
          <w:rStyle w:val="FootnoteReference"/>
        </w:rPr>
        <w:footnoteReference w:id="22"/>
      </w:r>
      <w:r w:rsidRPr="007C471F">
        <w:t xml:space="preserve"> and the available inventory of equities in the Canadian securities lending market, where short sale shares are typically borrowed, tends to be more heavily concentrated in securities of larger, widely held, heavily traded issuers.</w:t>
      </w:r>
      <w:r w:rsidRPr="007C471F">
        <w:rPr>
          <w:vertAlign w:val="superscript"/>
        </w:rPr>
        <w:footnoteReference w:id="23"/>
      </w:r>
      <w:r w:rsidRPr="007C471F">
        <w:t xml:space="preserve"> </w:t>
      </w:r>
      <w:r w:rsidR="00E30416">
        <w:t xml:space="preserve"> </w:t>
      </w:r>
      <w:r w:rsidRPr="007C471F">
        <w:t>Similarly, it can also be difficult to take a</w:t>
      </w:r>
      <w:r>
        <w:t xml:space="preserve"> </w:t>
      </w:r>
      <w:r w:rsidRPr="007C471F">
        <w:t xml:space="preserve">synthetic short position as the listed </w:t>
      </w:r>
      <w:r w:rsidRPr="007C471F">
        <w:lastRenderedPageBreak/>
        <w:t>derivatives market for</w:t>
      </w:r>
      <w:r>
        <w:t xml:space="preserve"> </w:t>
      </w:r>
      <w:r w:rsidRPr="007C471F">
        <w:t>derivatives with an underlying equity is relatively small in Canada, representing only a small proportion of listed equity securities.</w:t>
      </w:r>
      <w:r w:rsidRPr="007C471F">
        <w:rPr>
          <w:rStyle w:val="FootnoteReference"/>
        </w:rPr>
        <w:footnoteReference w:id="24"/>
      </w:r>
    </w:p>
    <w:p w14:paraId="60D3C3D3" w14:textId="5595EBB9" w:rsidR="00940878" w:rsidRDefault="00940878" w:rsidP="00994510">
      <w:pPr>
        <w:spacing w:before="0" w:after="0"/>
        <w:rPr>
          <w:rFonts w:cs="Times New Roman"/>
          <w:b/>
          <w:szCs w:val="24"/>
          <w:lang w:val="en-US"/>
        </w:rPr>
      </w:pPr>
    </w:p>
    <w:p w14:paraId="6C01DB14" w14:textId="63B60E53" w:rsidR="0084231A" w:rsidRDefault="0084231A" w:rsidP="00994510">
      <w:pPr>
        <w:pStyle w:val="SUB-SECTION"/>
        <w:spacing w:before="0" w:after="0"/>
        <w:jc w:val="left"/>
      </w:pPr>
      <w:r w:rsidRPr="0084231A">
        <w:t>Activist Short Selling</w:t>
      </w:r>
    </w:p>
    <w:p w14:paraId="5A506755" w14:textId="77777777" w:rsidR="00BC37D8" w:rsidRPr="0084231A" w:rsidRDefault="00BC37D8" w:rsidP="00BC37D8">
      <w:pPr>
        <w:pStyle w:val="SUB-SECTION"/>
        <w:numPr>
          <w:ilvl w:val="0"/>
          <w:numId w:val="0"/>
        </w:numPr>
        <w:spacing w:before="0" w:after="0"/>
        <w:ind w:left="1440"/>
        <w:jc w:val="left"/>
      </w:pPr>
    </w:p>
    <w:p w14:paraId="1E3E9032" w14:textId="2B5B670A" w:rsidR="009E1E00" w:rsidRDefault="009E1E00" w:rsidP="00994510">
      <w:pPr>
        <w:spacing w:before="0" w:after="0"/>
        <w:rPr>
          <w:rFonts w:cs="Times New Roman"/>
          <w:szCs w:val="24"/>
        </w:rPr>
      </w:pPr>
      <w:r w:rsidRPr="009E1E00">
        <w:rPr>
          <w:rFonts w:cs="Times New Roman"/>
          <w:szCs w:val="24"/>
        </w:rPr>
        <w:t xml:space="preserve">In most CSA jurisdictions, </w:t>
      </w:r>
      <w:r w:rsidRPr="00616161">
        <w:rPr>
          <w:rFonts w:cs="Times New Roman"/>
          <w:iCs/>
          <w:szCs w:val="24"/>
        </w:rPr>
        <w:t>activist short sellers</w:t>
      </w:r>
      <w:r w:rsidRPr="009E1E00">
        <w:rPr>
          <w:rFonts w:cs="Times New Roman"/>
          <w:i/>
          <w:szCs w:val="24"/>
        </w:rPr>
        <w:t xml:space="preserve"> </w:t>
      </w:r>
      <w:r w:rsidRPr="009E1E00">
        <w:rPr>
          <w:rFonts w:cs="Times New Roman"/>
          <w:szCs w:val="24"/>
        </w:rPr>
        <w:t>are not currently subject to specific regulatory requirements,</w:t>
      </w:r>
      <w:r>
        <w:rPr>
          <w:rStyle w:val="FootnoteReference"/>
          <w:rFonts w:cs="Times New Roman"/>
          <w:szCs w:val="24"/>
        </w:rPr>
        <w:footnoteReference w:id="25"/>
      </w:r>
      <w:r w:rsidRPr="009E1E00">
        <w:rPr>
          <w:rFonts w:cs="Times New Roman"/>
          <w:szCs w:val="24"/>
        </w:rPr>
        <w:t xml:space="preserve"> nor are they defined or easily identifiable.  However, as with other market activity conducted by non-regulated </w:t>
      </w:r>
      <w:r w:rsidR="00A95C04">
        <w:rPr>
          <w:rFonts w:cs="Times New Roman"/>
          <w:szCs w:val="24"/>
        </w:rPr>
        <w:t xml:space="preserve">or unregistered </w:t>
      </w:r>
      <w:r w:rsidRPr="009E1E00">
        <w:rPr>
          <w:rFonts w:cs="Times New Roman"/>
          <w:szCs w:val="24"/>
        </w:rPr>
        <w:t xml:space="preserve">entities or individuals, short selling activism </w:t>
      </w:r>
      <w:r w:rsidR="00FE70FB">
        <w:rPr>
          <w:rFonts w:cs="Times New Roman"/>
          <w:szCs w:val="24"/>
        </w:rPr>
        <w:t>is subject to</w:t>
      </w:r>
      <w:r w:rsidRPr="009E1E00">
        <w:rPr>
          <w:rFonts w:cs="Times New Roman"/>
          <w:szCs w:val="24"/>
        </w:rPr>
        <w:t xml:space="preserve"> </w:t>
      </w:r>
      <w:r w:rsidR="00B647FB">
        <w:rPr>
          <w:rFonts w:cs="Times New Roman"/>
          <w:szCs w:val="24"/>
        </w:rPr>
        <w:t xml:space="preserve">the existing prohibitions under </w:t>
      </w:r>
      <w:r w:rsidRPr="009E1E00">
        <w:rPr>
          <w:rFonts w:cs="Times New Roman"/>
          <w:szCs w:val="24"/>
        </w:rPr>
        <w:t xml:space="preserve">securities law, </w:t>
      </w:r>
      <w:r w:rsidR="00B647FB">
        <w:rPr>
          <w:rFonts w:cs="Times New Roman"/>
          <w:szCs w:val="24"/>
        </w:rPr>
        <w:t xml:space="preserve">for instance </w:t>
      </w:r>
      <w:r w:rsidRPr="009E1E00">
        <w:rPr>
          <w:rFonts w:cs="Times New Roman"/>
          <w:szCs w:val="24"/>
        </w:rPr>
        <w:t>prohibitions against market manipulation</w:t>
      </w:r>
      <w:r w:rsidR="00B647FB">
        <w:rPr>
          <w:rFonts w:cs="Times New Roman"/>
          <w:szCs w:val="24"/>
        </w:rPr>
        <w:t xml:space="preserve">, </w:t>
      </w:r>
      <w:r w:rsidR="004124EC">
        <w:rPr>
          <w:rFonts w:cs="Times New Roman"/>
          <w:szCs w:val="24"/>
        </w:rPr>
        <w:t xml:space="preserve">making </w:t>
      </w:r>
      <w:r w:rsidRPr="009E1E00">
        <w:rPr>
          <w:rFonts w:cs="Times New Roman"/>
          <w:szCs w:val="24"/>
        </w:rPr>
        <w:t>misleading statement</w:t>
      </w:r>
      <w:r w:rsidR="004124EC">
        <w:rPr>
          <w:rFonts w:cs="Times New Roman"/>
          <w:szCs w:val="24"/>
        </w:rPr>
        <w:t>s</w:t>
      </w:r>
      <w:r w:rsidR="00B647FB">
        <w:rPr>
          <w:rFonts w:cs="Times New Roman"/>
          <w:szCs w:val="24"/>
        </w:rPr>
        <w:t xml:space="preserve"> or fraud</w:t>
      </w:r>
      <w:r w:rsidRPr="009E1E00">
        <w:rPr>
          <w:rFonts w:cs="Times New Roman"/>
          <w:szCs w:val="24"/>
        </w:rPr>
        <w:t>.</w:t>
      </w:r>
      <w:r>
        <w:rPr>
          <w:rStyle w:val="FootnoteReference"/>
          <w:rFonts w:cs="Times New Roman"/>
          <w:szCs w:val="24"/>
        </w:rPr>
        <w:footnoteReference w:id="26"/>
      </w:r>
      <w:r w:rsidRPr="009E1E00">
        <w:rPr>
          <w:rFonts w:cs="Times New Roman"/>
          <w:szCs w:val="24"/>
        </w:rPr>
        <w:t xml:space="preserve"> </w:t>
      </w:r>
    </w:p>
    <w:p w14:paraId="6C8CC67E" w14:textId="77777777" w:rsidR="00994510" w:rsidRPr="00CA271A" w:rsidRDefault="00994510" w:rsidP="00994510">
      <w:pPr>
        <w:spacing w:before="0" w:after="0"/>
        <w:rPr>
          <w:rFonts w:cs="Times New Roman"/>
          <w:szCs w:val="24"/>
        </w:rPr>
      </w:pPr>
    </w:p>
    <w:p w14:paraId="612E8070" w14:textId="5D01297A" w:rsidR="00F37EE3" w:rsidRDefault="00471DBD" w:rsidP="00994510">
      <w:pPr>
        <w:spacing w:before="0" w:after="0"/>
        <w:rPr>
          <w:rFonts w:cs="Times New Roman"/>
          <w:szCs w:val="24"/>
        </w:rPr>
      </w:pPr>
      <w:r w:rsidRPr="00AD73F4">
        <w:rPr>
          <w:rFonts w:cs="Times New Roman"/>
          <w:szCs w:val="24"/>
        </w:rPr>
        <w:t>A</w:t>
      </w:r>
      <w:r w:rsidR="00B75057" w:rsidRPr="00AD73F4">
        <w:rPr>
          <w:rFonts w:cs="Times New Roman"/>
          <w:szCs w:val="24"/>
        </w:rPr>
        <w:t>ctivist short selling c</w:t>
      </w:r>
      <w:r w:rsidR="000A6C2B" w:rsidRPr="00AD73F4">
        <w:rPr>
          <w:rFonts w:cs="Times New Roman"/>
          <w:szCs w:val="24"/>
        </w:rPr>
        <w:t>ampaigns</w:t>
      </w:r>
      <w:r w:rsidR="002E4867" w:rsidRPr="00AD73F4">
        <w:rPr>
          <w:rFonts w:cs="Times New Roman"/>
          <w:szCs w:val="24"/>
        </w:rPr>
        <w:t xml:space="preserve"> can be understood</w:t>
      </w:r>
      <w:r w:rsidR="000A6C2B" w:rsidRPr="00AD73F4">
        <w:rPr>
          <w:rFonts w:cs="Times New Roman"/>
          <w:szCs w:val="24"/>
        </w:rPr>
        <w:t xml:space="preserve"> as occurring on a spectrum</w:t>
      </w:r>
      <w:r w:rsidR="00DB01EE" w:rsidRPr="00AD73F4">
        <w:rPr>
          <w:rFonts w:cs="Times New Roman"/>
          <w:szCs w:val="24"/>
        </w:rPr>
        <w:t xml:space="preserve"> and their utility to the market ultimately depends on whether the information being disseminated is </w:t>
      </w:r>
      <w:r w:rsidR="00130393">
        <w:rPr>
          <w:rFonts w:cs="Times New Roman"/>
          <w:szCs w:val="24"/>
        </w:rPr>
        <w:t>material</w:t>
      </w:r>
      <w:r w:rsidR="003B6CC0" w:rsidRPr="00AD73F4">
        <w:rPr>
          <w:rFonts w:cs="Times New Roman"/>
          <w:szCs w:val="24"/>
        </w:rPr>
        <w:t xml:space="preserve"> and </w:t>
      </w:r>
      <w:r w:rsidR="0084015B" w:rsidRPr="00AD73F4">
        <w:rPr>
          <w:rFonts w:cs="Times New Roman"/>
          <w:szCs w:val="24"/>
        </w:rPr>
        <w:t>neither false nor misleading</w:t>
      </w:r>
      <w:r w:rsidR="00DB01EE" w:rsidRPr="00AD73F4">
        <w:rPr>
          <w:rFonts w:cs="Times New Roman"/>
          <w:szCs w:val="24"/>
        </w:rPr>
        <w:t>.</w:t>
      </w:r>
      <w:r w:rsidR="005029F0" w:rsidRPr="00AD73F4">
        <w:rPr>
          <w:rStyle w:val="FootnoteReference"/>
          <w:rFonts w:cs="Times New Roman"/>
          <w:szCs w:val="24"/>
        </w:rPr>
        <w:footnoteReference w:id="27"/>
      </w:r>
      <w:r w:rsidR="000A6C2B" w:rsidRPr="002C7102">
        <w:rPr>
          <w:rFonts w:cs="Times New Roman"/>
          <w:szCs w:val="24"/>
        </w:rPr>
        <w:t xml:space="preserve">  At one end</w:t>
      </w:r>
      <w:r w:rsidR="00DB01EE">
        <w:rPr>
          <w:rFonts w:cs="Times New Roman"/>
          <w:szCs w:val="24"/>
        </w:rPr>
        <w:t xml:space="preserve"> of the spectrum,</w:t>
      </w:r>
      <w:r w:rsidR="000A6C2B" w:rsidRPr="002C7102">
        <w:rPr>
          <w:rFonts w:cs="Times New Roman"/>
          <w:szCs w:val="24"/>
        </w:rPr>
        <w:t xml:space="preserve"> there are beneficial </w:t>
      </w:r>
      <w:r w:rsidR="00B75057">
        <w:rPr>
          <w:rFonts w:cs="Times New Roman"/>
          <w:szCs w:val="24"/>
        </w:rPr>
        <w:t>c</w:t>
      </w:r>
      <w:r w:rsidR="000A6C2B" w:rsidRPr="002C7102">
        <w:rPr>
          <w:rFonts w:cs="Times New Roman"/>
          <w:szCs w:val="24"/>
        </w:rPr>
        <w:t xml:space="preserve">ampaigns that </w:t>
      </w:r>
      <w:r w:rsidR="001E3BE0">
        <w:rPr>
          <w:rFonts w:cs="Times New Roman"/>
          <w:szCs w:val="24"/>
        </w:rPr>
        <w:t xml:space="preserve">can </w:t>
      </w:r>
      <w:r w:rsidR="000A6C2B" w:rsidRPr="002C7102">
        <w:rPr>
          <w:rFonts w:cs="Times New Roman"/>
          <w:szCs w:val="24"/>
        </w:rPr>
        <w:t xml:space="preserve">contribute </w:t>
      </w:r>
      <w:r w:rsidR="001E3BE0">
        <w:rPr>
          <w:rFonts w:cs="Times New Roman"/>
          <w:szCs w:val="24"/>
        </w:rPr>
        <w:t xml:space="preserve">to </w:t>
      </w:r>
      <w:r w:rsidR="000A6C2B" w:rsidRPr="002C7102">
        <w:rPr>
          <w:rFonts w:cs="Times New Roman"/>
          <w:szCs w:val="24"/>
        </w:rPr>
        <w:t xml:space="preserve">price discovery by </w:t>
      </w:r>
      <w:r w:rsidR="00051F80">
        <w:rPr>
          <w:rFonts w:cs="Times New Roman"/>
          <w:szCs w:val="24"/>
        </w:rPr>
        <w:t>producing</w:t>
      </w:r>
      <w:r w:rsidR="001D4253">
        <w:rPr>
          <w:rFonts w:cs="Times New Roman"/>
          <w:szCs w:val="24"/>
        </w:rPr>
        <w:t xml:space="preserve"> </w:t>
      </w:r>
      <w:r w:rsidR="00051F80">
        <w:rPr>
          <w:rFonts w:cs="Times New Roman"/>
          <w:szCs w:val="24"/>
        </w:rPr>
        <w:t xml:space="preserve">research and analysis </w:t>
      </w:r>
      <w:r w:rsidR="000A6C2B" w:rsidRPr="002C7102">
        <w:rPr>
          <w:rFonts w:cs="Times New Roman"/>
          <w:szCs w:val="24"/>
        </w:rPr>
        <w:t>about issuers</w:t>
      </w:r>
      <w:r w:rsidR="00847D39">
        <w:rPr>
          <w:rFonts w:cs="Times New Roman"/>
          <w:szCs w:val="24"/>
        </w:rPr>
        <w:t xml:space="preserve"> based on facts</w:t>
      </w:r>
      <w:r w:rsidR="00F07795">
        <w:rPr>
          <w:rStyle w:val="CommentReference"/>
        </w:rPr>
        <w:t xml:space="preserve">.  </w:t>
      </w:r>
      <w:r w:rsidR="000A6C2B" w:rsidRPr="002C7102">
        <w:rPr>
          <w:rFonts w:cs="Times New Roman"/>
          <w:szCs w:val="24"/>
        </w:rPr>
        <w:t xml:space="preserve">  </w:t>
      </w:r>
      <w:r w:rsidR="00D26358">
        <w:rPr>
          <w:rFonts w:cs="Times New Roman"/>
          <w:szCs w:val="24"/>
        </w:rPr>
        <w:t>At</w:t>
      </w:r>
      <w:r w:rsidR="000A6C2B" w:rsidRPr="002C7102">
        <w:rPr>
          <w:rFonts w:cs="Times New Roman"/>
          <w:szCs w:val="24"/>
        </w:rPr>
        <w:t xml:space="preserve"> the other end</w:t>
      </w:r>
      <w:r w:rsidR="000E4E6D">
        <w:rPr>
          <w:rFonts w:cs="Times New Roman"/>
          <w:szCs w:val="24"/>
        </w:rPr>
        <w:t xml:space="preserve"> of the spectrum</w:t>
      </w:r>
      <w:r w:rsidR="001E3BE0">
        <w:rPr>
          <w:rFonts w:cs="Times New Roman"/>
          <w:szCs w:val="24"/>
        </w:rPr>
        <w:t>,</w:t>
      </w:r>
      <w:r w:rsidR="000A6C2B" w:rsidRPr="002C7102">
        <w:rPr>
          <w:rFonts w:cs="Times New Roman"/>
          <w:szCs w:val="24"/>
        </w:rPr>
        <w:t xml:space="preserve"> </w:t>
      </w:r>
      <w:r w:rsidR="00F37EE3">
        <w:rPr>
          <w:rFonts w:cs="Times New Roman"/>
          <w:szCs w:val="24"/>
        </w:rPr>
        <w:t xml:space="preserve">there </w:t>
      </w:r>
      <w:r w:rsidR="000A6C2B" w:rsidRPr="002C7102">
        <w:rPr>
          <w:rFonts w:cs="Times New Roman"/>
          <w:szCs w:val="24"/>
        </w:rPr>
        <w:t xml:space="preserve">are </w:t>
      </w:r>
      <w:r w:rsidR="00B75057">
        <w:rPr>
          <w:rFonts w:cs="Times New Roman"/>
          <w:szCs w:val="24"/>
        </w:rPr>
        <w:t>c</w:t>
      </w:r>
      <w:r w:rsidR="000A6C2B" w:rsidRPr="002C7102">
        <w:rPr>
          <w:rFonts w:cs="Times New Roman"/>
          <w:szCs w:val="24"/>
        </w:rPr>
        <w:t xml:space="preserve">ampaigns that </w:t>
      </w:r>
      <w:r w:rsidR="00B92573">
        <w:rPr>
          <w:rFonts w:cs="Times New Roman"/>
          <w:szCs w:val="24"/>
        </w:rPr>
        <w:t xml:space="preserve">may </w:t>
      </w:r>
      <w:r w:rsidR="000A6C2B" w:rsidRPr="002C7102">
        <w:rPr>
          <w:rFonts w:cs="Times New Roman"/>
          <w:szCs w:val="24"/>
        </w:rPr>
        <w:t>involve either intentionally</w:t>
      </w:r>
      <w:r w:rsidR="005029F0">
        <w:rPr>
          <w:rFonts w:cs="Times New Roman"/>
          <w:szCs w:val="24"/>
        </w:rPr>
        <w:t xml:space="preserve"> producing false information about the issuer or making</w:t>
      </w:r>
      <w:r w:rsidR="000A6C2B" w:rsidRPr="002C7102">
        <w:rPr>
          <w:rFonts w:cs="Times New Roman"/>
          <w:szCs w:val="24"/>
        </w:rPr>
        <w:t xml:space="preserve"> misleading or untrue statements</w:t>
      </w:r>
      <w:r w:rsidR="002E4867">
        <w:rPr>
          <w:rFonts w:cs="Times New Roman"/>
          <w:szCs w:val="24"/>
        </w:rPr>
        <w:t xml:space="preserve"> for which there is no factual foundation.</w:t>
      </w:r>
      <w:r w:rsidR="000A6C2B" w:rsidRPr="002C7102">
        <w:rPr>
          <w:rFonts w:cs="Times New Roman"/>
          <w:szCs w:val="24"/>
        </w:rPr>
        <w:t xml:space="preserve">  These are</w:t>
      </w:r>
      <w:r w:rsidR="002E4867">
        <w:rPr>
          <w:rFonts w:cs="Times New Roman"/>
          <w:szCs w:val="24"/>
        </w:rPr>
        <w:t xml:space="preserve"> </w:t>
      </w:r>
      <w:r w:rsidR="00B75057">
        <w:rPr>
          <w:rFonts w:cs="Times New Roman"/>
          <w:szCs w:val="24"/>
        </w:rPr>
        <w:t>often referred to as</w:t>
      </w:r>
      <w:r w:rsidR="000A6C2B" w:rsidRPr="002C7102">
        <w:rPr>
          <w:rFonts w:cs="Times New Roman"/>
          <w:szCs w:val="24"/>
        </w:rPr>
        <w:t xml:space="preserve"> “short and distort” </w:t>
      </w:r>
      <w:r w:rsidR="00B75057">
        <w:rPr>
          <w:rFonts w:cs="Times New Roman"/>
          <w:szCs w:val="24"/>
        </w:rPr>
        <w:t>c</w:t>
      </w:r>
      <w:r w:rsidR="000A6C2B" w:rsidRPr="002C7102">
        <w:rPr>
          <w:rFonts w:cs="Times New Roman"/>
          <w:szCs w:val="24"/>
        </w:rPr>
        <w:t>ampaigns.</w:t>
      </w:r>
      <w:r w:rsidR="000A6C2B" w:rsidRPr="002C7102">
        <w:rPr>
          <w:rStyle w:val="FootnoteReference"/>
          <w:rFonts w:cs="Times New Roman"/>
          <w:szCs w:val="24"/>
        </w:rPr>
        <w:footnoteReference w:id="28"/>
      </w:r>
      <w:r w:rsidR="000A6C2B" w:rsidRPr="002C7102">
        <w:rPr>
          <w:rFonts w:cs="Times New Roman"/>
          <w:szCs w:val="24"/>
        </w:rPr>
        <w:t xml:space="preserve">  </w:t>
      </w:r>
    </w:p>
    <w:p w14:paraId="10A1273B" w14:textId="77777777" w:rsidR="00994510" w:rsidRDefault="00994510" w:rsidP="00994510">
      <w:pPr>
        <w:spacing w:before="0" w:after="0"/>
        <w:rPr>
          <w:rFonts w:cs="Times New Roman"/>
          <w:szCs w:val="24"/>
        </w:rPr>
      </w:pPr>
    </w:p>
    <w:p w14:paraId="50024452" w14:textId="19C3C919" w:rsidR="00B75057" w:rsidRDefault="00B75057" w:rsidP="00994510">
      <w:pPr>
        <w:spacing w:before="0" w:after="0"/>
        <w:rPr>
          <w:rFonts w:cs="Times New Roman"/>
          <w:szCs w:val="24"/>
        </w:rPr>
      </w:pPr>
      <w:r w:rsidRPr="00AD73F4">
        <w:rPr>
          <w:rFonts w:cs="Times New Roman"/>
          <w:szCs w:val="24"/>
        </w:rPr>
        <w:t xml:space="preserve">The </w:t>
      </w:r>
      <w:r w:rsidR="00F37EE3" w:rsidRPr="00AD73F4">
        <w:rPr>
          <w:rFonts w:cs="Times New Roman"/>
          <w:szCs w:val="24"/>
        </w:rPr>
        <w:t>type</w:t>
      </w:r>
      <w:r w:rsidR="004124EC">
        <w:rPr>
          <w:rFonts w:cs="Times New Roman"/>
          <w:szCs w:val="24"/>
        </w:rPr>
        <w:t>s</w:t>
      </w:r>
      <w:r w:rsidR="00F37EE3" w:rsidRPr="00AD73F4">
        <w:rPr>
          <w:rFonts w:cs="Times New Roman"/>
          <w:szCs w:val="24"/>
        </w:rPr>
        <w:t xml:space="preserve"> of </w:t>
      </w:r>
      <w:r w:rsidRPr="00AD73F4">
        <w:rPr>
          <w:rFonts w:cs="Times New Roman"/>
          <w:szCs w:val="24"/>
        </w:rPr>
        <w:t xml:space="preserve">conduct </w:t>
      </w:r>
      <w:r w:rsidR="00F37EE3" w:rsidRPr="00AD73F4">
        <w:rPr>
          <w:rFonts w:cs="Times New Roman"/>
          <w:szCs w:val="24"/>
        </w:rPr>
        <w:t>tha</w:t>
      </w:r>
      <w:r w:rsidR="009B6345" w:rsidRPr="00AD73F4">
        <w:rPr>
          <w:rFonts w:cs="Times New Roman"/>
          <w:szCs w:val="24"/>
        </w:rPr>
        <w:t>t</w:t>
      </w:r>
      <w:r w:rsidR="00F37EE3" w:rsidRPr="00AD73F4">
        <w:rPr>
          <w:rFonts w:cs="Times New Roman"/>
          <w:szCs w:val="24"/>
        </w:rPr>
        <w:t xml:space="preserve"> </w:t>
      </w:r>
      <w:r w:rsidR="009B6345" w:rsidRPr="00AD73F4">
        <w:rPr>
          <w:rFonts w:cs="Times New Roman"/>
          <w:szCs w:val="24"/>
        </w:rPr>
        <w:t xml:space="preserve">give rise to </w:t>
      </w:r>
      <w:r w:rsidR="00F37EE3" w:rsidRPr="00AD73F4">
        <w:rPr>
          <w:rFonts w:cs="Times New Roman"/>
          <w:szCs w:val="24"/>
        </w:rPr>
        <w:t>concerns in the context of activist short selling campaigns</w:t>
      </w:r>
      <w:r w:rsidR="009B6345" w:rsidRPr="00AD73F4">
        <w:rPr>
          <w:rFonts w:cs="Times New Roman"/>
          <w:szCs w:val="24"/>
        </w:rPr>
        <w:t xml:space="preserve"> </w:t>
      </w:r>
      <w:r w:rsidRPr="00AD73F4">
        <w:rPr>
          <w:rFonts w:cs="Times New Roman"/>
          <w:szCs w:val="24"/>
        </w:rPr>
        <w:t xml:space="preserve">include:  </w:t>
      </w:r>
    </w:p>
    <w:p w14:paraId="07069529" w14:textId="77777777" w:rsidR="00994510" w:rsidRPr="00AD73F4" w:rsidRDefault="00994510" w:rsidP="00994510">
      <w:pPr>
        <w:spacing w:before="0" w:after="0"/>
        <w:rPr>
          <w:rFonts w:cs="Times New Roman"/>
          <w:szCs w:val="24"/>
        </w:rPr>
      </w:pPr>
    </w:p>
    <w:p w14:paraId="0203CC65" w14:textId="77777777" w:rsidR="00B75057" w:rsidRPr="00AD73F4" w:rsidRDefault="00B75057" w:rsidP="00994510">
      <w:pPr>
        <w:pStyle w:val="ListParagraph"/>
        <w:numPr>
          <w:ilvl w:val="0"/>
          <w:numId w:val="9"/>
        </w:numPr>
        <w:spacing w:before="0" w:after="0"/>
        <w:rPr>
          <w:rFonts w:cs="Times New Roman"/>
          <w:szCs w:val="24"/>
        </w:rPr>
      </w:pPr>
      <w:r w:rsidRPr="00AD73F4">
        <w:rPr>
          <w:rFonts w:cs="Times New Roman"/>
          <w:szCs w:val="24"/>
        </w:rPr>
        <w:t>disseminating unbalanced information that does not provide a complete picture, does not include other material contrary information or is inconsistent with information disclosed in a broader report;</w:t>
      </w:r>
    </w:p>
    <w:p w14:paraId="66C4E08F" w14:textId="77777777" w:rsidR="0086375E" w:rsidRPr="00AD73F4" w:rsidRDefault="00B75057" w:rsidP="000902F5">
      <w:pPr>
        <w:pStyle w:val="ListParagraph"/>
        <w:numPr>
          <w:ilvl w:val="0"/>
          <w:numId w:val="9"/>
        </w:numPr>
        <w:rPr>
          <w:rFonts w:cs="Times New Roman"/>
          <w:szCs w:val="24"/>
        </w:rPr>
      </w:pPr>
      <w:r w:rsidRPr="00AD73F4">
        <w:rPr>
          <w:rFonts w:cs="Times New Roman"/>
          <w:szCs w:val="24"/>
        </w:rPr>
        <w:t xml:space="preserve">disseminating exaggerated reports or commentary; </w:t>
      </w:r>
    </w:p>
    <w:p w14:paraId="29E7ABB0" w14:textId="77777777" w:rsidR="00B75057" w:rsidRPr="00AD73F4" w:rsidRDefault="0086375E" w:rsidP="000902F5">
      <w:pPr>
        <w:pStyle w:val="ListParagraph"/>
        <w:numPr>
          <w:ilvl w:val="0"/>
          <w:numId w:val="9"/>
        </w:numPr>
        <w:rPr>
          <w:rFonts w:cs="Times New Roman"/>
          <w:szCs w:val="24"/>
        </w:rPr>
      </w:pPr>
      <w:r w:rsidRPr="00AD73F4">
        <w:rPr>
          <w:rFonts w:cs="Times New Roman"/>
          <w:szCs w:val="24"/>
        </w:rPr>
        <w:t>mak</w:t>
      </w:r>
      <w:r w:rsidR="001370A2" w:rsidRPr="00AD73F4">
        <w:rPr>
          <w:rFonts w:cs="Times New Roman"/>
          <w:szCs w:val="24"/>
        </w:rPr>
        <w:t>ing</w:t>
      </w:r>
      <w:r w:rsidRPr="00AD73F4">
        <w:rPr>
          <w:rFonts w:cs="Times New Roman"/>
          <w:szCs w:val="24"/>
        </w:rPr>
        <w:t xml:space="preserve"> conclusions </w:t>
      </w:r>
      <w:r w:rsidR="004124EC">
        <w:rPr>
          <w:rFonts w:cs="Times New Roman"/>
          <w:szCs w:val="24"/>
        </w:rPr>
        <w:t>without an evidentiary basis</w:t>
      </w:r>
      <w:r w:rsidRPr="00AD73F4">
        <w:rPr>
          <w:rFonts w:cs="Times New Roman"/>
          <w:szCs w:val="24"/>
        </w:rPr>
        <w:t xml:space="preserve">; </w:t>
      </w:r>
      <w:r w:rsidR="00B75057" w:rsidRPr="00AD73F4">
        <w:rPr>
          <w:rFonts w:cs="Times New Roman"/>
          <w:szCs w:val="24"/>
        </w:rPr>
        <w:t>or</w:t>
      </w:r>
    </w:p>
    <w:p w14:paraId="37B25255" w14:textId="77777777" w:rsidR="00B75057" w:rsidRPr="00AD73F4" w:rsidRDefault="00B75057" w:rsidP="000902F5">
      <w:pPr>
        <w:pStyle w:val="ListParagraph"/>
        <w:numPr>
          <w:ilvl w:val="0"/>
          <w:numId w:val="9"/>
        </w:numPr>
        <w:rPr>
          <w:rFonts w:cs="Times New Roman"/>
          <w:b/>
          <w:szCs w:val="24"/>
        </w:rPr>
      </w:pPr>
      <w:r w:rsidRPr="00AD73F4">
        <w:rPr>
          <w:rFonts w:cs="Times New Roman"/>
          <w:szCs w:val="24"/>
        </w:rPr>
        <w:t xml:space="preserve">making potentially misleading statements through links to other documents.  </w:t>
      </w:r>
    </w:p>
    <w:p w14:paraId="08451449" w14:textId="77777777" w:rsidR="00994510" w:rsidRDefault="009B6345" w:rsidP="00994510">
      <w:pPr>
        <w:spacing w:before="0" w:after="0"/>
        <w:rPr>
          <w:rFonts w:cs="Times New Roman"/>
        </w:rPr>
      </w:pPr>
      <w:r w:rsidRPr="2E96ABE4">
        <w:rPr>
          <w:rFonts w:cs="Times New Roman"/>
        </w:rPr>
        <w:lastRenderedPageBreak/>
        <w:t xml:space="preserve">Exacerbating these concerns </w:t>
      </w:r>
      <w:r w:rsidR="003154ED" w:rsidRPr="2E96ABE4">
        <w:rPr>
          <w:rFonts w:cs="Times New Roman"/>
        </w:rPr>
        <w:t>is</w:t>
      </w:r>
      <w:r w:rsidRPr="2E96ABE4">
        <w:rPr>
          <w:rFonts w:cs="Times New Roman"/>
        </w:rPr>
        <w:t xml:space="preserve"> the speed at which information</w:t>
      </w:r>
      <w:r w:rsidR="00E86A9F" w:rsidRPr="2E96ABE4">
        <w:rPr>
          <w:rFonts w:cs="Times New Roman"/>
        </w:rPr>
        <w:t xml:space="preserve"> </w:t>
      </w:r>
      <w:r w:rsidRPr="2E96ABE4">
        <w:rPr>
          <w:rFonts w:cs="Times New Roman"/>
        </w:rPr>
        <w:t xml:space="preserve">spreads through social media and the constraints on </w:t>
      </w:r>
      <w:r w:rsidR="0048707F" w:rsidRPr="2E96ABE4">
        <w:rPr>
          <w:rFonts w:cs="Times New Roman"/>
        </w:rPr>
        <w:t>the</w:t>
      </w:r>
      <w:r w:rsidRPr="2E96ABE4">
        <w:rPr>
          <w:rFonts w:cs="Times New Roman"/>
        </w:rPr>
        <w:t xml:space="preserve"> target of a campaign to respond </w:t>
      </w:r>
      <w:r w:rsidR="00EA6796" w:rsidRPr="2E96ABE4">
        <w:rPr>
          <w:rFonts w:cs="Times New Roman"/>
        </w:rPr>
        <w:t xml:space="preserve">or disprove </w:t>
      </w:r>
      <w:r w:rsidRPr="2E96ABE4">
        <w:rPr>
          <w:rFonts w:cs="Times New Roman"/>
        </w:rPr>
        <w:t>allegations</w:t>
      </w:r>
      <w:r w:rsidR="005029F0" w:rsidRPr="2E96ABE4">
        <w:rPr>
          <w:rFonts w:cs="Times New Roman"/>
        </w:rPr>
        <w:t xml:space="preserve"> </w:t>
      </w:r>
      <w:r w:rsidRPr="2E96ABE4">
        <w:rPr>
          <w:rFonts w:cs="Times New Roman"/>
        </w:rPr>
        <w:t xml:space="preserve">before the price of their stock is impacted.  </w:t>
      </w:r>
      <w:r w:rsidR="005B0C45" w:rsidRPr="2E96ABE4">
        <w:rPr>
          <w:rFonts w:cs="Times New Roman"/>
        </w:rPr>
        <w:t xml:space="preserve">However, </w:t>
      </w:r>
      <w:r w:rsidR="009F301A" w:rsidRPr="2E96ABE4">
        <w:rPr>
          <w:rFonts w:cs="Times New Roman"/>
        </w:rPr>
        <w:t xml:space="preserve">issues arising from </w:t>
      </w:r>
      <w:r w:rsidR="005B0C45" w:rsidRPr="2E96ABE4">
        <w:rPr>
          <w:rFonts w:cs="Times New Roman"/>
        </w:rPr>
        <w:t xml:space="preserve">the use of social media or similar online platforms to spread information </w:t>
      </w:r>
      <w:r w:rsidR="002848EC" w:rsidRPr="2E96ABE4">
        <w:rPr>
          <w:rFonts w:cs="Times New Roman"/>
        </w:rPr>
        <w:t>to the market</w:t>
      </w:r>
      <w:r w:rsidR="005B0C45" w:rsidRPr="2E96ABE4">
        <w:rPr>
          <w:rFonts w:cs="Times New Roman"/>
        </w:rPr>
        <w:t xml:space="preserve"> is not limited to activist short selling.  </w:t>
      </w:r>
      <w:r w:rsidR="003154ED" w:rsidRPr="2E96ABE4">
        <w:rPr>
          <w:rFonts w:cs="Times New Roman"/>
        </w:rPr>
        <w:t xml:space="preserve">The CSA has </w:t>
      </w:r>
      <w:r w:rsidR="008F45AA" w:rsidRPr="2E96ABE4">
        <w:rPr>
          <w:rFonts w:cs="Times New Roman"/>
        </w:rPr>
        <w:t>acknowledged</w:t>
      </w:r>
      <w:r w:rsidR="003154ED" w:rsidRPr="2E96ABE4">
        <w:rPr>
          <w:rFonts w:cs="Times New Roman"/>
        </w:rPr>
        <w:t xml:space="preserve"> that social media can present challenges when used for sharing information with the market.</w:t>
      </w:r>
      <w:r w:rsidR="003154ED" w:rsidRPr="2E96ABE4">
        <w:rPr>
          <w:rStyle w:val="FootnoteReference"/>
          <w:rFonts w:cs="Times New Roman"/>
        </w:rPr>
        <w:footnoteReference w:id="29"/>
      </w:r>
      <w:r w:rsidR="00E30416" w:rsidRPr="2E96ABE4">
        <w:rPr>
          <w:rFonts w:cs="Times New Roman"/>
        </w:rPr>
        <w:t xml:space="preserve"> </w:t>
      </w:r>
      <w:r w:rsidR="003154ED" w:rsidRPr="2E96ABE4">
        <w:rPr>
          <w:rFonts w:cs="Times New Roman"/>
        </w:rPr>
        <w:t xml:space="preserve"> While we acknowledge that </w:t>
      </w:r>
      <w:r w:rsidR="00C663AD" w:rsidRPr="2E96ABE4">
        <w:rPr>
          <w:rFonts w:cs="Times New Roman"/>
        </w:rPr>
        <w:t>t</w:t>
      </w:r>
      <w:r w:rsidR="00ED5606" w:rsidRPr="2E96ABE4">
        <w:rPr>
          <w:rFonts w:cs="Times New Roman"/>
        </w:rPr>
        <w:t>he new market reality is that any individual (e.g.</w:t>
      </w:r>
      <w:r w:rsidR="0072699F" w:rsidRPr="2E96ABE4">
        <w:rPr>
          <w:rFonts w:cs="Times New Roman"/>
        </w:rPr>
        <w:t>,</w:t>
      </w:r>
      <w:r w:rsidR="00ED5606" w:rsidRPr="2E96ABE4">
        <w:rPr>
          <w:rFonts w:cs="Times New Roman"/>
        </w:rPr>
        <w:t xml:space="preserve"> influencers, customers, clients, vendors) can easily share unverified information on social media about </w:t>
      </w:r>
      <w:r w:rsidR="00EB32D8" w:rsidRPr="2E96ABE4">
        <w:rPr>
          <w:rFonts w:cs="Times New Roman"/>
        </w:rPr>
        <w:t xml:space="preserve">an </w:t>
      </w:r>
      <w:r w:rsidR="00ED5606" w:rsidRPr="2E96ABE4">
        <w:rPr>
          <w:rFonts w:cs="Times New Roman"/>
        </w:rPr>
        <w:t>issuer that could potentially impact its stock</w:t>
      </w:r>
      <w:r w:rsidR="00EB32D8" w:rsidRPr="2E96ABE4">
        <w:rPr>
          <w:rFonts w:cs="Times New Roman"/>
        </w:rPr>
        <w:t xml:space="preserve"> price</w:t>
      </w:r>
      <w:r w:rsidR="00C663AD" w:rsidRPr="2E96ABE4">
        <w:rPr>
          <w:rFonts w:cs="Times New Roman"/>
        </w:rPr>
        <w:t>,</w:t>
      </w:r>
      <w:r w:rsidR="00ED5606" w:rsidRPr="2E96ABE4">
        <w:rPr>
          <w:rStyle w:val="FootnoteReference"/>
          <w:rFonts w:cs="Times New Roman"/>
        </w:rPr>
        <w:footnoteReference w:id="30"/>
      </w:r>
      <w:r w:rsidR="00C663AD" w:rsidRPr="2E96ABE4">
        <w:rPr>
          <w:rFonts w:cs="Times New Roman"/>
        </w:rPr>
        <w:t xml:space="preserve">  the </w:t>
      </w:r>
      <w:r w:rsidR="00B95A99" w:rsidRPr="2E96ABE4">
        <w:rPr>
          <w:rFonts w:cs="Times New Roman"/>
        </w:rPr>
        <w:t xml:space="preserve">integrity of the capital markets is undermined if </w:t>
      </w:r>
      <w:r w:rsidR="001C3F76" w:rsidRPr="2E96ABE4">
        <w:rPr>
          <w:rFonts w:cs="Times New Roman"/>
        </w:rPr>
        <w:t>those participating in our markets engage in activity that may</w:t>
      </w:r>
      <w:r w:rsidR="00C061F0" w:rsidRPr="2E96ABE4">
        <w:rPr>
          <w:rFonts w:cs="Times New Roman"/>
        </w:rPr>
        <w:t xml:space="preserve"> mislead investors or otherwise</w:t>
      </w:r>
      <w:r w:rsidR="001C3F76" w:rsidRPr="2E96ABE4">
        <w:rPr>
          <w:rFonts w:cs="Times New Roman"/>
        </w:rPr>
        <w:t xml:space="preserve"> artificially</w:t>
      </w:r>
      <w:r w:rsidR="00AD7436" w:rsidRPr="2E96ABE4">
        <w:rPr>
          <w:rFonts w:cs="Times New Roman"/>
        </w:rPr>
        <w:t xml:space="preserve"> distort</w:t>
      </w:r>
      <w:r w:rsidR="0072699F" w:rsidRPr="2E96ABE4">
        <w:rPr>
          <w:rFonts w:cs="Times New Roman"/>
        </w:rPr>
        <w:t>s</w:t>
      </w:r>
      <w:r w:rsidR="00AD7436" w:rsidRPr="2E96ABE4">
        <w:rPr>
          <w:rFonts w:cs="Times New Roman"/>
        </w:rPr>
        <w:t xml:space="preserve"> an </w:t>
      </w:r>
      <w:r w:rsidR="001C3F76" w:rsidRPr="2E96ABE4">
        <w:rPr>
          <w:rFonts w:cs="Times New Roman"/>
        </w:rPr>
        <w:t>issuer’s share price</w:t>
      </w:r>
      <w:r w:rsidR="00B95A99" w:rsidRPr="2E96ABE4">
        <w:rPr>
          <w:rFonts w:cs="Times New Roman"/>
        </w:rPr>
        <w:t>.</w:t>
      </w:r>
    </w:p>
    <w:p w14:paraId="4F0D6716" w14:textId="7DDFA836" w:rsidR="009B6345" w:rsidRDefault="00B95A99" w:rsidP="00994510">
      <w:pPr>
        <w:spacing w:before="0" w:after="0"/>
        <w:rPr>
          <w:rFonts w:cs="Times New Roman"/>
        </w:rPr>
      </w:pPr>
      <w:r w:rsidRPr="2E96ABE4">
        <w:rPr>
          <w:rFonts w:cs="Times New Roman"/>
        </w:rPr>
        <w:t xml:space="preserve">  </w:t>
      </w:r>
    </w:p>
    <w:p w14:paraId="50389986" w14:textId="45F377B7" w:rsidR="004618FC" w:rsidRDefault="00E86A9F" w:rsidP="00994510">
      <w:pPr>
        <w:spacing w:before="0" w:after="0"/>
        <w:rPr>
          <w:rFonts w:cs="Times New Roman"/>
          <w:szCs w:val="24"/>
        </w:rPr>
      </w:pPr>
      <w:r>
        <w:rPr>
          <w:rFonts w:cs="Times New Roman"/>
          <w:szCs w:val="24"/>
        </w:rPr>
        <w:t>I</w:t>
      </w:r>
      <w:r w:rsidR="009B6345">
        <w:rPr>
          <w:rFonts w:cs="Times New Roman"/>
          <w:szCs w:val="24"/>
        </w:rPr>
        <w:t>n order to be</w:t>
      </w:r>
      <w:r w:rsidR="004618FC">
        <w:rPr>
          <w:rFonts w:cs="Times New Roman"/>
          <w:szCs w:val="24"/>
        </w:rPr>
        <w:t xml:space="preserve"> successful</w:t>
      </w:r>
      <w:r w:rsidR="009B6345">
        <w:rPr>
          <w:rFonts w:cs="Times New Roman"/>
          <w:szCs w:val="24"/>
        </w:rPr>
        <w:t>, an</w:t>
      </w:r>
      <w:r w:rsidR="004618FC" w:rsidRPr="002C7102">
        <w:rPr>
          <w:rFonts w:cs="Times New Roman"/>
          <w:szCs w:val="24"/>
        </w:rPr>
        <w:t xml:space="preserve"> activist short seller must</w:t>
      </w:r>
      <w:r w:rsidR="007F14FC">
        <w:rPr>
          <w:rFonts w:cs="Times New Roman"/>
          <w:szCs w:val="24"/>
        </w:rPr>
        <w:t>, a</w:t>
      </w:r>
      <w:r w:rsidR="007F14FC" w:rsidRPr="00B647FB">
        <w:rPr>
          <w:rFonts w:cs="Times New Roman"/>
          <w:szCs w:val="24"/>
        </w:rPr>
        <w:t>t the very least</w:t>
      </w:r>
      <w:r w:rsidR="00EB32D8">
        <w:rPr>
          <w:rFonts w:cs="Times New Roman"/>
          <w:szCs w:val="24"/>
        </w:rPr>
        <w:t>,</w:t>
      </w:r>
      <w:r w:rsidR="003A23E2">
        <w:rPr>
          <w:rFonts w:cs="Times New Roman"/>
          <w:szCs w:val="24"/>
        </w:rPr>
        <w:t xml:space="preserve"> have</w:t>
      </w:r>
      <w:r w:rsidR="003A23E2" w:rsidRPr="003A23E2">
        <w:rPr>
          <w:rFonts w:cs="Times New Roman"/>
          <w:szCs w:val="24"/>
        </w:rPr>
        <w:t xml:space="preserve"> </w:t>
      </w:r>
      <w:r w:rsidR="0041052D">
        <w:rPr>
          <w:rFonts w:cs="Times New Roman"/>
          <w:szCs w:val="24"/>
        </w:rPr>
        <w:t>some credibility</w:t>
      </w:r>
      <w:r w:rsidR="00E85466">
        <w:rPr>
          <w:rFonts w:cs="Times New Roman"/>
          <w:szCs w:val="24"/>
        </w:rPr>
        <w:t xml:space="preserve"> and their thesis should raise </w:t>
      </w:r>
      <w:r w:rsidR="000567FF" w:rsidRPr="003A23E2">
        <w:rPr>
          <w:rFonts w:cs="Times New Roman"/>
          <w:szCs w:val="24"/>
        </w:rPr>
        <w:t>sufficient doubt</w:t>
      </w:r>
      <w:r w:rsidR="003A23E2">
        <w:rPr>
          <w:rFonts w:cs="Times New Roman"/>
          <w:szCs w:val="24"/>
        </w:rPr>
        <w:t xml:space="preserve"> about an issuer that</w:t>
      </w:r>
      <w:r w:rsidR="000567FF" w:rsidRPr="003A23E2">
        <w:rPr>
          <w:rFonts w:cs="Times New Roman"/>
          <w:szCs w:val="24"/>
        </w:rPr>
        <w:t xml:space="preserve"> it </w:t>
      </w:r>
      <w:r w:rsidR="004618FC" w:rsidRPr="003A23E2">
        <w:rPr>
          <w:rFonts w:cs="Times New Roman"/>
          <w:szCs w:val="24"/>
        </w:rPr>
        <w:t>convince</w:t>
      </w:r>
      <w:r w:rsidR="005931A1" w:rsidRPr="003A23E2">
        <w:rPr>
          <w:rFonts w:cs="Times New Roman"/>
          <w:szCs w:val="24"/>
        </w:rPr>
        <w:t>s</w:t>
      </w:r>
      <w:r w:rsidR="003A23E2">
        <w:rPr>
          <w:rFonts w:cs="Times New Roman"/>
          <w:szCs w:val="24"/>
        </w:rPr>
        <w:t xml:space="preserve"> </w:t>
      </w:r>
      <w:r w:rsidR="00D876E0" w:rsidRPr="00E34FEA">
        <w:rPr>
          <w:rFonts w:cs="Times New Roman"/>
          <w:szCs w:val="24"/>
        </w:rPr>
        <w:t>existing shareholders to sell their shares</w:t>
      </w:r>
      <w:r w:rsidR="00E34FEA">
        <w:rPr>
          <w:rFonts w:cs="Times New Roman"/>
          <w:szCs w:val="24"/>
        </w:rPr>
        <w:t xml:space="preserve">, and potentially </w:t>
      </w:r>
      <w:r w:rsidR="00EA5989" w:rsidRPr="003A23E2">
        <w:rPr>
          <w:rFonts w:cs="Times New Roman"/>
          <w:szCs w:val="24"/>
        </w:rPr>
        <w:t xml:space="preserve">other </w:t>
      </w:r>
      <w:r w:rsidR="00901625" w:rsidRPr="003A23E2">
        <w:rPr>
          <w:rFonts w:cs="Times New Roman"/>
          <w:szCs w:val="24"/>
        </w:rPr>
        <w:t>investors</w:t>
      </w:r>
      <w:r w:rsidR="00C67AFD" w:rsidRPr="003A23E2">
        <w:rPr>
          <w:rFonts w:cs="Times New Roman"/>
          <w:szCs w:val="24"/>
        </w:rPr>
        <w:t xml:space="preserve"> to short the stock</w:t>
      </w:r>
      <w:r w:rsidR="003A23E2">
        <w:rPr>
          <w:rFonts w:cs="Times New Roman"/>
          <w:szCs w:val="24"/>
        </w:rPr>
        <w:t xml:space="preserve"> or </w:t>
      </w:r>
      <w:r w:rsidR="003A23E2" w:rsidRPr="00E34FEA">
        <w:rPr>
          <w:rFonts w:cs="Times New Roman"/>
          <w:szCs w:val="24"/>
        </w:rPr>
        <w:t>not buy</w:t>
      </w:r>
      <w:r w:rsidR="00EB32D8">
        <w:rPr>
          <w:rFonts w:cs="Times New Roman"/>
          <w:szCs w:val="24"/>
        </w:rPr>
        <w:t xml:space="preserve"> it</w:t>
      </w:r>
      <w:r w:rsidR="003A23E2" w:rsidRPr="00E34FEA">
        <w:rPr>
          <w:rFonts w:cs="Times New Roman"/>
          <w:szCs w:val="24"/>
        </w:rPr>
        <w:t>.</w:t>
      </w:r>
      <w:r w:rsidR="00C67AFD" w:rsidRPr="00E34FEA">
        <w:rPr>
          <w:rFonts w:cs="Times New Roman"/>
          <w:szCs w:val="24"/>
        </w:rPr>
        <w:t xml:space="preserve"> </w:t>
      </w:r>
      <w:r w:rsidR="00A61F84">
        <w:rPr>
          <w:rFonts w:cs="Times New Roman"/>
          <w:szCs w:val="24"/>
        </w:rPr>
        <w:t xml:space="preserve"> </w:t>
      </w:r>
      <w:r w:rsidR="00B647FB" w:rsidRPr="003A23E2">
        <w:rPr>
          <w:rFonts w:cs="Times New Roman"/>
          <w:szCs w:val="24"/>
        </w:rPr>
        <w:t>Unlike long-only investors, activist short sellers generally incur direct costs to maintain their positions.  Once a campaign is launched, activist short sellers are also exposed to the additional risk that the target’s share price does not decline because of responses from issuers,</w:t>
      </w:r>
      <w:r w:rsidR="00A949F7">
        <w:rPr>
          <w:rFonts w:cs="Times New Roman"/>
          <w:szCs w:val="24"/>
        </w:rPr>
        <w:t xml:space="preserve"> opposing views from</w:t>
      </w:r>
      <w:r w:rsidR="00B647FB" w:rsidRPr="003A23E2">
        <w:rPr>
          <w:rFonts w:cs="Times New Roman"/>
          <w:szCs w:val="24"/>
        </w:rPr>
        <w:t xml:space="preserve"> long traders, large institutional shareholders and analysts.   If the share price rises significantly this can make the cost to close out the short position very expensive.</w:t>
      </w:r>
      <w:r w:rsidR="004618FC" w:rsidRPr="002C7102">
        <w:rPr>
          <w:rStyle w:val="FootnoteReference"/>
          <w:rFonts w:cs="Times New Roman"/>
          <w:szCs w:val="24"/>
        </w:rPr>
        <w:footnoteReference w:id="31"/>
      </w:r>
    </w:p>
    <w:p w14:paraId="2844757C" w14:textId="77777777" w:rsidR="00994510" w:rsidRPr="003A23E2" w:rsidRDefault="00994510" w:rsidP="00994510">
      <w:pPr>
        <w:spacing w:before="0" w:after="0"/>
        <w:rPr>
          <w:rFonts w:cs="Times New Roman"/>
          <w:szCs w:val="24"/>
        </w:rPr>
      </w:pPr>
    </w:p>
    <w:p w14:paraId="26667E0D" w14:textId="5DAED379" w:rsidR="00F61ADA" w:rsidRDefault="003D50A9" w:rsidP="00994510">
      <w:pPr>
        <w:spacing w:before="0" w:after="0"/>
        <w:rPr>
          <w:rFonts w:cs="Times New Roman"/>
        </w:rPr>
      </w:pPr>
      <w:r w:rsidRPr="2E96ABE4">
        <w:rPr>
          <w:rFonts w:cs="Times New Roman"/>
        </w:rPr>
        <w:t xml:space="preserve">As </w:t>
      </w:r>
      <w:r w:rsidR="00051F80" w:rsidRPr="2E96ABE4">
        <w:rPr>
          <w:rFonts w:cs="Times New Roman"/>
        </w:rPr>
        <w:t>discussed</w:t>
      </w:r>
      <w:r w:rsidRPr="2E96ABE4">
        <w:rPr>
          <w:rFonts w:cs="Times New Roman"/>
        </w:rPr>
        <w:t xml:space="preserve"> in further detail in </w:t>
      </w:r>
      <w:r w:rsidR="001F086A" w:rsidRPr="2E96ABE4">
        <w:rPr>
          <w:rFonts w:cs="Times New Roman"/>
        </w:rPr>
        <w:t xml:space="preserve">Part </w:t>
      </w:r>
      <w:r w:rsidR="007906B4" w:rsidRPr="2E96ABE4">
        <w:rPr>
          <w:rFonts w:cs="Times New Roman"/>
        </w:rPr>
        <w:fldChar w:fldCharType="begin"/>
      </w:r>
      <w:r w:rsidR="007906B4" w:rsidRPr="2E96ABE4">
        <w:rPr>
          <w:rFonts w:cs="Times New Roman"/>
        </w:rPr>
        <w:instrText xml:space="preserve"> REF _Ref35272191 \r \h </w:instrText>
      </w:r>
      <w:r w:rsidR="000902F5">
        <w:rPr>
          <w:rFonts w:cs="Times New Roman"/>
        </w:rPr>
        <w:instrText xml:space="preserve"> \* MERGEFORMAT </w:instrText>
      </w:r>
      <w:r w:rsidR="007906B4" w:rsidRPr="2E96ABE4">
        <w:rPr>
          <w:rFonts w:cs="Times New Roman"/>
        </w:rPr>
      </w:r>
      <w:r w:rsidR="007906B4" w:rsidRPr="2E96ABE4">
        <w:rPr>
          <w:rFonts w:cs="Times New Roman"/>
        </w:rPr>
        <w:fldChar w:fldCharType="separate"/>
      </w:r>
      <w:r w:rsidR="00BC37D8">
        <w:rPr>
          <w:rFonts w:cs="Times New Roman"/>
        </w:rPr>
        <w:t>II</w:t>
      </w:r>
      <w:r w:rsidR="007906B4" w:rsidRPr="2E96ABE4">
        <w:rPr>
          <w:rFonts w:cs="Times New Roman"/>
        </w:rPr>
        <w:fldChar w:fldCharType="end"/>
      </w:r>
      <w:r w:rsidRPr="2E96ABE4">
        <w:rPr>
          <w:rFonts w:cs="Times New Roman"/>
        </w:rPr>
        <w:t>, o</w:t>
      </w:r>
      <w:r w:rsidR="009B6345" w:rsidRPr="2E96ABE4">
        <w:rPr>
          <w:rFonts w:cs="Times New Roman"/>
        </w:rPr>
        <w:t>ur r</w:t>
      </w:r>
      <w:r w:rsidR="004618FC" w:rsidRPr="2E96ABE4">
        <w:rPr>
          <w:rFonts w:cs="Times New Roman"/>
        </w:rPr>
        <w:t xml:space="preserve">esearch indicates that </w:t>
      </w:r>
      <w:r w:rsidR="00F61ADA" w:rsidRPr="2E96ABE4">
        <w:rPr>
          <w:rFonts w:cs="Times New Roman"/>
        </w:rPr>
        <w:t>the</w:t>
      </w:r>
      <w:r w:rsidR="00D462BF" w:rsidRPr="2E96ABE4">
        <w:rPr>
          <w:rFonts w:cs="Times New Roman"/>
        </w:rPr>
        <w:t xml:space="preserve"> prominent</w:t>
      </w:r>
      <w:r w:rsidR="00F61ADA" w:rsidRPr="2E96ABE4">
        <w:rPr>
          <w:rFonts w:cs="Times New Roman"/>
        </w:rPr>
        <w:t xml:space="preserve"> </w:t>
      </w:r>
      <w:r w:rsidR="004618FC" w:rsidRPr="2E96ABE4">
        <w:rPr>
          <w:rFonts w:cs="Times New Roman"/>
        </w:rPr>
        <w:t>activist short sellers</w:t>
      </w:r>
      <w:r w:rsidR="00F61ADA" w:rsidRPr="2E96ABE4">
        <w:rPr>
          <w:rFonts w:cs="Times New Roman"/>
        </w:rPr>
        <w:t xml:space="preserve"> behind the </w:t>
      </w:r>
      <w:r w:rsidR="000C1B8A" w:rsidRPr="2E96ABE4">
        <w:rPr>
          <w:rFonts w:cs="Times New Roman"/>
        </w:rPr>
        <w:t>C</w:t>
      </w:r>
      <w:r w:rsidR="00F61ADA" w:rsidRPr="2E96ABE4">
        <w:rPr>
          <w:rFonts w:cs="Times New Roman"/>
        </w:rPr>
        <w:t xml:space="preserve">ampaigns </w:t>
      </w:r>
      <w:r w:rsidR="004618FC" w:rsidRPr="2E96ABE4">
        <w:rPr>
          <w:rFonts w:cs="Times New Roman"/>
        </w:rPr>
        <w:t>are relatively well-established (e.g.</w:t>
      </w:r>
      <w:r w:rsidR="0072699F" w:rsidRPr="2E96ABE4">
        <w:rPr>
          <w:rFonts w:cs="Times New Roman"/>
        </w:rPr>
        <w:t>,</w:t>
      </w:r>
      <w:r w:rsidR="004618FC" w:rsidRPr="2E96ABE4">
        <w:rPr>
          <w:rFonts w:cs="Times New Roman"/>
        </w:rPr>
        <w:t xml:space="preserve"> </w:t>
      </w:r>
      <w:r w:rsidR="00F811FB">
        <w:rPr>
          <w:rFonts w:cs="Times New Roman"/>
        </w:rPr>
        <w:t>Close to</w:t>
      </w:r>
      <w:r w:rsidR="00F811FB" w:rsidRPr="2E96ABE4">
        <w:rPr>
          <w:rFonts w:cs="Times New Roman"/>
        </w:rPr>
        <w:t xml:space="preserve"> </w:t>
      </w:r>
      <w:r w:rsidR="00263947" w:rsidRPr="2E96ABE4">
        <w:rPr>
          <w:rFonts w:cs="Times New Roman"/>
        </w:rPr>
        <w:t>8</w:t>
      </w:r>
      <w:r w:rsidR="004618FC" w:rsidRPr="2E96ABE4">
        <w:rPr>
          <w:rFonts w:cs="Times New Roman"/>
        </w:rPr>
        <w:t>0% of the</w:t>
      </w:r>
      <w:r w:rsidR="00A949F7" w:rsidRPr="2E96ABE4">
        <w:rPr>
          <w:rFonts w:cs="Times New Roman"/>
        </w:rPr>
        <w:t xml:space="preserve"> 4</w:t>
      </w:r>
      <w:r w:rsidR="00F811FB">
        <w:rPr>
          <w:rFonts w:cs="Times New Roman"/>
        </w:rPr>
        <w:t>8</w:t>
      </w:r>
      <w:r w:rsidR="00A949F7" w:rsidRPr="2E96ABE4">
        <w:rPr>
          <w:rFonts w:cs="Times New Roman"/>
        </w:rPr>
        <w:t xml:space="preserve"> </w:t>
      </w:r>
      <w:r w:rsidR="004618FC" w:rsidRPr="2E96ABE4">
        <w:rPr>
          <w:rFonts w:cs="Times New Roman"/>
        </w:rPr>
        <w:t xml:space="preserve">activist short sellers identified have been </w:t>
      </w:r>
      <w:r w:rsidR="00171A23" w:rsidRPr="2E96ABE4">
        <w:rPr>
          <w:rFonts w:cs="Times New Roman"/>
        </w:rPr>
        <w:t xml:space="preserve">active </w:t>
      </w:r>
      <w:r w:rsidR="004618FC" w:rsidRPr="2E96ABE4">
        <w:rPr>
          <w:rFonts w:cs="Times New Roman"/>
        </w:rPr>
        <w:t>for over 5 years) and predominantly based in the U.S. (approximately 6</w:t>
      </w:r>
      <w:r w:rsidR="00F811FB">
        <w:rPr>
          <w:rFonts w:cs="Times New Roman"/>
        </w:rPr>
        <w:t>0</w:t>
      </w:r>
      <w:r w:rsidR="004618FC" w:rsidRPr="2E96ABE4">
        <w:rPr>
          <w:rFonts w:cs="Times New Roman"/>
        </w:rPr>
        <w:t xml:space="preserve">%, compared to </w:t>
      </w:r>
      <w:r w:rsidR="00263947" w:rsidRPr="2E96ABE4">
        <w:rPr>
          <w:rFonts w:cs="Times New Roman"/>
        </w:rPr>
        <w:t>13</w:t>
      </w:r>
      <w:r w:rsidR="004618FC" w:rsidRPr="2E96ABE4">
        <w:rPr>
          <w:rFonts w:cs="Times New Roman"/>
        </w:rPr>
        <w:t xml:space="preserve">% </w:t>
      </w:r>
      <w:r w:rsidR="00F372E0" w:rsidRPr="2E96ABE4">
        <w:rPr>
          <w:rFonts w:cs="Times New Roman"/>
        </w:rPr>
        <w:t xml:space="preserve">that are </w:t>
      </w:r>
      <w:r w:rsidR="004618FC" w:rsidRPr="2E96ABE4">
        <w:rPr>
          <w:rFonts w:cs="Times New Roman"/>
        </w:rPr>
        <w:t>Canadian-based).</w:t>
      </w:r>
      <w:r w:rsidR="0011632E" w:rsidRPr="2E96ABE4">
        <w:rPr>
          <w:rStyle w:val="FootnoteReference"/>
          <w:rFonts w:cs="Times New Roman"/>
        </w:rPr>
        <w:footnoteReference w:id="32"/>
      </w:r>
      <w:r w:rsidR="004618FC" w:rsidRPr="2E96ABE4">
        <w:rPr>
          <w:rFonts w:cs="Times New Roman"/>
        </w:rPr>
        <w:t xml:space="preserve"> </w:t>
      </w:r>
      <w:r w:rsidR="00E30416" w:rsidRPr="2E96ABE4">
        <w:rPr>
          <w:rFonts w:cs="Times New Roman"/>
        </w:rPr>
        <w:t xml:space="preserve"> </w:t>
      </w:r>
      <w:r w:rsidR="004618FC" w:rsidRPr="2E96ABE4">
        <w:rPr>
          <w:rFonts w:cs="Times New Roman"/>
        </w:rPr>
        <w:t xml:space="preserve">Anonymous or pseudonymous </w:t>
      </w:r>
      <w:r w:rsidR="00386B9C">
        <w:rPr>
          <w:rFonts w:cs="Times New Roman"/>
        </w:rPr>
        <w:t>s</w:t>
      </w:r>
      <w:r w:rsidR="004618FC" w:rsidRPr="2E96ABE4">
        <w:rPr>
          <w:rFonts w:cs="Times New Roman"/>
        </w:rPr>
        <w:t xml:space="preserve">hort sellers, </w:t>
      </w:r>
      <w:r w:rsidR="00263947" w:rsidRPr="2E96ABE4">
        <w:rPr>
          <w:rFonts w:cs="Times New Roman"/>
        </w:rPr>
        <w:t xml:space="preserve">or </w:t>
      </w:r>
      <w:r w:rsidR="004618FC" w:rsidRPr="2E96ABE4">
        <w:rPr>
          <w:rFonts w:cs="Times New Roman"/>
        </w:rPr>
        <w:t>those with only a presence on SeekingAlpha.com (SA),</w:t>
      </w:r>
      <w:r w:rsidR="004618FC" w:rsidRPr="2E96ABE4">
        <w:rPr>
          <w:rStyle w:val="FootnoteReference"/>
          <w:rFonts w:cs="Times New Roman"/>
        </w:rPr>
        <w:footnoteReference w:id="33"/>
      </w:r>
      <w:r w:rsidR="004618FC" w:rsidRPr="2E96ABE4">
        <w:rPr>
          <w:rFonts w:cs="Times New Roman"/>
        </w:rPr>
        <w:t xml:space="preserve"> account for less than 20% of the </w:t>
      </w:r>
      <w:r w:rsidR="00913443" w:rsidRPr="2E96ABE4">
        <w:rPr>
          <w:rFonts w:cs="Times New Roman"/>
        </w:rPr>
        <w:t>4</w:t>
      </w:r>
      <w:r w:rsidR="00F811FB">
        <w:rPr>
          <w:rFonts w:cs="Times New Roman"/>
        </w:rPr>
        <w:t>8</w:t>
      </w:r>
      <w:r w:rsidR="00913443" w:rsidRPr="2E96ABE4">
        <w:rPr>
          <w:rFonts w:cs="Times New Roman"/>
        </w:rPr>
        <w:t xml:space="preserve"> </w:t>
      </w:r>
      <w:r w:rsidR="004618FC" w:rsidRPr="2E96ABE4">
        <w:rPr>
          <w:rFonts w:cs="Times New Roman"/>
        </w:rPr>
        <w:t>activist short sellers</w:t>
      </w:r>
      <w:r w:rsidR="00263947" w:rsidRPr="2E96ABE4">
        <w:rPr>
          <w:rFonts w:cs="Times New Roman"/>
        </w:rPr>
        <w:t xml:space="preserve"> that have targeted Canadian issuers</w:t>
      </w:r>
      <w:r w:rsidR="00913443" w:rsidRPr="2E96ABE4">
        <w:rPr>
          <w:rFonts w:cs="Times New Roman"/>
        </w:rPr>
        <w:t xml:space="preserve"> since 2010</w:t>
      </w:r>
      <w:r w:rsidR="004618FC" w:rsidRPr="2E96ABE4">
        <w:rPr>
          <w:rFonts w:cs="Times New Roman"/>
        </w:rPr>
        <w:t>.</w:t>
      </w:r>
      <w:r w:rsidR="00450D4D" w:rsidRPr="2E96ABE4">
        <w:rPr>
          <w:rStyle w:val="FootnoteReference"/>
          <w:rFonts w:cs="Times New Roman"/>
        </w:rPr>
        <w:t xml:space="preserve"> </w:t>
      </w:r>
      <w:r w:rsidR="00450D4D" w:rsidRPr="2E96ABE4">
        <w:rPr>
          <w:rStyle w:val="FootnoteReference"/>
          <w:rFonts w:cs="Times New Roman"/>
        </w:rPr>
        <w:footnoteReference w:id="34"/>
      </w:r>
      <w:r w:rsidR="004618FC" w:rsidRPr="2E96ABE4">
        <w:rPr>
          <w:rFonts w:cs="Times New Roman"/>
        </w:rPr>
        <w:t xml:space="preserve">  </w:t>
      </w:r>
    </w:p>
    <w:p w14:paraId="44FE806E" w14:textId="77777777" w:rsidR="00F61ADA" w:rsidRPr="000626BF" w:rsidRDefault="00235475" w:rsidP="000902F5">
      <w:pPr>
        <w:pStyle w:val="SECTION"/>
        <w:jc w:val="left"/>
      </w:pPr>
      <w:bookmarkStart w:id="1" w:name="_Ref35272191"/>
      <w:r>
        <w:lastRenderedPageBreak/>
        <w:t xml:space="preserve">Research and </w:t>
      </w:r>
      <w:r w:rsidR="00F26714">
        <w:t xml:space="preserve">Empirical </w:t>
      </w:r>
      <w:r w:rsidR="00F61ADA" w:rsidRPr="000626BF">
        <w:t>Findings</w:t>
      </w:r>
      <w:bookmarkEnd w:id="1"/>
    </w:p>
    <w:p w14:paraId="7291CF47" w14:textId="2F970019" w:rsidR="00F87D66" w:rsidRDefault="008E7ECC" w:rsidP="00994510">
      <w:pPr>
        <w:spacing w:before="0" w:after="0"/>
        <w:rPr>
          <w:rFonts w:cs="Times New Roman"/>
        </w:rPr>
      </w:pPr>
      <w:r w:rsidRPr="2E96ABE4">
        <w:rPr>
          <w:rFonts w:cs="Times New Roman"/>
        </w:rPr>
        <w:t>The CSA’s</w:t>
      </w:r>
      <w:r w:rsidR="00F61ADA" w:rsidRPr="2E96ABE4">
        <w:rPr>
          <w:rFonts w:cs="Times New Roman"/>
        </w:rPr>
        <w:t xml:space="preserve"> research consisted of</w:t>
      </w:r>
      <w:r w:rsidR="0048704B" w:rsidRPr="2E96ABE4">
        <w:rPr>
          <w:rFonts w:cs="Times New Roman"/>
        </w:rPr>
        <w:t xml:space="preserve"> an</w:t>
      </w:r>
      <w:r w:rsidR="00F61ADA" w:rsidRPr="2E96ABE4">
        <w:rPr>
          <w:rFonts w:cs="Times New Roman"/>
        </w:rPr>
        <w:t xml:space="preserve"> </w:t>
      </w:r>
      <w:r w:rsidR="00E26404" w:rsidRPr="2E96ABE4">
        <w:rPr>
          <w:rFonts w:cs="Times New Roman"/>
        </w:rPr>
        <w:t xml:space="preserve">empirical analysis of </w:t>
      </w:r>
      <w:r w:rsidR="006A147C" w:rsidRPr="2E96ABE4">
        <w:rPr>
          <w:rFonts w:cs="Times New Roman"/>
        </w:rPr>
        <w:t>activist short seller</w:t>
      </w:r>
      <w:r w:rsidR="00E26404" w:rsidRPr="2E96ABE4">
        <w:rPr>
          <w:rFonts w:cs="Times New Roman"/>
        </w:rPr>
        <w:t xml:space="preserve"> </w:t>
      </w:r>
      <w:r w:rsidR="000C1B8A" w:rsidRPr="2E96ABE4">
        <w:rPr>
          <w:rFonts w:cs="Times New Roman"/>
        </w:rPr>
        <w:t>C</w:t>
      </w:r>
      <w:r w:rsidR="00E26404" w:rsidRPr="2E96ABE4">
        <w:rPr>
          <w:rFonts w:cs="Times New Roman"/>
        </w:rPr>
        <w:t xml:space="preserve">ampaigns </w:t>
      </w:r>
      <w:r w:rsidR="006A147C" w:rsidRPr="2E96ABE4">
        <w:rPr>
          <w:rFonts w:cs="Times New Roman"/>
        </w:rPr>
        <w:t xml:space="preserve">and </w:t>
      </w:r>
      <w:r w:rsidR="00F61ADA" w:rsidRPr="2E96ABE4">
        <w:rPr>
          <w:rFonts w:cs="Times New Roman"/>
        </w:rPr>
        <w:t>an academic literature review related to activist short selling.</w:t>
      </w:r>
      <w:r w:rsidR="000626BF" w:rsidRPr="2E96ABE4">
        <w:rPr>
          <w:rStyle w:val="FootnoteReference"/>
          <w:rFonts w:cs="Times New Roman"/>
        </w:rPr>
        <w:footnoteReference w:id="35"/>
      </w:r>
      <w:r w:rsidR="00F61ADA" w:rsidRPr="2E96ABE4">
        <w:rPr>
          <w:rFonts w:cs="Times New Roman"/>
        </w:rPr>
        <w:t xml:space="preserve"> </w:t>
      </w:r>
      <w:r w:rsidR="008A7E4C" w:rsidRPr="2E96ABE4">
        <w:rPr>
          <w:rFonts w:cs="Times New Roman"/>
        </w:rPr>
        <w:t xml:space="preserve"> </w:t>
      </w:r>
      <w:r w:rsidR="00D929B5" w:rsidRPr="2E96ABE4">
        <w:rPr>
          <w:rFonts w:cs="Times New Roman"/>
        </w:rPr>
        <w:t>The empirical analysis was limited to</w:t>
      </w:r>
      <w:r w:rsidR="00792D62" w:rsidRPr="2E96ABE4">
        <w:rPr>
          <w:rFonts w:cs="Times New Roman"/>
        </w:rPr>
        <w:t xml:space="preserve"> Campaigns identified by Activist Insight (</w:t>
      </w:r>
      <w:r w:rsidR="00792D62" w:rsidRPr="2E96ABE4">
        <w:rPr>
          <w:rFonts w:cs="Times New Roman"/>
          <w:b/>
          <w:bCs/>
        </w:rPr>
        <w:t>AI</w:t>
      </w:r>
      <w:r w:rsidR="00792D62" w:rsidRPr="2E96ABE4">
        <w:rPr>
          <w:rFonts w:cs="Times New Roman"/>
        </w:rPr>
        <w:t xml:space="preserve">), a third-party data provider focused on tracking </w:t>
      </w:r>
      <w:r w:rsidR="00FA626E" w:rsidRPr="2E96ABE4">
        <w:rPr>
          <w:rFonts w:cs="Times New Roman"/>
        </w:rPr>
        <w:t>a</w:t>
      </w:r>
      <w:r w:rsidR="00792D62" w:rsidRPr="2E96ABE4">
        <w:rPr>
          <w:rFonts w:cs="Times New Roman"/>
        </w:rPr>
        <w:t xml:space="preserve">ctivist investors on both the long and short side.  </w:t>
      </w:r>
      <w:r w:rsidR="00052557" w:rsidRPr="2E96ABE4">
        <w:rPr>
          <w:rFonts w:cs="Times New Roman"/>
        </w:rPr>
        <w:t xml:space="preserve">AI’s </w:t>
      </w:r>
      <w:r w:rsidR="00792D62" w:rsidRPr="2E96ABE4">
        <w:rPr>
          <w:rFonts w:cs="Times New Roman"/>
        </w:rPr>
        <w:t xml:space="preserve">database </w:t>
      </w:r>
      <w:r w:rsidR="00024A3E" w:rsidRPr="2E96ABE4">
        <w:rPr>
          <w:rFonts w:cs="Times New Roman"/>
        </w:rPr>
        <w:t>only tracks</w:t>
      </w:r>
      <w:r w:rsidR="00792D62" w:rsidRPr="2E96ABE4">
        <w:rPr>
          <w:rFonts w:cs="Times New Roman"/>
        </w:rPr>
        <w:t xml:space="preserve"> </w:t>
      </w:r>
      <w:r w:rsidR="00052557" w:rsidRPr="2E96ABE4">
        <w:rPr>
          <w:rFonts w:cs="Times New Roman"/>
        </w:rPr>
        <w:t xml:space="preserve">campaigns by </w:t>
      </w:r>
      <w:r w:rsidR="00792D62" w:rsidRPr="2E96ABE4">
        <w:rPr>
          <w:rFonts w:cs="Times New Roman"/>
        </w:rPr>
        <w:t>prominent activist short seller</w:t>
      </w:r>
      <w:r w:rsidR="00052557" w:rsidRPr="2E96ABE4">
        <w:rPr>
          <w:rFonts w:cs="Times New Roman"/>
        </w:rPr>
        <w:t>s</w:t>
      </w:r>
      <w:r w:rsidR="00792D62" w:rsidRPr="2E96ABE4">
        <w:rPr>
          <w:rFonts w:cs="Times New Roman"/>
        </w:rPr>
        <w:t xml:space="preserve">, whether they </w:t>
      </w:r>
      <w:r w:rsidR="006909B3" w:rsidRPr="2E96ABE4">
        <w:rPr>
          <w:rFonts w:cs="Times New Roman"/>
        </w:rPr>
        <w:t>a</w:t>
      </w:r>
      <w:r w:rsidR="00792D62" w:rsidRPr="2E96ABE4">
        <w:rPr>
          <w:rFonts w:cs="Times New Roman"/>
        </w:rPr>
        <w:t xml:space="preserve">re named or </w:t>
      </w:r>
      <w:r w:rsidR="00FA626E" w:rsidRPr="2E96ABE4">
        <w:rPr>
          <w:rFonts w:cs="Times New Roman"/>
        </w:rPr>
        <w:t xml:space="preserve">they are </w:t>
      </w:r>
      <w:r w:rsidR="00792D62" w:rsidRPr="2E96ABE4">
        <w:rPr>
          <w:rFonts w:cs="Times New Roman"/>
        </w:rPr>
        <w:t>anonymous</w:t>
      </w:r>
      <w:r w:rsidR="006909B3" w:rsidRPr="2E96ABE4">
        <w:rPr>
          <w:rFonts w:cs="Times New Roman"/>
        </w:rPr>
        <w:t xml:space="preserve"> individuals or entities</w:t>
      </w:r>
      <w:r w:rsidR="00792D62" w:rsidRPr="2E96ABE4">
        <w:rPr>
          <w:rFonts w:cs="Times New Roman"/>
        </w:rPr>
        <w:t>.</w:t>
      </w:r>
      <w:r w:rsidR="00792D62" w:rsidRPr="2E96ABE4">
        <w:rPr>
          <w:rStyle w:val="FootnoteReference"/>
          <w:rFonts w:cs="Times New Roman"/>
        </w:rPr>
        <w:footnoteReference w:id="36"/>
      </w:r>
      <w:r w:rsidR="00235475" w:rsidRPr="2E96ABE4">
        <w:rPr>
          <w:rFonts w:cs="Times New Roman"/>
        </w:rPr>
        <w:t xml:space="preserve"> </w:t>
      </w:r>
      <w:r w:rsidR="00D66210" w:rsidRPr="2E96ABE4">
        <w:rPr>
          <w:rFonts w:cs="Times New Roman"/>
        </w:rPr>
        <w:t xml:space="preserve"> </w:t>
      </w:r>
      <w:r w:rsidR="00792D62" w:rsidRPr="2E96ABE4">
        <w:rPr>
          <w:rFonts w:cs="Times New Roman"/>
        </w:rPr>
        <w:t>Th</w:t>
      </w:r>
      <w:r w:rsidR="003F0616" w:rsidRPr="2E96ABE4">
        <w:rPr>
          <w:rFonts w:cs="Times New Roman"/>
        </w:rPr>
        <w:t>is d</w:t>
      </w:r>
      <w:r w:rsidR="00943778" w:rsidRPr="2E96ABE4">
        <w:rPr>
          <w:rFonts w:cs="Times New Roman"/>
        </w:rPr>
        <w:t>ata</w:t>
      </w:r>
      <w:r w:rsidR="00792D62" w:rsidRPr="2E96ABE4">
        <w:rPr>
          <w:rFonts w:cs="Times New Roman"/>
        </w:rPr>
        <w:t xml:space="preserve"> would cover campaigns that have the most market impact but </w:t>
      </w:r>
      <w:r w:rsidR="00024A3E" w:rsidRPr="2E96ABE4">
        <w:rPr>
          <w:rFonts w:cs="Times New Roman"/>
        </w:rPr>
        <w:t xml:space="preserve">may </w:t>
      </w:r>
      <w:r w:rsidR="00792D62" w:rsidRPr="2E96ABE4">
        <w:rPr>
          <w:rFonts w:cs="Times New Roman"/>
        </w:rPr>
        <w:t xml:space="preserve">also </w:t>
      </w:r>
      <w:r w:rsidR="00024A3E" w:rsidRPr="2E96ABE4">
        <w:rPr>
          <w:rFonts w:cs="Times New Roman"/>
        </w:rPr>
        <w:t>p</w:t>
      </w:r>
      <w:r w:rsidR="00792D62" w:rsidRPr="2E96ABE4">
        <w:rPr>
          <w:rFonts w:cs="Times New Roman"/>
        </w:rPr>
        <w:t>otentially</w:t>
      </w:r>
      <w:r w:rsidR="00024A3E" w:rsidRPr="2E96ABE4">
        <w:rPr>
          <w:rFonts w:cs="Times New Roman"/>
        </w:rPr>
        <w:t xml:space="preserve"> overlook campaigns by less prominent actors engaged in similar activities.</w:t>
      </w:r>
      <w:r w:rsidR="00792D62" w:rsidRPr="2E96ABE4">
        <w:rPr>
          <w:rFonts w:cs="Times New Roman"/>
        </w:rPr>
        <w:t xml:space="preserve"> </w:t>
      </w:r>
    </w:p>
    <w:p w14:paraId="4EEB8404" w14:textId="77777777" w:rsidR="00994510" w:rsidRDefault="00994510" w:rsidP="00994510">
      <w:pPr>
        <w:spacing w:before="0" w:after="0"/>
        <w:rPr>
          <w:rFonts w:cs="Times New Roman"/>
          <w:szCs w:val="24"/>
        </w:rPr>
      </w:pPr>
    </w:p>
    <w:p w14:paraId="5EC9D665" w14:textId="2C5240A1" w:rsidR="008A7E4C" w:rsidRDefault="00D11D1F" w:rsidP="00994510">
      <w:pPr>
        <w:spacing w:before="0" w:after="0"/>
        <w:rPr>
          <w:rFonts w:cs="Times New Roman"/>
          <w:szCs w:val="24"/>
        </w:rPr>
      </w:pPr>
      <w:r>
        <w:rPr>
          <w:rFonts w:cs="Times New Roman"/>
          <w:szCs w:val="24"/>
        </w:rPr>
        <w:t>T</w:t>
      </w:r>
      <w:r w:rsidR="00792D62">
        <w:rPr>
          <w:rFonts w:cs="Times New Roman"/>
          <w:szCs w:val="24"/>
        </w:rPr>
        <w:t>he current academic literature on activist short selling activity is sparse and is focused predominantly on U.S. markets</w:t>
      </w:r>
      <w:r w:rsidR="00024A3E">
        <w:rPr>
          <w:rFonts w:cs="Times New Roman"/>
          <w:szCs w:val="24"/>
        </w:rPr>
        <w:t xml:space="preserve"> </w:t>
      </w:r>
      <w:r w:rsidR="00024A3E" w:rsidRPr="000736A4">
        <w:rPr>
          <w:rFonts w:cs="Times New Roman"/>
          <w:szCs w:val="24"/>
        </w:rPr>
        <w:t>where</w:t>
      </w:r>
      <w:r w:rsidR="00943778" w:rsidRPr="000736A4">
        <w:rPr>
          <w:rFonts w:cs="Times New Roman"/>
          <w:szCs w:val="24"/>
        </w:rPr>
        <w:t>, as explained below,</w:t>
      </w:r>
      <w:r w:rsidR="00024A3E" w:rsidRPr="000736A4">
        <w:rPr>
          <w:rFonts w:cs="Times New Roman"/>
          <w:szCs w:val="24"/>
        </w:rPr>
        <w:t xml:space="preserve"> there is </w:t>
      </w:r>
      <w:r w:rsidR="00943778" w:rsidRPr="000736A4">
        <w:rPr>
          <w:rFonts w:cs="Times New Roman"/>
          <w:szCs w:val="24"/>
        </w:rPr>
        <w:t>a sufficiently greater amount</w:t>
      </w:r>
      <w:r w:rsidR="00024A3E" w:rsidRPr="000736A4">
        <w:rPr>
          <w:rFonts w:cs="Times New Roman"/>
          <w:szCs w:val="24"/>
        </w:rPr>
        <w:t xml:space="preserve"> of activist short selling activity and data to conduct a more rigorous analysis</w:t>
      </w:r>
      <w:r w:rsidR="00792D62">
        <w:rPr>
          <w:rFonts w:cs="Times New Roman"/>
          <w:szCs w:val="24"/>
        </w:rPr>
        <w:t xml:space="preserve">. </w:t>
      </w:r>
      <w:r w:rsidR="008A7E4C">
        <w:rPr>
          <w:rFonts w:cs="Times New Roman"/>
          <w:szCs w:val="24"/>
        </w:rPr>
        <w:t xml:space="preserve"> </w:t>
      </w:r>
    </w:p>
    <w:p w14:paraId="6A86366E" w14:textId="77777777" w:rsidR="00BC37D8" w:rsidRDefault="00BC37D8" w:rsidP="00994510">
      <w:pPr>
        <w:spacing w:before="0" w:after="0"/>
        <w:rPr>
          <w:rFonts w:cs="Times New Roman"/>
          <w:szCs w:val="24"/>
        </w:rPr>
      </w:pPr>
    </w:p>
    <w:p w14:paraId="0032C76C" w14:textId="0477418F" w:rsidR="004618FC" w:rsidRDefault="008E74FA" w:rsidP="00BC37D8">
      <w:pPr>
        <w:pStyle w:val="SUB-SECTION"/>
        <w:spacing w:before="0" w:after="0"/>
        <w:jc w:val="left"/>
      </w:pPr>
      <w:r>
        <w:t>Activist Short Selling Activity</w:t>
      </w:r>
      <w:r w:rsidR="004618FC" w:rsidRPr="002C7102">
        <w:t xml:space="preserve"> </w:t>
      </w:r>
    </w:p>
    <w:p w14:paraId="6E1ACF0E" w14:textId="77777777" w:rsidR="00BC37D8" w:rsidRPr="002C7102" w:rsidRDefault="00BC37D8" w:rsidP="00BC37D8">
      <w:pPr>
        <w:pStyle w:val="SUB-SECTION"/>
        <w:numPr>
          <w:ilvl w:val="0"/>
          <w:numId w:val="0"/>
        </w:numPr>
        <w:spacing w:before="0" w:after="0"/>
        <w:ind w:left="1440"/>
        <w:jc w:val="left"/>
      </w:pPr>
    </w:p>
    <w:p w14:paraId="37192ED6" w14:textId="27377B0B" w:rsidR="00011B9A" w:rsidRPr="00554961" w:rsidRDefault="00AC6863" w:rsidP="00BC37D8">
      <w:pPr>
        <w:spacing w:before="0" w:after="0"/>
        <w:rPr>
          <w:rFonts w:cs="Times New Roman"/>
        </w:rPr>
      </w:pPr>
      <w:r w:rsidRPr="2E96ABE4">
        <w:rPr>
          <w:rFonts w:cs="Times New Roman"/>
        </w:rPr>
        <w:t xml:space="preserve">Between 2010 </w:t>
      </w:r>
      <w:r w:rsidR="00F95525" w:rsidRPr="2E96ABE4">
        <w:rPr>
          <w:rFonts w:cs="Times New Roman"/>
        </w:rPr>
        <w:t xml:space="preserve">and </w:t>
      </w:r>
      <w:r w:rsidR="00226A74">
        <w:rPr>
          <w:rFonts w:cs="Times New Roman"/>
        </w:rPr>
        <w:t>September</w:t>
      </w:r>
      <w:r w:rsidR="00CD14CF">
        <w:rPr>
          <w:rFonts w:cs="Times New Roman"/>
        </w:rPr>
        <w:t xml:space="preserve"> </w:t>
      </w:r>
      <w:r w:rsidRPr="2E96ABE4">
        <w:rPr>
          <w:rFonts w:cs="Times New Roman"/>
        </w:rPr>
        <w:t>20</w:t>
      </w:r>
      <w:r w:rsidR="00CD14CF">
        <w:rPr>
          <w:rFonts w:cs="Times New Roman"/>
        </w:rPr>
        <w:t>20</w:t>
      </w:r>
      <w:r w:rsidR="008B70BB" w:rsidRPr="2E96ABE4">
        <w:rPr>
          <w:rFonts w:cs="Times New Roman"/>
        </w:rPr>
        <w:t xml:space="preserve">, </w:t>
      </w:r>
      <w:r w:rsidR="002E6A1C" w:rsidRPr="2E96ABE4">
        <w:rPr>
          <w:rFonts w:cs="Times New Roman"/>
        </w:rPr>
        <w:t xml:space="preserve">a total of </w:t>
      </w:r>
      <w:r w:rsidR="00CD14CF">
        <w:rPr>
          <w:rFonts w:cs="Times New Roman"/>
        </w:rPr>
        <w:t>73</w:t>
      </w:r>
      <w:r w:rsidR="004618FC" w:rsidRPr="2E96ABE4">
        <w:rPr>
          <w:rFonts w:cs="Times New Roman"/>
        </w:rPr>
        <w:t xml:space="preserve"> Canadian</w:t>
      </w:r>
      <w:r w:rsidR="008B70BB" w:rsidRPr="2E96ABE4">
        <w:rPr>
          <w:rFonts w:cs="Times New Roman"/>
        </w:rPr>
        <w:t xml:space="preserve"> </w:t>
      </w:r>
      <w:r w:rsidR="004618FC" w:rsidRPr="2E96ABE4">
        <w:rPr>
          <w:rFonts w:cs="Times New Roman"/>
        </w:rPr>
        <w:t xml:space="preserve">issuers have been the target of </w:t>
      </w:r>
      <w:r w:rsidR="00CD14CF">
        <w:rPr>
          <w:rFonts w:cs="Times New Roman"/>
        </w:rPr>
        <w:t>116</w:t>
      </w:r>
      <w:r w:rsidR="008E74FA" w:rsidRPr="2E96ABE4">
        <w:rPr>
          <w:rFonts w:cs="Times New Roman"/>
        </w:rPr>
        <w:t xml:space="preserve"> </w:t>
      </w:r>
      <w:r w:rsidR="00B776BE" w:rsidRPr="2E96ABE4">
        <w:rPr>
          <w:rFonts w:cs="Times New Roman"/>
        </w:rPr>
        <w:t>C</w:t>
      </w:r>
      <w:r w:rsidR="008E74FA" w:rsidRPr="2E96ABE4">
        <w:rPr>
          <w:rFonts w:cs="Times New Roman"/>
        </w:rPr>
        <w:t>ampaigns</w:t>
      </w:r>
      <w:r w:rsidR="00A46035">
        <w:rPr>
          <w:rFonts w:cs="Times New Roman"/>
        </w:rPr>
        <w:t xml:space="preserve"> and</w:t>
      </w:r>
      <w:r w:rsidR="00AA4987" w:rsidRPr="2E96ABE4">
        <w:rPr>
          <w:rFonts w:cs="Times New Roman"/>
        </w:rPr>
        <w:t xml:space="preserve"> </w:t>
      </w:r>
      <w:r w:rsidR="00A46035">
        <w:rPr>
          <w:rFonts w:cs="Times New Roman"/>
        </w:rPr>
        <w:t>among them</w:t>
      </w:r>
      <w:r w:rsidR="00A46035" w:rsidRPr="2E96ABE4">
        <w:rPr>
          <w:rFonts w:cs="Times New Roman"/>
        </w:rPr>
        <w:t xml:space="preserve"> </w:t>
      </w:r>
      <w:r w:rsidR="00CD14CF">
        <w:rPr>
          <w:rFonts w:cs="Times New Roman"/>
        </w:rPr>
        <w:t xml:space="preserve">16 </w:t>
      </w:r>
      <w:r w:rsidR="00AA4987" w:rsidRPr="2E96ABE4">
        <w:rPr>
          <w:rFonts w:cs="Times New Roman"/>
        </w:rPr>
        <w:t xml:space="preserve">Campaigns (including </w:t>
      </w:r>
      <w:r w:rsidR="008B7600" w:rsidRPr="2E96ABE4">
        <w:rPr>
          <w:rFonts w:cs="Times New Roman"/>
        </w:rPr>
        <w:t xml:space="preserve">all </w:t>
      </w:r>
      <w:r w:rsidR="00CD14CF">
        <w:rPr>
          <w:rFonts w:cs="Times New Roman"/>
        </w:rPr>
        <w:t>12</w:t>
      </w:r>
      <w:r w:rsidR="00AA4987" w:rsidRPr="2E96ABE4">
        <w:rPr>
          <w:rFonts w:cs="Times New Roman"/>
        </w:rPr>
        <w:t xml:space="preserve"> </w:t>
      </w:r>
      <w:r w:rsidR="00EB32D8" w:rsidRPr="2E96ABE4">
        <w:rPr>
          <w:rFonts w:cs="Times New Roman"/>
        </w:rPr>
        <w:t>C</w:t>
      </w:r>
      <w:r w:rsidR="00AA4987" w:rsidRPr="2E96ABE4">
        <w:rPr>
          <w:rFonts w:cs="Times New Roman"/>
        </w:rPr>
        <w:t>ampaigns from 20</w:t>
      </w:r>
      <w:r w:rsidR="00CD14CF">
        <w:rPr>
          <w:rFonts w:cs="Times New Roman"/>
        </w:rPr>
        <w:t>20</w:t>
      </w:r>
      <w:r w:rsidR="00AA4987" w:rsidRPr="2E96ABE4">
        <w:rPr>
          <w:rFonts w:cs="Times New Roman"/>
        </w:rPr>
        <w:t>)</w:t>
      </w:r>
      <w:r w:rsidR="00A46035" w:rsidRPr="2E96ABE4">
        <w:rPr>
          <w:rStyle w:val="FootnoteReference"/>
          <w:rFonts w:cs="Times New Roman"/>
        </w:rPr>
        <w:footnoteReference w:id="37"/>
      </w:r>
      <w:r w:rsidR="00AA4987" w:rsidRPr="2E96ABE4">
        <w:rPr>
          <w:rFonts w:cs="Times New Roman"/>
        </w:rPr>
        <w:t xml:space="preserve"> are still active according to AI</w:t>
      </w:r>
      <w:r w:rsidR="004618FC" w:rsidRPr="2E96ABE4">
        <w:rPr>
          <w:rFonts w:cs="Times New Roman"/>
        </w:rPr>
        <w:t>.</w:t>
      </w:r>
      <w:r w:rsidR="004618FC" w:rsidRPr="2E96ABE4">
        <w:rPr>
          <w:rStyle w:val="FootnoteReference"/>
          <w:rFonts w:cs="Times New Roman"/>
        </w:rPr>
        <w:footnoteReference w:id="38"/>
      </w:r>
      <w:r w:rsidR="004618FC" w:rsidRPr="2E96ABE4">
        <w:rPr>
          <w:rFonts w:cs="Times New Roman"/>
        </w:rPr>
        <w:t xml:space="preserve">  </w:t>
      </w:r>
      <w:r w:rsidR="00655C78" w:rsidRPr="2E96ABE4">
        <w:rPr>
          <w:rFonts w:cs="Times New Roman"/>
        </w:rPr>
        <w:t>While there ha</w:t>
      </w:r>
      <w:r w:rsidR="00B65531" w:rsidRPr="2E96ABE4">
        <w:rPr>
          <w:rFonts w:cs="Times New Roman"/>
        </w:rPr>
        <w:t>s</w:t>
      </w:r>
      <w:r w:rsidR="006164D4" w:rsidRPr="2E96ABE4">
        <w:rPr>
          <w:rFonts w:cs="Times New Roman"/>
        </w:rPr>
        <w:t xml:space="preserve"> been </w:t>
      </w:r>
      <w:r w:rsidR="00B65531" w:rsidRPr="2E96ABE4">
        <w:rPr>
          <w:rFonts w:cs="Times New Roman"/>
        </w:rPr>
        <w:t>increased</w:t>
      </w:r>
      <w:r w:rsidR="006164D4" w:rsidRPr="2E96ABE4">
        <w:rPr>
          <w:rFonts w:cs="Times New Roman"/>
        </w:rPr>
        <w:t xml:space="preserve"> </w:t>
      </w:r>
      <w:r w:rsidR="00655C78" w:rsidRPr="2E96ABE4">
        <w:rPr>
          <w:rFonts w:cs="Times New Roman"/>
        </w:rPr>
        <w:t>activity</w:t>
      </w:r>
      <w:r w:rsidR="006164D4" w:rsidRPr="2E96ABE4">
        <w:rPr>
          <w:rFonts w:cs="Times New Roman"/>
        </w:rPr>
        <w:t xml:space="preserve"> </w:t>
      </w:r>
      <w:r w:rsidR="00A46035">
        <w:rPr>
          <w:rFonts w:cs="Times New Roman"/>
        </w:rPr>
        <w:t>since 2015</w:t>
      </w:r>
      <w:r w:rsidR="008B70BB" w:rsidRPr="2E96ABE4">
        <w:rPr>
          <w:rFonts w:cs="Times New Roman"/>
        </w:rPr>
        <w:t>, annually</w:t>
      </w:r>
      <w:r w:rsidR="00655C78" w:rsidRPr="2E96ABE4">
        <w:rPr>
          <w:rFonts w:cs="Times New Roman"/>
        </w:rPr>
        <w:t xml:space="preserve"> there have been </w:t>
      </w:r>
      <w:r w:rsidR="005470B1" w:rsidRPr="2E96ABE4">
        <w:rPr>
          <w:rFonts w:cs="Times New Roman"/>
        </w:rPr>
        <w:t>no more than 5</w:t>
      </w:r>
      <w:r w:rsidR="008B70BB" w:rsidRPr="2E96ABE4">
        <w:rPr>
          <w:rFonts w:cs="Times New Roman"/>
        </w:rPr>
        <w:t xml:space="preserve"> </w:t>
      </w:r>
      <w:r w:rsidR="005470B1" w:rsidRPr="2E96ABE4">
        <w:rPr>
          <w:rFonts w:cs="Times New Roman"/>
        </w:rPr>
        <w:t xml:space="preserve">Canadian </w:t>
      </w:r>
      <w:r w:rsidR="008B70BB" w:rsidRPr="2E96ABE4">
        <w:rPr>
          <w:rFonts w:cs="Times New Roman"/>
        </w:rPr>
        <w:t xml:space="preserve">targets for every 1,000 </w:t>
      </w:r>
      <w:r w:rsidR="00B906C5">
        <w:rPr>
          <w:rFonts w:cs="Times New Roman"/>
        </w:rPr>
        <w:t xml:space="preserve">Canadian </w:t>
      </w:r>
      <w:r w:rsidR="008B70BB" w:rsidRPr="2E96ABE4">
        <w:rPr>
          <w:rFonts w:cs="Times New Roman"/>
        </w:rPr>
        <w:t>listed issuers.</w:t>
      </w:r>
      <w:r w:rsidR="003F3656" w:rsidRPr="2E96ABE4">
        <w:rPr>
          <w:rStyle w:val="FootnoteReference"/>
          <w:rFonts w:cs="Times New Roman"/>
        </w:rPr>
        <w:footnoteReference w:id="39"/>
      </w:r>
      <w:r w:rsidR="008B70BB" w:rsidRPr="2E96ABE4">
        <w:rPr>
          <w:rFonts w:cs="Times New Roman"/>
        </w:rPr>
        <w:t xml:space="preserve"> </w:t>
      </w:r>
      <w:r w:rsidR="006D2BD5" w:rsidRPr="2E96ABE4">
        <w:rPr>
          <w:rFonts w:cs="Times New Roman"/>
        </w:rPr>
        <w:t xml:space="preserve"> </w:t>
      </w:r>
      <w:r w:rsidR="00655C78" w:rsidRPr="2E96ABE4">
        <w:rPr>
          <w:rFonts w:cs="Times New Roman"/>
        </w:rPr>
        <w:t>In</w:t>
      </w:r>
      <w:r w:rsidR="008B70BB" w:rsidRPr="2E96ABE4">
        <w:rPr>
          <w:rFonts w:cs="Times New Roman"/>
        </w:rPr>
        <w:t xml:space="preserve"> comparison, </w:t>
      </w:r>
      <w:r w:rsidR="005470B1" w:rsidRPr="2E96ABE4">
        <w:rPr>
          <w:rFonts w:cs="Times New Roman"/>
        </w:rPr>
        <w:t xml:space="preserve">U.S. </w:t>
      </w:r>
      <w:r w:rsidR="00CF7D36" w:rsidRPr="2E96ABE4">
        <w:rPr>
          <w:rFonts w:cs="Times New Roman"/>
        </w:rPr>
        <w:t>issuers</w:t>
      </w:r>
      <w:r w:rsidR="005470B1" w:rsidRPr="2E96ABE4">
        <w:rPr>
          <w:rFonts w:cs="Times New Roman"/>
        </w:rPr>
        <w:t xml:space="preserve"> are more frequently targeted by activist short sellers - </w:t>
      </w:r>
      <w:r w:rsidR="008B70BB" w:rsidRPr="2E96ABE4">
        <w:rPr>
          <w:rFonts w:cs="Times New Roman"/>
        </w:rPr>
        <w:t>an average of 2</w:t>
      </w:r>
      <w:r w:rsidR="000D359C">
        <w:rPr>
          <w:rFonts w:cs="Times New Roman"/>
        </w:rPr>
        <w:t>1</w:t>
      </w:r>
      <w:r w:rsidR="008B70BB" w:rsidRPr="2E96ABE4">
        <w:rPr>
          <w:rFonts w:cs="Times New Roman"/>
        </w:rPr>
        <w:t xml:space="preserve"> </w:t>
      </w:r>
      <w:r w:rsidR="004618FC" w:rsidRPr="2E96ABE4">
        <w:rPr>
          <w:rFonts w:cs="Times New Roman"/>
        </w:rPr>
        <w:t>U.S.</w:t>
      </w:r>
      <w:r w:rsidR="008B70BB" w:rsidRPr="2E96ABE4">
        <w:rPr>
          <w:rFonts w:cs="Times New Roman"/>
        </w:rPr>
        <w:t xml:space="preserve"> </w:t>
      </w:r>
      <w:r w:rsidR="00A46035">
        <w:rPr>
          <w:rFonts w:cs="Times New Roman"/>
        </w:rPr>
        <w:t>targets</w:t>
      </w:r>
      <w:r w:rsidR="00A46035" w:rsidRPr="2E96ABE4">
        <w:rPr>
          <w:rFonts w:cs="Times New Roman"/>
        </w:rPr>
        <w:t xml:space="preserve"> </w:t>
      </w:r>
      <w:r w:rsidR="00B65531" w:rsidRPr="2E96ABE4">
        <w:rPr>
          <w:rFonts w:cs="Times New Roman"/>
        </w:rPr>
        <w:t>annually</w:t>
      </w:r>
      <w:r w:rsidR="008B70BB" w:rsidRPr="2E96ABE4">
        <w:rPr>
          <w:rFonts w:cs="Times New Roman"/>
        </w:rPr>
        <w:t xml:space="preserve"> for every 1,000 </w:t>
      </w:r>
      <w:r w:rsidR="00B906C5">
        <w:rPr>
          <w:rFonts w:cs="Times New Roman"/>
        </w:rPr>
        <w:t xml:space="preserve">U.S. </w:t>
      </w:r>
      <w:r w:rsidR="008B70BB" w:rsidRPr="2E96ABE4">
        <w:rPr>
          <w:rFonts w:cs="Times New Roman"/>
        </w:rPr>
        <w:t>listed issuers</w:t>
      </w:r>
      <w:r w:rsidR="00A73BCE" w:rsidRPr="2E96ABE4">
        <w:rPr>
          <w:rFonts w:cs="Times New Roman"/>
        </w:rPr>
        <w:t>.</w:t>
      </w:r>
      <w:r w:rsidR="00A73BCE" w:rsidRPr="00A73BCE">
        <w:rPr>
          <w:vertAlign w:val="superscript"/>
        </w:rPr>
        <w:footnoteReference w:id="40"/>
      </w:r>
    </w:p>
    <w:p w14:paraId="5C268ED9" w14:textId="5C36E932" w:rsidR="00E765E5" w:rsidRPr="006F0F7E" w:rsidRDefault="00E765E5" w:rsidP="00624C0A">
      <w:pPr>
        <w:pStyle w:val="FIGURES"/>
        <w:rPr>
          <w:sz w:val="22"/>
          <w:szCs w:val="22"/>
        </w:rPr>
      </w:pPr>
      <w:bookmarkStart w:id="2" w:name="_Ref32245799"/>
      <w:r w:rsidRPr="006F0F7E">
        <w:rPr>
          <w:color w:val="1F497D" w:themeColor="text2"/>
          <w:sz w:val="22"/>
          <w:szCs w:val="22"/>
        </w:rPr>
        <w:lastRenderedPageBreak/>
        <w:t xml:space="preserve">Figure </w:t>
      </w:r>
      <w:r w:rsidRPr="006F0F7E">
        <w:rPr>
          <w:color w:val="1F497D" w:themeColor="text2"/>
          <w:sz w:val="22"/>
          <w:szCs w:val="22"/>
        </w:rPr>
        <w:fldChar w:fldCharType="begin"/>
      </w:r>
      <w:r w:rsidRPr="006F0F7E">
        <w:rPr>
          <w:color w:val="1F497D" w:themeColor="text2"/>
          <w:sz w:val="22"/>
          <w:szCs w:val="22"/>
        </w:rPr>
        <w:instrText>SEQ Figure \* ARABIC</w:instrText>
      </w:r>
      <w:r w:rsidRPr="006F0F7E">
        <w:rPr>
          <w:color w:val="1F497D" w:themeColor="text2"/>
          <w:sz w:val="22"/>
          <w:szCs w:val="22"/>
        </w:rPr>
        <w:fldChar w:fldCharType="separate"/>
      </w:r>
      <w:r w:rsidR="00BC37D8">
        <w:rPr>
          <w:noProof/>
          <w:color w:val="1F497D" w:themeColor="text2"/>
          <w:sz w:val="22"/>
          <w:szCs w:val="22"/>
        </w:rPr>
        <w:t>1</w:t>
      </w:r>
      <w:r w:rsidRPr="006F0F7E">
        <w:rPr>
          <w:color w:val="1F497D" w:themeColor="text2"/>
          <w:sz w:val="22"/>
          <w:szCs w:val="22"/>
        </w:rPr>
        <w:fldChar w:fldCharType="end"/>
      </w:r>
      <w:bookmarkEnd w:id="2"/>
      <w:r w:rsidRPr="006F0F7E">
        <w:rPr>
          <w:color w:val="1F497D" w:themeColor="text2"/>
          <w:sz w:val="22"/>
          <w:szCs w:val="22"/>
        </w:rPr>
        <w:t xml:space="preserve"> - Activist Short Seller</w:t>
      </w:r>
      <w:r w:rsidR="00476F21" w:rsidRPr="006F0F7E">
        <w:rPr>
          <w:color w:val="1F497D" w:themeColor="text2"/>
          <w:sz w:val="22"/>
          <w:szCs w:val="22"/>
        </w:rPr>
        <w:t xml:space="preserve"> Campaign Activity</w:t>
      </w:r>
      <w:r w:rsidR="0056343B" w:rsidRPr="006F0F7E">
        <w:rPr>
          <w:color w:val="1F497D" w:themeColor="text2"/>
          <w:sz w:val="22"/>
          <w:szCs w:val="22"/>
        </w:rPr>
        <w:t xml:space="preserve"> in Canada</w:t>
      </w:r>
      <w:r w:rsidR="00FF0E67" w:rsidRPr="006F0F7E">
        <w:rPr>
          <w:color w:val="1F497D" w:themeColor="text2"/>
          <w:sz w:val="22"/>
          <w:szCs w:val="22"/>
        </w:rPr>
        <w:t xml:space="preserve"> (2010 – Sept</w:t>
      </w:r>
      <w:r w:rsidR="006110C2" w:rsidRPr="006F0F7E">
        <w:rPr>
          <w:color w:val="1F497D" w:themeColor="text2"/>
          <w:sz w:val="22"/>
          <w:szCs w:val="22"/>
        </w:rPr>
        <w:t>.</w:t>
      </w:r>
      <w:r w:rsidR="00FF0E67" w:rsidRPr="006F0F7E">
        <w:rPr>
          <w:color w:val="1F497D" w:themeColor="text2"/>
          <w:sz w:val="22"/>
          <w:szCs w:val="22"/>
        </w:rPr>
        <w:t xml:space="preserve"> 2020)</w:t>
      </w:r>
    </w:p>
    <w:p w14:paraId="4E431185" w14:textId="77777777" w:rsidR="006164D4" w:rsidRDefault="00A10C7F" w:rsidP="00CF34F0">
      <w:pPr>
        <w:pStyle w:val="NoSpacing"/>
        <w:jc w:val="center"/>
        <w:rPr>
          <w:rFonts w:cs="Times New Roman"/>
          <w:szCs w:val="24"/>
        </w:rPr>
      </w:pPr>
      <w:r w:rsidRPr="00A10C7F">
        <w:rPr>
          <w:noProof/>
          <w:lang w:val="en-US" w:eastAsia="en-US"/>
        </w:rPr>
        <w:drawing>
          <wp:inline distT="0" distB="0" distL="0" distR="0" wp14:anchorId="7CF1F078" wp14:editId="5D9D6CFE">
            <wp:extent cx="4605590" cy="2218825"/>
            <wp:effectExtent l="0" t="0" r="5080" b="0"/>
            <wp:docPr id="1" name="Picture 1" descr="Bar graph of activist short seller campaign activity in Canada between 2010 to September 2020. 2018 has the highest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12909" cy="2222351"/>
                    </a:xfrm>
                    <a:prstGeom prst="rect">
                      <a:avLst/>
                    </a:prstGeom>
                    <a:ln>
                      <a:noFill/>
                    </a:ln>
                    <a:extLst>
                      <a:ext uri="{53640926-AAD7-44D8-BBD7-CCE9431645EC}">
                        <a14:shadowObscured xmlns:a14="http://schemas.microsoft.com/office/drawing/2010/main"/>
                      </a:ext>
                    </a:extLst>
                  </pic:spPr>
                </pic:pic>
              </a:graphicData>
            </a:graphic>
          </wp:inline>
        </w:drawing>
      </w:r>
    </w:p>
    <w:p w14:paraId="7E03EA5D" w14:textId="16728583" w:rsidR="000D4E11" w:rsidRDefault="00075D73" w:rsidP="000902F5">
      <w:pPr>
        <w:spacing w:after="0"/>
        <w:rPr>
          <w:rFonts w:cs="Times New Roman"/>
        </w:rPr>
      </w:pPr>
      <w:r w:rsidRPr="2E96ABE4">
        <w:rPr>
          <w:rFonts w:cs="Times New Roman"/>
        </w:rPr>
        <w:t xml:space="preserve">For the small number of </w:t>
      </w:r>
      <w:r w:rsidR="00B776BE" w:rsidRPr="2E96ABE4">
        <w:rPr>
          <w:rFonts w:cs="Times New Roman"/>
        </w:rPr>
        <w:t>Canadian targets</w:t>
      </w:r>
      <w:r w:rsidRPr="2E96ABE4">
        <w:rPr>
          <w:rFonts w:cs="Times New Roman"/>
        </w:rPr>
        <w:t xml:space="preserve"> identified</w:t>
      </w:r>
      <w:r w:rsidR="00B776BE" w:rsidRPr="2E96ABE4">
        <w:rPr>
          <w:rFonts w:cs="Times New Roman"/>
        </w:rPr>
        <w:t>, a</w:t>
      </w:r>
      <w:r w:rsidR="000D4E11" w:rsidRPr="2E96ABE4">
        <w:rPr>
          <w:rFonts w:cs="Times New Roman"/>
        </w:rPr>
        <w:t xml:space="preserve">nnual Campaign activity appears to be highly cyclical as evidenced in </w:t>
      </w:r>
      <w:r w:rsidR="000D4E11" w:rsidRPr="2E96ABE4">
        <w:rPr>
          <w:rFonts w:cs="Times New Roman"/>
        </w:rPr>
        <w:fldChar w:fldCharType="begin"/>
      </w:r>
      <w:r w:rsidR="000D4E11" w:rsidRPr="2E96ABE4">
        <w:rPr>
          <w:rFonts w:cs="Times New Roman"/>
        </w:rPr>
        <w:instrText xml:space="preserve"> REF _Ref32245799 \h </w:instrText>
      </w:r>
      <w:r w:rsidR="000902F5">
        <w:rPr>
          <w:rFonts w:cs="Times New Roman"/>
        </w:rPr>
        <w:instrText xml:space="preserve"> \* MERGEFORMAT </w:instrText>
      </w:r>
      <w:r w:rsidR="000D4E11" w:rsidRPr="2E96ABE4">
        <w:rPr>
          <w:rFonts w:cs="Times New Roman"/>
        </w:rPr>
      </w:r>
      <w:r w:rsidR="000D4E11" w:rsidRPr="2E96ABE4">
        <w:rPr>
          <w:rFonts w:cs="Times New Roman"/>
        </w:rPr>
        <w:fldChar w:fldCharType="separate"/>
      </w:r>
      <w:r w:rsidR="00BC37D8" w:rsidRPr="00BC37D8">
        <w:t xml:space="preserve">Figure </w:t>
      </w:r>
      <w:r w:rsidR="00BC37D8" w:rsidRPr="00BC37D8">
        <w:rPr>
          <w:noProof/>
        </w:rPr>
        <w:t>1</w:t>
      </w:r>
      <w:r w:rsidR="000D4E11" w:rsidRPr="2E96ABE4">
        <w:rPr>
          <w:rFonts w:cs="Times New Roman"/>
        </w:rPr>
        <w:fldChar w:fldCharType="end"/>
      </w:r>
      <w:r w:rsidR="000D4E11" w:rsidRPr="2E96ABE4">
        <w:rPr>
          <w:rFonts w:cs="Times New Roman"/>
        </w:rPr>
        <w:t>.  In general, short sel</w:t>
      </w:r>
      <w:r w:rsidR="005B76C6" w:rsidRPr="2E96ABE4">
        <w:rPr>
          <w:rFonts w:cs="Times New Roman"/>
        </w:rPr>
        <w:t>ler</w:t>
      </w:r>
      <w:r w:rsidR="00D61D36" w:rsidRPr="2E96ABE4">
        <w:rPr>
          <w:rFonts w:cs="Times New Roman"/>
        </w:rPr>
        <w:t>s</w:t>
      </w:r>
      <w:r w:rsidR="005B76C6" w:rsidRPr="2E96ABE4">
        <w:rPr>
          <w:rFonts w:cs="Times New Roman"/>
        </w:rPr>
        <w:t xml:space="preserve"> gravitate towards the securities of issuers and sectors where there is a perceived </w:t>
      </w:r>
      <w:r w:rsidR="00775228" w:rsidRPr="2E96ABE4">
        <w:rPr>
          <w:rFonts w:cs="Times New Roman"/>
        </w:rPr>
        <w:t>overvaluation</w:t>
      </w:r>
      <w:r w:rsidR="003E7850" w:rsidRPr="2E96ABE4">
        <w:rPr>
          <w:rFonts w:cs="Times New Roman"/>
        </w:rPr>
        <w:t xml:space="preserve"> (See Figure 2).</w:t>
      </w:r>
      <w:r w:rsidR="00F709D4" w:rsidRPr="2E96ABE4">
        <w:rPr>
          <w:rStyle w:val="FootnoteReference"/>
          <w:rFonts w:cs="Times New Roman"/>
        </w:rPr>
        <w:footnoteReference w:id="41"/>
      </w:r>
      <w:r w:rsidR="006D2BD5" w:rsidRPr="2E96ABE4">
        <w:rPr>
          <w:rFonts w:cs="Times New Roman"/>
        </w:rPr>
        <w:t xml:space="preserve"> </w:t>
      </w:r>
      <w:r w:rsidR="000D4E11" w:rsidRPr="2E96ABE4">
        <w:rPr>
          <w:rFonts w:cs="Times New Roman"/>
        </w:rPr>
        <w:t xml:space="preserve"> </w:t>
      </w:r>
      <w:r w:rsidR="006D63C2" w:rsidRPr="2E96ABE4">
        <w:rPr>
          <w:rFonts w:cs="Times New Roman"/>
        </w:rPr>
        <w:t>In peak</w:t>
      </w:r>
      <w:r w:rsidR="00775228" w:rsidRPr="2E96ABE4">
        <w:rPr>
          <w:rFonts w:cs="Times New Roman"/>
        </w:rPr>
        <w:t xml:space="preserve"> Campaign</w:t>
      </w:r>
      <w:r w:rsidR="006D63C2" w:rsidRPr="2E96ABE4">
        <w:rPr>
          <w:rFonts w:cs="Times New Roman"/>
        </w:rPr>
        <w:t xml:space="preserve"> years</w:t>
      </w:r>
      <w:r w:rsidR="00943778" w:rsidRPr="2E96ABE4">
        <w:rPr>
          <w:rFonts w:cs="Times New Roman"/>
        </w:rPr>
        <w:t>,</w:t>
      </w:r>
      <w:r w:rsidR="006D63C2" w:rsidRPr="2E96ABE4">
        <w:rPr>
          <w:rFonts w:cs="Times New Roman"/>
        </w:rPr>
        <w:t xml:space="preserve"> this is evident as</w:t>
      </w:r>
      <w:r w:rsidR="000D4E11" w:rsidRPr="2E96ABE4">
        <w:rPr>
          <w:rFonts w:cs="Times New Roman"/>
        </w:rPr>
        <w:t xml:space="preserve"> activist short sellers</w:t>
      </w:r>
      <w:r w:rsidR="006D63C2" w:rsidRPr="2E96ABE4">
        <w:rPr>
          <w:rFonts w:cs="Times New Roman"/>
        </w:rPr>
        <w:t xml:space="preserve"> targeted</w:t>
      </w:r>
      <w:r w:rsidR="000D4E11" w:rsidRPr="2E96ABE4">
        <w:rPr>
          <w:rFonts w:cs="Times New Roman"/>
        </w:rPr>
        <w:t xml:space="preserve"> </w:t>
      </w:r>
      <w:r w:rsidR="006D63C2" w:rsidRPr="2E96ABE4">
        <w:rPr>
          <w:rFonts w:cs="Times New Roman"/>
        </w:rPr>
        <w:t xml:space="preserve">Canadian </w:t>
      </w:r>
      <w:r w:rsidR="000D4E11" w:rsidRPr="2E96ABE4">
        <w:rPr>
          <w:rFonts w:cs="Times New Roman"/>
        </w:rPr>
        <w:t>issuers in specific, potentially overheated, sectors.</w:t>
      </w:r>
      <w:r w:rsidR="006D2BD5" w:rsidRPr="2E96ABE4">
        <w:rPr>
          <w:rFonts w:cs="Times New Roman"/>
        </w:rPr>
        <w:t xml:space="preserve"> </w:t>
      </w:r>
      <w:r w:rsidR="000D4E11" w:rsidRPr="2E96ABE4">
        <w:rPr>
          <w:rFonts w:cs="Times New Roman"/>
        </w:rPr>
        <w:t xml:space="preserve"> For instance, in 2018 </w:t>
      </w:r>
      <w:r w:rsidR="006D63C2" w:rsidRPr="2E96ABE4">
        <w:rPr>
          <w:rFonts w:cs="Times New Roman"/>
        </w:rPr>
        <w:t xml:space="preserve">among </w:t>
      </w:r>
      <w:r w:rsidR="000D4E11" w:rsidRPr="2E96ABE4">
        <w:rPr>
          <w:rFonts w:cs="Times New Roman"/>
        </w:rPr>
        <w:t xml:space="preserve">a record 17 Canadian </w:t>
      </w:r>
      <w:r w:rsidR="006D63C2" w:rsidRPr="2E96ABE4">
        <w:rPr>
          <w:rFonts w:cs="Times New Roman"/>
        </w:rPr>
        <w:t>targets</w:t>
      </w:r>
      <w:r w:rsidR="000D4E11" w:rsidRPr="2E96ABE4">
        <w:rPr>
          <w:rFonts w:cs="Times New Roman"/>
        </w:rPr>
        <w:t>, approximately 35% (or 6</w:t>
      </w:r>
      <w:r w:rsidR="006D63C2" w:rsidRPr="2E96ABE4">
        <w:rPr>
          <w:rFonts w:cs="Times New Roman"/>
        </w:rPr>
        <w:t xml:space="preserve"> targets</w:t>
      </w:r>
      <w:r w:rsidR="000D4E11" w:rsidRPr="2E96ABE4">
        <w:rPr>
          <w:rFonts w:cs="Times New Roman"/>
        </w:rPr>
        <w:t xml:space="preserve">) were </w:t>
      </w:r>
      <w:r w:rsidR="006D63C2" w:rsidRPr="2E96ABE4">
        <w:rPr>
          <w:rFonts w:cs="Times New Roman"/>
        </w:rPr>
        <w:t xml:space="preserve">operating </w:t>
      </w:r>
      <w:r w:rsidR="000D4E11" w:rsidRPr="2E96ABE4">
        <w:rPr>
          <w:rFonts w:cs="Times New Roman"/>
        </w:rPr>
        <w:t>in the cannabis industry.</w:t>
      </w:r>
      <w:r w:rsidR="000D4E11" w:rsidRPr="00554961">
        <w:rPr>
          <w:vertAlign w:val="superscript"/>
        </w:rPr>
        <w:footnoteReference w:id="42"/>
      </w:r>
      <w:r w:rsidR="000D4E11" w:rsidRPr="2E96ABE4">
        <w:rPr>
          <w:rFonts w:cs="Times New Roman"/>
        </w:rPr>
        <w:t xml:space="preserve"> </w:t>
      </w:r>
      <w:r w:rsidR="006D2BD5" w:rsidRPr="2E96ABE4">
        <w:rPr>
          <w:rFonts w:cs="Times New Roman"/>
        </w:rPr>
        <w:t xml:space="preserve"> </w:t>
      </w:r>
      <w:r w:rsidR="000D4E11" w:rsidRPr="2E96ABE4">
        <w:rPr>
          <w:rFonts w:cs="Times New Roman"/>
        </w:rPr>
        <w:t xml:space="preserve">However, Campaign activity was largely muted in 2017 with 8 Canadian targets and in 2019 with only </w:t>
      </w:r>
      <w:r w:rsidR="00226A74">
        <w:rPr>
          <w:rFonts w:cs="Times New Roman"/>
        </w:rPr>
        <w:t>7</w:t>
      </w:r>
      <w:r w:rsidR="000D4E11" w:rsidRPr="2E96ABE4">
        <w:rPr>
          <w:rFonts w:cs="Times New Roman"/>
        </w:rPr>
        <w:t xml:space="preserve"> Canadian targets. </w:t>
      </w:r>
      <w:r w:rsidR="00940878">
        <w:rPr>
          <w:rFonts w:cs="Times New Roman"/>
        </w:rPr>
        <w:t xml:space="preserve"> In 2020, there have been 12 new campaigns targeting Canadian issuers as of September 2020, however 4 of those Canadian issuers were</w:t>
      </w:r>
      <w:r w:rsidR="00B906C5">
        <w:rPr>
          <w:rFonts w:cs="Times New Roman"/>
        </w:rPr>
        <w:t xml:space="preserve"> also the</w:t>
      </w:r>
      <w:r w:rsidR="00940878">
        <w:rPr>
          <w:rFonts w:cs="Times New Roman"/>
        </w:rPr>
        <w:t xml:space="preserve"> targe</w:t>
      </w:r>
      <w:r w:rsidR="00B906C5">
        <w:rPr>
          <w:rFonts w:cs="Times New Roman"/>
        </w:rPr>
        <w:t>t</w:t>
      </w:r>
      <w:r w:rsidR="00940878">
        <w:rPr>
          <w:rFonts w:cs="Times New Roman"/>
        </w:rPr>
        <w:t xml:space="preserve"> </w:t>
      </w:r>
      <w:r w:rsidR="00B906C5">
        <w:rPr>
          <w:rFonts w:cs="Times New Roman"/>
        </w:rPr>
        <w:t>of</w:t>
      </w:r>
      <w:r w:rsidR="00940878">
        <w:rPr>
          <w:rFonts w:cs="Times New Roman"/>
        </w:rPr>
        <w:t xml:space="preserve"> activist short sellers in pr</w:t>
      </w:r>
      <w:r w:rsidR="00B906C5">
        <w:rPr>
          <w:rFonts w:cs="Times New Roman"/>
        </w:rPr>
        <w:t>ior</w:t>
      </w:r>
      <w:r w:rsidR="00940878">
        <w:rPr>
          <w:rFonts w:cs="Times New Roman"/>
        </w:rPr>
        <w:t xml:space="preserve"> years.  </w:t>
      </w:r>
    </w:p>
    <w:p w14:paraId="7742E3D3" w14:textId="7C53A80D" w:rsidR="00011B9A" w:rsidRPr="00735CC8" w:rsidRDefault="00011B9A" w:rsidP="00624C0A">
      <w:pPr>
        <w:pStyle w:val="FIGURES"/>
        <w:rPr>
          <w:color w:val="1F497D" w:themeColor="text2"/>
          <w:sz w:val="22"/>
          <w:szCs w:val="22"/>
        </w:rPr>
      </w:pPr>
      <w:r w:rsidRPr="00735CC8">
        <w:rPr>
          <w:color w:val="1F497D" w:themeColor="text2"/>
          <w:sz w:val="22"/>
          <w:szCs w:val="22"/>
        </w:rPr>
        <w:lastRenderedPageBreak/>
        <w:t xml:space="preserve">Figure </w:t>
      </w:r>
      <w:r w:rsidRPr="00735CC8">
        <w:rPr>
          <w:color w:val="1F497D" w:themeColor="text2"/>
          <w:sz w:val="22"/>
          <w:szCs w:val="22"/>
        </w:rPr>
        <w:fldChar w:fldCharType="begin"/>
      </w:r>
      <w:r w:rsidRPr="00735CC8">
        <w:rPr>
          <w:color w:val="1F497D" w:themeColor="text2"/>
          <w:sz w:val="22"/>
          <w:szCs w:val="22"/>
        </w:rPr>
        <w:instrText>SEQ Figure \* ARABIC</w:instrText>
      </w:r>
      <w:r w:rsidRPr="00735CC8">
        <w:rPr>
          <w:color w:val="1F497D" w:themeColor="text2"/>
          <w:sz w:val="22"/>
          <w:szCs w:val="22"/>
        </w:rPr>
        <w:fldChar w:fldCharType="separate"/>
      </w:r>
      <w:r w:rsidR="00BC37D8">
        <w:rPr>
          <w:noProof/>
          <w:color w:val="1F497D" w:themeColor="text2"/>
          <w:sz w:val="22"/>
          <w:szCs w:val="22"/>
        </w:rPr>
        <w:t>2</w:t>
      </w:r>
      <w:r w:rsidRPr="00735CC8">
        <w:rPr>
          <w:color w:val="1F497D" w:themeColor="text2"/>
          <w:sz w:val="22"/>
          <w:szCs w:val="22"/>
        </w:rPr>
        <w:fldChar w:fldCharType="end"/>
      </w:r>
      <w:r w:rsidRPr="00735CC8">
        <w:rPr>
          <w:color w:val="1F497D" w:themeColor="text2"/>
          <w:sz w:val="22"/>
          <w:szCs w:val="22"/>
        </w:rPr>
        <w:t xml:space="preserve"> - </w:t>
      </w:r>
      <w:r w:rsidR="000C6B65" w:rsidRPr="00735CC8">
        <w:rPr>
          <w:color w:val="1F497D" w:themeColor="text2"/>
          <w:sz w:val="22"/>
          <w:szCs w:val="22"/>
        </w:rPr>
        <w:t xml:space="preserve">Activist Short Seller </w:t>
      </w:r>
      <w:r w:rsidR="00476F21" w:rsidRPr="00735CC8">
        <w:rPr>
          <w:color w:val="1F497D" w:themeColor="text2"/>
          <w:sz w:val="22"/>
          <w:szCs w:val="22"/>
        </w:rPr>
        <w:t>Target</w:t>
      </w:r>
      <w:r w:rsidR="000C6B65" w:rsidRPr="00735CC8">
        <w:rPr>
          <w:color w:val="1F497D" w:themeColor="text2"/>
          <w:sz w:val="22"/>
          <w:szCs w:val="22"/>
        </w:rPr>
        <w:t>s</w:t>
      </w:r>
      <w:r w:rsidR="00476F21" w:rsidRPr="00735CC8">
        <w:rPr>
          <w:color w:val="1F497D" w:themeColor="text2"/>
          <w:sz w:val="22"/>
          <w:szCs w:val="22"/>
        </w:rPr>
        <w:t xml:space="preserve"> </w:t>
      </w:r>
      <w:r w:rsidRPr="00735CC8">
        <w:rPr>
          <w:color w:val="1F497D" w:themeColor="text2"/>
          <w:sz w:val="22"/>
          <w:szCs w:val="22"/>
        </w:rPr>
        <w:t>by Sector</w:t>
      </w:r>
      <w:r w:rsidR="000C6B65" w:rsidRPr="00735CC8">
        <w:rPr>
          <w:color w:val="1F497D" w:themeColor="text2"/>
          <w:sz w:val="22"/>
          <w:szCs w:val="22"/>
        </w:rPr>
        <w:t xml:space="preserve"> (2010 – Sept. 2020)</w:t>
      </w:r>
      <w:r w:rsidR="00476F21" w:rsidRPr="00735CC8">
        <w:rPr>
          <w:rStyle w:val="FootnoteReference"/>
          <w:color w:val="1F497D" w:themeColor="text2"/>
          <w:sz w:val="22"/>
          <w:szCs w:val="22"/>
        </w:rPr>
        <w:footnoteReference w:id="43"/>
      </w:r>
    </w:p>
    <w:p w14:paraId="5C2B012C" w14:textId="77777777" w:rsidR="00FA0FF7" w:rsidRDefault="00FA0FF7" w:rsidP="00624C0A">
      <w:pPr>
        <w:spacing w:after="0"/>
        <w:ind w:left="360"/>
        <w:jc w:val="center"/>
        <w:rPr>
          <w:rFonts w:cs="Times New Roman"/>
          <w:b/>
          <w:szCs w:val="24"/>
        </w:rPr>
      </w:pPr>
      <w:r>
        <w:rPr>
          <w:rFonts w:cs="Times New Roman"/>
          <w:b/>
          <w:noProof/>
          <w:szCs w:val="24"/>
          <w:lang w:val="en-US" w:eastAsia="en-US"/>
        </w:rPr>
        <w:drawing>
          <wp:inline distT="0" distB="0" distL="0" distR="0" wp14:anchorId="53812923" wp14:editId="2F8A9E39">
            <wp:extent cx="4255981" cy="2384190"/>
            <wp:effectExtent l="0" t="0" r="0" b="0"/>
            <wp:docPr id="3" name="Picture 3" descr="Bar graph of activist short seller targets by sector between 2010 to September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y Sector.emf"/>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259030" cy="2385898"/>
                    </a:xfrm>
                    <a:prstGeom prst="rect">
                      <a:avLst/>
                    </a:prstGeom>
                    <a:ln>
                      <a:noFill/>
                    </a:ln>
                    <a:extLst>
                      <a:ext uri="{53640926-AAD7-44D8-BBD7-CCE9431645EC}">
                        <a14:shadowObscured xmlns:a14="http://schemas.microsoft.com/office/drawing/2010/main"/>
                      </a:ext>
                    </a:extLst>
                  </pic:spPr>
                </pic:pic>
              </a:graphicData>
            </a:graphic>
          </wp:inline>
        </w:drawing>
      </w:r>
      <w:r w:rsidR="00011B9A">
        <w:rPr>
          <w:rFonts w:cs="Times New Roman"/>
          <w:b/>
          <w:noProof/>
          <w:szCs w:val="24"/>
          <w:lang w:val="en-US" w:eastAsia="en-US"/>
        </w:rPr>
        <w:drawing>
          <wp:inline distT="0" distB="0" distL="0" distR="0" wp14:anchorId="22C22475" wp14:editId="4F65E5BF">
            <wp:extent cx="1202317" cy="728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gend.emf"/>
                    <pic:cNvPicPr/>
                  </pic:nvPicPr>
                  <pic:blipFill rotWithShape="1">
                    <a:blip r:embed="rId14" cstate="print">
                      <a:extLst>
                        <a:ext uri="{28A0092B-C50C-407E-A947-70E740481C1C}">
                          <a14:useLocalDpi xmlns:a14="http://schemas.microsoft.com/office/drawing/2010/main" val="0"/>
                        </a:ext>
                      </a:extLst>
                    </a:blip>
                    <a:srcRect t="1" b="-29980"/>
                    <a:stretch/>
                  </pic:blipFill>
                  <pic:spPr bwMode="auto">
                    <a:xfrm>
                      <a:off x="0" y="0"/>
                      <a:ext cx="1203025" cy="729233"/>
                    </a:xfrm>
                    <a:prstGeom prst="rect">
                      <a:avLst/>
                    </a:prstGeom>
                    <a:ln>
                      <a:noFill/>
                    </a:ln>
                    <a:extLst>
                      <a:ext uri="{53640926-AAD7-44D8-BBD7-CCE9431645EC}">
                        <a14:shadowObscured xmlns:a14="http://schemas.microsoft.com/office/drawing/2010/main"/>
                      </a:ext>
                    </a:extLst>
                  </pic:spPr>
                </pic:pic>
              </a:graphicData>
            </a:graphic>
          </wp:inline>
        </w:drawing>
      </w:r>
    </w:p>
    <w:p w14:paraId="78D8E7FF" w14:textId="77777777" w:rsidR="008E74FA" w:rsidRPr="006110C2" w:rsidRDefault="008B6870" w:rsidP="000902F5">
      <w:pPr>
        <w:pStyle w:val="SUB-SECTION"/>
        <w:ind w:left="924" w:hanging="357"/>
        <w:jc w:val="left"/>
        <w:rPr>
          <w:b w:val="0"/>
        </w:rPr>
      </w:pPr>
      <w:r>
        <w:t>Canadian Campaign Characteristics</w:t>
      </w:r>
    </w:p>
    <w:p w14:paraId="34491ADF" w14:textId="77777777" w:rsidR="004618FC" w:rsidRDefault="00495347" w:rsidP="000902F5">
      <w:pPr>
        <w:spacing w:after="0"/>
        <w:rPr>
          <w:rFonts w:cs="Times New Roman"/>
          <w:szCs w:val="24"/>
        </w:rPr>
      </w:pPr>
      <w:r>
        <w:rPr>
          <w:rFonts w:cs="Times New Roman"/>
          <w:szCs w:val="24"/>
        </w:rPr>
        <w:t xml:space="preserve">The following </w:t>
      </w:r>
      <w:r w:rsidR="00924DE8">
        <w:rPr>
          <w:rFonts w:cs="Times New Roman"/>
          <w:szCs w:val="24"/>
        </w:rPr>
        <w:t xml:space="preserve">highlights </w:t>
      </w:r>
      <w:r w:rsidR="00263947">
        <w:rPr>
          <w:rFonts w:cs="Times New Roman"/>
          <w:szCs w:val="24"/>
        </w:rPr>
        <w:t>select</w:t>
      </w:r>
      <w:r>
        <w:rPr>
          <w:rFonts w:cs="Times New Roman"/>
          <w:szCs w:val="24"/>
        </w:rPr>
        <w:t xml:space="preserve"> Campaign characteristics to provide a better understanding of the  </w:t>
      </w:r>
      <w:r w:rsidR="00300C93">
        <w:rPr>
          <w:rFonts w:cs="Times New Roman"/>
          <w:szCs w:val="24"/>
        </w:rPr>
        <w:t xml:space="preserve"> </w:t>
      </w:r>
      <w:r>
        <w:rPr>
          <w:rFonts w:cs="Times New Roman"/>
          <w:szCs w:val="24"/>
        </w:rPr>
        <w:t xml:space="preserve"> types of</w:t>
      </w:r>
      <w:r w:rsidR="00300C93">
        <w:rPr>
          <w:rFonts w:cs="Times New Roman"/>
          <w:szCs w:val="24"/>
        </w:rPr>
        <w:t xml:space="preserve"> Canadian issuers targeted</w:t>
      </w:r>
      <w:r w:rsidR="003F4CB5">
        <w:rPr>
          <w:rFonts w:cs="Times New Roman"/>
          <w:szCs w:val="24"/>
        </w:rPr>
        <w:t>;</w:t>
      </w:r>
      <w:r w:rsidR="00300C93">
        <w:rPr>
          <w:rFonts w:cs="Times New Roman"/>
          <w:szCs w:val="24"/>
        </w:rPr>
        <w:t xml:space="preserve"> </w:t>
      </w:r>
      <w:r w:rsidR="00B573AB">
        <w:rPr>
          <w:rFonts w:cs="Times New Roman"/>
          <w:szCs w:val="24"/>
        </w:rPr>
        <w:t xml:space="preserve">the target size; </w:t>
      </w:r>
      <w:r w:rsidR="00263947">
        <w:rPr>
          <w:rFonts w:cs="Times New Roman"/>
          <w:szCs w:val="24"/>
        </w:rPr>
        <w:t xml:space="preserve">the stock price impact; </w:t>
      </w:r>
      <w:r w:rsidR="00924DE8">
        <w:rPr>
          <w:rFonts w:cs="Times New Roman"/>
          <w:szCs w:val="24"/>
        </w:rPr>
        <w:t xml:space="preserve">the </w:t>
      </w:r>
      <w:r>
        <w:rPr>
          <w:rFonts w:cs="Times New Roman"/>
          <w:szCs w:val="24"/>
        </w:rPr>
        <w:t xml:space="preserve">pattern of </w:t>
      </w:r>
      <w:r w:rsidR="00300C93">
        <w:rPr>
          <w:rFonts w:cs="Times New Roman"/>
          <w:szCs w:val="24"/>
        </w:rPr>
        <w:t>allegations</w:t>
      </w:r>
      <w:r w:rsidR="003F4CB5">
        <w:rPr>
          <w:rFonts w:cs="Times New Roman"/>
          <w:szCs w:val="24"/>
        </w:rPr>
        <w:t xml:space="preserve"> made by activist short sellers</w:t>
      </w:r>
      <w:r>
        <w:rPr>
          <w:rFonts w:cs="Times New Roman"/>
          <w:szCs w:val="24"/>
        </w:rPr>
        <w:t xml:space="preserve">; </w:t>
      </w:r>
      <w:r w:rsidR="00300C93">
        <w:rPr>
          <w:rFonts w:cs="Times New Roman"/>
          <w:szCs w:val="24"/>
        </w:rPr>
        <w:t xml:space="preserve">and </w:t>
      </w:r>
      <w:r w:rsidR="003F4CB5">
        <w:rPr>
          <w:rFonts w:cs="Times New Roman"/>
          <w:szCs w:val="24"/>
        </w:rPr>
        <w:t>the proportion of targets</w:t>
      </w:r>
      <w:r w:rsidR="00924DE8">
        <w:rPr>
          <w:rFonts w:cs="Times New Roman"/>
          <w:szCs w:val="24"/>
        </w:rPr>
        <w:t xml:space="preserve"> that engaged in a strategic response or</w:t>
      </w:r>
      <w:r w:rsidR="003F4CB5">
        <w:rPr>
          <w:rFonts w:cs="Times New Roman"/>
          <w:szCs w:val="24"/>
        </w:rPr>
        <w:t xml:space="preserve"> </w:t>
      </w:r>
      <w:r w:rsidR="00FC4BC3">
        <w:rPr>
          <w:rFonts w:cs="Times New Roman"/>
          <w:szCs w:val="24"/>
        </w:rPr>
        <w:t>were</w:t>
      </w:r>
      <w:r w:rsidR="00300C93">
        <w:rPr>
          <w:rFonts w:cs="Times New Roman"/>
          <w:szCs w:val="24"/>
        </w:rPr>
        <w:t xml:space="preserve"> </w:t>
      </w:r>
      <w:r w:rsidR="00FC4BC3">
        <w:rPr>
          <w:rFonts w:cs="Times New Roman"/>
          <w:szCs w:val="24"/>
        </w:rPr>
        <w:t>impacted</w:t>
      </w:r>
      <w:r w:rsidR="003F4CB5">
        <w:rPr>
          <w:rFonts w:cs="Times New Roman"/>
          <w:szCs w:val="24"/>
        </w:rPr>
        <w:t xml:space="preserve"> by certain negative outcomes</w:t>
      </w:r>
      <w:r w:rsidR="00924DE8">
        <w:rPr>
          <w:rFonts w:cs="Times New Roman"/>
          <w:szCs w:val="24"/>
        </w:rPr>
        <w:t xml:space="preserve"> </w:t>
      </w:r>
      <w:r w:rsidR="002E5F47">
        <w:rPr>
          <w:rFonts w:cs="Times New Roman"/>
          <w:szCs w:val="24"/>
        </w:rPr>
        <w:t xml:space="preserve">during </w:t>
      </w:r>
      <w:r w:rsidR="00924DE8">
        <w:rPr>
          <w:rFonts w:cs="Times New Roman"/>
          <w:szCs w:val="24"/>
        </w:rPr>
        <w:t xml:space="preserve">the Campaign as </w:t>
      </w:r>
      <w:r w:rsidR="002E5F47">
        <w:rPr>
          <w:rFonts w:cs="Times New Roman"/>
          <w:szCs w:val="24"/>
        </w:rPr>
        <w:t>identified</w:t>
      </w:r>
      <w:r w:rsidR="00924DE8">
        <w:rPr>
          <w:rFonts w:cs="Times New Roman"/>
          <w:szCs w:val="24"/>
        </w:rPr>
        <w:t xml:space="preserve"> by AI</w:t>
      </w:r>
      <w:r w:rsidR="00FC4BC3">
        <w:rPr>
          <w:rFonts w:cs="Times New Roman"/>
          <w:szCs w:val="24"/>
        </w:rPr>
        <w:t>.</w:t>
      </w:r>
      <w:r w:rsidR="00300C93">
        <w:rPr>
          <w:rFonts w:cs="Times New Roman"/>
          <w:szCs w:val="24"/>
        </w:rPr>
        <w:t xml:space="preserve"> </w:t>
      </w:r>
      <w:r w:rsidR="00300C93" w:rsidRPr="00530466">
        <w:rPr>
          <w:rFonts w:cs="Times New Roman"/>
          <w:b/>
          <w:szCs w:val="24"/>
        </w:rPr>
        <w:t xml:space="preserve">  </w:t>
      </w:r>
    </w:p>
    <w:p w14:paraId="7398B2F4" w14:textId="77777777" w:rsidR="000816EE" w:rsidRPr="00A143CB" w:rsidRDefault="00E74D6F" w:rsidP="000902F5">
      <w:pPr>
        <w:pStyle w:val="ListParagraph"/>
        <w:numPr>
          <w:ilvl w:val="2"/>
          <w:numId w:val="6"/>
        </w:numPr>
        <w:spacing w:before="200"/>
        <w:ind w:left="1803" w:hanging="181"/>
        <w:rPr>
          <w:rStyle w:val="SubtleEmphasis"/>
          <w:color w:val="auto"/>
        </w:rPr>
      </w:pPr>
      <w:r w:rsidRPr="00A143CB">
        <w:rPr>
          <w:rStyle w:val="SubtleEmphasis"/>
          <w:color w:val="auto"/>
        </w:rPr>
        <w:t>T</w:t>
      </w:r>
      <w:r w:rsidR="00C74D34" w:rsidRPr="00A143CB">
        <w:rPr>
          <w:rStyle w:val="SubtleEmphasis"/>
          <w:color w:val="auto"/>
        </w:rPr>
        <w:t>arget Size</w:t>
      </w:r>
      <w:r w:rsidR="00DB4612" w:rsidRPr="00A143CB">
        <w:rPr>
          <w:rStyle w:val="SubtleEmphasis"/>
          <w:color w:val="auto"/>
        </w:rPr>
        <w:t xml:space="preserve"> </w:t>
      </w:r>
    </w:p>
    <w:p w14:paraId="44162198" w14:textId="66CCA03F" w:rsidR="00BC56DA" w:rsidRDefault="00B776BE" w:rsidP="000902F5">
      <w:pPr>
        <w:spacing w:after="0"/>
        <w:rPr>
          <w:rStyle w:val="SubtleEmphasis"/>
        </w:rPr>
      </w:pPr>
      <w:r w:rsidRPr="2E96ABE4">
        <w:rPr>
          <w:rFonts w:cs="Times New Roman"/>
        </w:rPr>
        <w:t>T</w:t>
      </w:r>
      <w:r w:rsidR="006579C0" w:rsidRPr="2E96ABE4">
        <w:rPr>
          <w:rFonts w:cs="Times New Roman"/>
        </w:rPr>
        <w:t xml:space="preserve">he Campaigns </w:t>
      </w:r>
      <w:r w:rsidR="004618FC" w:rsidRPr="2E96ABE4">
        <w:rPr>
          <w:rFonts w:cs="Times New Roman"/>
        </w:rPr>
        <w:t>tend</w:t>
      </w:r>
      <w:r w:rsidR="00943778" w:rsidRPr="2E96ABE4">
        <w:rPr>
          <w:rFonts w:cs="Times New Roman"/>
        </w:rPr>
        <w:t>ed</w:t>
      </w:r>
      <w:r w:rsidR="004618FC" w:rsidRPr="2E96ABE4">
        <w:rPr>
          <w:rFonts w:cs="Times New Roman"/>
        </w:rPr>
        <w:t xml:space="preserve"> to be focused on relatively large</w:t>
      </w:r>
      <w:r w:rsidR="00C3258D" w:rsidRPr="2E96ABE4">
        <w:rPr>
          <w:rFonts w:cs="Times New Roman"/>
        </w:rPr>
        <w:t>r</w:t>
      </w:r>
      <w:r w:rsidR="004618FC" w:rsidRPr="2E96ABE4">
        <w:rPr>
          <w:rFonts w:cs="Times New Roman"/>
        </w:rPr>
        <w:t xml:space="preserve"> issuers (</w:t>
      </w:r>
      <w:r w:rsidR="004618FC" w:rsidRPr="002E6B40">
        <w:rPr>
          <w:rFonts w:cs="Times New Roman"/>
        </w:rPr>
        <w:t>with a median market capitalization of $</w:t>
      </w:r>
      <w:r w:rsidR="00A92DB0">
        <w:rPr>
          <w:rFonts w:cs="Times New Roman"/>
        </w:rPr>
        <w:t>867</w:t>
      </w:r>
      <w:r w:rsidR="004618FC" w:rsidRPr="002E6B40">
        <w:rPr>
          <w:rFonts w:cs="Times New Roman"/>
        </w:rPr>
        <w:t xml:space="preserve"> million</w:t>
      </w:r>
      <w:r w:rsidR="00AF5187" w:rsidRPr="002E6B40">
        <w:rPr>
          <w:rFonts w:cs="Times New Roman"/>
        </w:rPr>
        <w:t xml:space="preserve"> and average market capi</w:t>
      </w:r>
      <w:r w:rsidR="00FD0927" w:rsidRPr="002E6B40">
        <w:rPr>
          <w:rFonts w:cs="Times New Roman"/>
        </w:rPr>
        <w:t>talization of $</w:t>
      </w:r>
      <w:r w:rsidR="00387A7F" w:rsidRPr="002E6B40">
        <w:rPr>
          <w:rFonts w:cs="Times New Roman"/>
        </w:rPr>
        <w:t>4</w:t>
      </w:r>
      <w:r w:rsidR="00FD0927" w:rsidRPr="002E6B40">
        <w:rPr>
          <w:rFonts w:cs="Times New Roman"/>
        </w:rPr>
        <w:t>.</w:t>
      </w:r>
      <w:r w:rsidR="00A92DB0">
        <w:rPr>
          <w:rFonts w:cs="Times New Roman"/>
        </w:rPr>
        <w:t>5</w:t>
      </w:r>
      <w:r w:rsidR="00FD0927" w:rsidRPr="002E6B40">
        <w:rPr>
          <w:rFonts w:cs="Times New Roman"/>
        </w:rPr>
        <w:t xml:space="preserve"> billion</w:t>
      </w:r>
      <w:r w:rsidR="00FD0927" w:rsidRPr="2E96ABE4">
        <w:rPr>
          <w:rStyle w:val="FootnoteReference"/>
          <w:rFonts w:cs="Times New Roman"/>
        </w:rPr>
        <w:footnoteReference w:id="44"/>
      </w:r>
      <w:r w:rsidR="004618FC" w:rsidRPr="2E96ABE4">
        <w:rPr>
          <w:rFonts w:cs="Times New Roman"/>
        </w:rPr>
        <w:t>)</w:t>
      </w:r>
      <w:r w:rsidR="00263947" w:rsidRPr="2E96ABE4">
        <w:rPr>
          <w:rFonts w:cs="Times New Roman"/>
        </w:rPr>
        <w:t xml:space="preserve"> compared to the broader Canadian market</w:t>
      </w:r>
      <w:r w:rsidR="00943778" w:rsidRPr="2E96ABE4">
        <w:rPr>
          <w:rFonts w:cs="Times New Roman"/>
        </w:rPr>
        <w:t>.</w:t>
      </w:r>
      <w:r w:rsidR="004618FC" w:rsidRPr="2E96ABE4">
        <w:rPr>
          <w:rStyle w:val="FootnoteReference"/>
          <w:rFonts w:cs="Times New Roman"/>
        </w:rPr>
        <w:footnoteReference w:id="45"/>
      </w:r>
      <w:r w:rsidR="00943778" w:rsidRPr="2E96ABE4">
        <w:rPr>
          <w:rFonts w:cs="Times New Roman"/>
        </w:rPr>
        <w:t xml:space="preserve"> </w:t>
      </w:r>
      <w:r w:rsidR="00BB155A" w:rsidRPr="2E96ABE4">
        <w:rPr>
          <w:rFonts w:cs="Times New Roman"/>
        </w:rPr>
        <w:t xml:space="preserve"> </w:t>
      </w:r>
      <w:r w:rsidR="00943778" w:rsidRPr="2E96ABE4">
        <w:rPr>
          <w:rFonts w:cs="Times New Roman"/>
        </w:rPr>
        <w:t>This is</w:t>
      </w:r>
      <w:r w:rsidR="008E59FB" w:rsidRPr="2E96ABE4">
        <w:rPr>
          <w:rFonts w:cs="Times New Roman"/>
        </w:rPr>
        <w:t xml:space="preserve"> in some ways not surprising given AI’s focus on prominent activist short sellers but it is also</w:t>
      </w:r>
      <w:r w:rsidR="00943778" w:rsidRPr="2E96ABE4">
        <w:rPr>
          <w:rFonts w:cs="Times New Roman"/>
        </w:rPr>
        <w:t xml:space="preserve"> consistent with the findings of </w:t>
      </w:r>
      <w:r w:rsidR="008B6870" w:rsidRPr="2E96ABE4">
        <w:rPr>
          <w:rFonts w:cs="Times New Roman"/>
        </w:rPr>
        <w:t>U.S. academic studies indicat</w:t>
      </w:r>
      <w:r w:rsidR="00943778" w:rsidRPr="2E96ABE4">
        <w:rPr>
          <w:rFonts w:cs="Times New Roman"/>
        </w:rPr>
        <w:t>ing</w:t>
      </w:r>
      <w:r w:rsidR="008B6870" w:rsidRPr="2E96ABE4">
        <w:rPr>
          <w:rFonts w:cs="Times New Roman"/>
        </w:rPr>
        <w:t xml:space="preserve"> that target firms are more likely to be larger sized issuers with listed securities that are more heavily traded in both the cash and options markets.</w:t>
      </w:r>
      <w:r w:rsidR="008B6870" w:rsidRPr="2E96ABE4">
        <w:rPr>
          <w:rStyle w:val="FootnoteReference"/>
          <w:rFonts w:cs="Times New Roman"/>
        </w:rPr>
        <w:footnoteReference w:id="46"/>
      </w:r>
      <w:r w:rsidR="008B6870" w:rsidRPr="2E96ABE4">
        <w:rPr>
          <w:rFonts w:cs="Times New Roman"/>
        </w:rPr>
        <w:t xml:space="preserve">  </w:t>
      </w:r>
    </w:p>
    <w:p w14:paraId="20138DE0" w14:textId="77777777" w:rsidR="00263947" w:rsidRPr="00A143CB" w:rsidRDefault="00263947" w:rsidP="000902F5">
      <w:pPr>
        <w:pStyle w:val="ListParagraph"/>
        <w:numPr>
          <w:ilvl w:val="2"/>
          <w:numId w:val="6"/>
        </w:numPr>
        <w:spacing w:before="200"/>
        <w:ind w:left="1803" w:hanging="181"/>
        <w:rPr>
          <w:rStyle w:val="SubtleEmphasis"/>
          <w:color w:val="auto"/>
        </w:rPr>
      </w:pPr>
      <w:r w:rsidRPr="00A143CB">
        <w:rPr>
          <w:rStyle w:val="SubtleEmphasis"/>
          <w:color w:val="auto"/>
        </w:rPr>
        <w:t xml:space="preserve">Price Impact </w:t>
      </w:r>
    </w:p>
    <w:p w14:paraId="2936930F" w14:textId="1115BB57" w:rsidR="00E237AB" w:rsidRDefault="00B45BA7" w:rsidP="000902F5">
      <w:pPr>
        <w:rPr>
          <w:rFonts w:cs="Times New Roman"/>
        </w:rPr>
      </w:pPr>
      <w:r w:rsidRPr="2E96ABE4">
        <w:rPr>
          <w:rFonts w:cs="Times New Roman"/>
        </w:rPr>
        <w:t>Most</w:t>
      </w:r>
      <w:r w:rsidR="00263947" w:rsidRPr="2E96ABE4">
        <w:rPr>
          <w:rFonts w:cs="Times New Roman"/>
        </w:rPr>
        <w:t xml:space="preserve"> Campaigns </w:t>
      </w:r>
      <w:r w:rsidRPr="2E96ABE4">
        <w:rPr>
          <w:rFonts w:cs="Times New Roman"/>
        </w:rPr>
        <w:t>a</w:t>
      </w:r>
      <w:r w:rsidR="00263947" w:rsidRPr="2E96ABE4">
        <w:rPr>
          <w:rFonts w:cs="Times New Roman"/>
        </w:rPr>
        <w:t>nalyzed</w:t>
      </w:r>
      <w:r w:rsidR="00700A9F" w:rsidRPr="2E96ABE4">
        <w:rPr>
          <w:rFonts w:cs="Times New Roman"/>
        </w:rPr>
        <w:t xml:space="preserve"> (7</w:t>
      </w:r>
      <w:r w:rsidR="00217025">
        <w:rPr>
          <w:rFonts w:cs="Times New Roman"/>
        </w:rPr>
        <w:t>5</w:t>
      </w:r>
      <w:r w:rsidR="00700A9F" w:rsidRPr="2E96ABE4">
        <w:rPr>
          <w:rFonts w:cs="Times New Roman"/>
        </w:rPr>
        <w:t>%</w:t>
      </w:r>
      <w:r w:rsidR="00B55DF2" w:rsidRPr="2E96ABE4">
        <w:rPr>
          <w:rFonts w:cs="Times New Roman"/>
        </w:rPr>
        <w:t xml:space="preserve"> of targets</w:t>
      </w:r>
      <w:r w:rsidR="00700A9F" w:rsidRPr="2E96ABE4">
        <w:rPr>
          <w:rFonts w:cs="Times New Roman"/>
        </w:rPr>
        <w:t xml:space="preserve">) </w:t>
      </w:r>
      <w:r w:rsidR="00263947" w:rsidRPr="2E96ABE4">
        <w:rPr>
          <w:rFonts w:cs="Times New Roman"/>
        </w:rPr>
        <w:t>experienced a negative price impact on</w:t>
      </w:r>
      <w:r w:rsidR="00700A9F" w:rsidRPr="2E96ABE4">
        <w:rPr>
          <w:rFonts w:cs="Times New Roman"/>
        </w:rPr>
        <w:t xml:space="preserve"> the day of the </w:t>
      </w:r>
      <w:r w:rsidR="00B55DF2" w:rsidRPr="2E96ABE4">
        <w:rPr>
          <w:rFonts w:cs="Times New Roman"/>
        </w:rPr>
        <w:t>first-</w:t>
      </w:r>
      <w:r w:rsidR="00700A9F" w:rsidRPr="2E96ABE4">
        <w:rPr>
          <w:rFonts w:cs="Times New Roman"/>
        </w:rPr>
        <w:t xml:space="preserve">campaign announcement and up to one month after </w:t>
      </w:r>
      <w:r w:rsidR="006258FE" w:rsidRPr="2E96ABE4">
        <w:rPr>
          <w:rFonts w:cs="Times New Roman"/>
        </w:rPr>
        <w:t xml:space="preserve">the </w:t>
      </w:r>
      <w:r w:rsidR="00B55DF2" w:rsidRPr="2E96ABE4">
        <w:rPr>
          <w:rFonts w:cs="Times New Roman"/>
        </w:rPr>
        <w:t>first-c</w:t>
      </w:r>
      <w:r w:rsidR="00700A9F" w:rsidRPr="2E96ABE4">
        <w:rPr>
          <w:rFonts w:cs="Times New Roman"/>
        </w:rPr>
        <w:t>ampaign announcement</w:t>
      </w:r>
      <w:r w:rsidR="006E29FA" w:rsidRPr="2E96ABE4">
        <w:rPr>
          <w:rFonts w:cs="Times New Roman"/>
        </w:rPr>
        <w:t>.</w:t>
      </w:r>
      <w:r w:rsidR="00CE7755" w:rsidRPr="2E96ABE4">
        <w:rPr>
          <w:rStyle w:val="FootnoteReference"/>
          <w:rFonts w:cs="Times New Roman"/>
        </w:rPr>
        <w:footnoteReference w:id="47"/>
      </w:r>
      <w:r w:rsidR="006E29FA" w:rsidRPr="2E96ABE4">
        <w:rPr>
          <w:rFonts w:cs="Times New Roman"/>
        </w:rPr>
        <w:t xml:space="preserve"> </w:t>
      </w:r>
      <w:r w:rsidR="00263947" w:rsidRPr="2E96ABE4">
        <w:rPr>
          <w:rFonts w:cs="Times New Roman"/>
        </w:rPr>
        <w:lastRenderedPageBreak/>
        <w:t>However, the extent of the short-term price impact varie</w:t>
      </w:r>
      <w:r w:rsidR="006E29FA" w:rsidRPr="2E96ABE4">
        <w:rPr>
          <w:rFonts w:cs="Times New Roman"/>
        </w:rPr>
        <w:t xml:space="preserve">d across </w:t>
      </w:r>
      <w:r w:rsidR="00B55DF2" w:rsidRPr="2E96ABE4">
        <w:rPr>
          <w:rFonts w:cs="Times New Roman"/>
        </w:rPr>
        <w:t>targets</w:t>
      </w:r>
      <w:r w:rsidR="006E29FA" w:rsidRPr="2E96ABE4">
        <w:rPr>
          <w:rFonts w:cs="Times New Roman"/>
        </w:rPr>
        <w:t xml:space="preserve"> and also over time</w:t>
      </w:r>
      <w:r w:rsidR="00E37EC3" w:rsidRPr="2E96ABE4">
        <w:rPr>
          <w:rFonts w:cs="Times New Roman"/>
        </w:rPr>
        <w:t xml:space="preserve"> (see Figure 3)</w:t>
      </w:r>
      <w:r w:rsidR="006E29FA" w:rsidRPr="2E96ABE4">
        <w:rPr>
          <w:rFonts w:cs="Times New Roman"/>
        </w:rPr>
        <w:t xml:space="preserve">.  </w:t>
      </w:r>
      <w:r w:rsidR="005F52E0" w:rsidRPr="2E96ABE4">
        <w:rPr>
          <w:rFonts w:cs="Times New Roman"/>
        </w:rPr>
        <w:t xml:space="preserve">Approximately </w:t>
      </w:r>
      <w:r w:rsidR="00764344">
        <w:rPr>
          <w:rFonts w:cs="Times New Roman"/>
        </w:rPr>
        <w:t>26</w:t>
      </w:r>
      <w:r w:rsidR="005F52E0" w:rsidRPr="2E96ABE4">
        <w:rPr>
          <w:rFonts w:cs="Times New Roman"/>
        </w:rPr>
        <w:t xml:space="preserve">% of </w:t>
      </w:r>
      <w:r w:rsidR="00E237AB" w:rsidRPr="2E96ABE4">
        <w:rPr>
          <w:rFonts w:cs="Times New Roman"/>
        </w:rPr>
        <w:t>targets</w:t>
      </w:r>
      <w:r w:rsidR="005F52E0" w:rsidRPr="2E96ABE4">
        <w:rPr>
          <w:rFonts w:cs="Times New Roman"/>
        </w:rPr>
        <w:t xml:space="preserve"> experienced</w:t>
      </w:r>
      <w:r w:rsidR="00E237AB" w:rsidRPr="2E96ABE4">
        <w:rPr>
          <w:rFonts w:cs="Times New Roman"/>
        </w:rPr>
        <w:t xml:space="preserve"> </w:t>
      </w:r>
      <w:r w:rsidR="005F52E0" w:rsidRPr="2E96ABE4">
        <w:rPr>
          <w:rFonts w:cs="Times New Roman"/>
        </w:rPr>
        <w:t xml:space="preserve">less than </w:t>
      </w:r>
      <w:r w:rsidR="00EB32D8" w:rsidRPr="2E96ABE4">
        <w:rPr>
          <w:rFonts w:cs="Times New Roman"/>
        </w:rPr>
        <w:t xml:space="preserve">a </w:t>
      </w:r>
      <w:r w:rsidR="005F52E0" w:rsidRPr="2E96ABE4">
        <w:rPr>
          <w:rFonts w:cs="Times New Roman"/>
        </w:rPr>
        <w:t xml:space="preserve">5% </w:t>
      </w:r>
      <w:r w:rsidR="00E237AB" w:rsidRPr="2E96ABE4">
        <w:rPr>
          <w:rFonts w:cs="Times New Roman"/>
        </w:rPr>
        <w:t xml:space="preserve">price decline on the day of </w:t>
      </w:r>
      <w:r w:rsidR="00994FA1" w:rsidRPr="2E96ABE4">
        <w:rPr>
          <w:rFonts w:cs="Times New Roman"/>
        </w:rPr>
        <w:t xml:space="preserve">the </w:t>
      </w:r>
      <w:r w:rsidR="00B55DF2" w:rsidRPr="2E96ABE4">
        <w:rPr>
          <w:rFonts w:cs="Times New Roman"/>
        </w:rPr>
        <w:t>first-c</w:t>
      </w:r>
      <w:r w:rsidR="00E237AB" w:rsidRPr="2E96ABE4">
        <w:rPr>
          <w:rFonts w:cs="Times New Roman"/>
        </w:rPr>
        <w:t>ampaign announcement.</w:t>
      </w:r>
      <w:r w:rsidR="00E30416" w:rsidRPr="2E96ABE4">
        <w:rPr>
          <w:rFonts w:cs="Times New Roman"/>
        </w:rPr>
        <w:t xml:space="preserve"> </w:t>
      </w:r>
      <w:r w:rsidR="00E237AB" w:rsidRPr="2E96ABE4">
        <w:rPr>
          <w:rFonts w:cs="Times New Roman"/>
        </w:rPr>
        <w:t xml:space="preserve"> </w:t>
      </w:r>
      <w:r w:rsidR="00E37EC3" w:rsidRPr="2E96ABE4">
        <w:rPr>
          <w:rFonts w:cs="Times New Roman"/>
        </w:rPr>
        <w:t xml:space="preserve">The proportion of </w:t>
      </w:r>
      <w:r w:rsidR="00B55DF2" w:rsidRPr="2E96ABE4">
        <w:rPr>
          <w:rFonts w:cs="Times New Roman"/>
        </w:rPr>
        <w:t xml:space="preserve">targets </w:t>
      </w:r>
      <w:r w:rsidR="00E37EC3" w:rsidRPr="2E96ABE4">
        <w:rPr>
          <w:rFonts w:cs="Times New Roman"/>
        </w:rPr>
        <w:t xml:space="preserve">with negative share price returns of 10% or greater increased </w:t>
      </w:r>
      <w:r w:rsidR="002D320A" w:rsidRPr="2E96ABE4">
        <w:rPr>
          <w:rFonts w:cs="Times New Roman"/>
        </w:rPr>
        <w:t xml:space="preserve">over time </w:t>
      </w:r>
      <w:r w:rsidR="00E37EC3" w:rsidRPr="2E96ABE4">
        <w:rPr>
          <w:rFonts w:cs="Times New Roman"/>
        </w:rPr>
        <w:t xml:space="preserve">from </w:t>
      </w:r>
      <w:r w:rsidR="002D320A" w:rsidRPr="2E96ABE4">
        <w:rPr>
          <w:rFonts w:cs="Times New Roman"/>
        </w:rPr>
        <w:t xml:space="preserve">day of </w:t>
      </w:r>
      <w:r w:rsidR="00B55DF2" w:rsidRPr="2E96ABE4">
        <w:rPr>
          <w:rFonts w:cs="Times New Roman"/>
        </w:rPr>
        <w:t xml:space="preserve">first-campaign </w:t>
      </w:r>
      <w:r w:rsidR="002D320A" w:rsidRPr="2E96ABE4">
        <w:rPr>
          <w:rFonts w:cs="Times New Roman"/>
        </w:rPr>
        <w:t>announcement (approximately 3</w:t>
      </w:r>
      <w:r w:rsidR="00764344">
        <w:rPr>
          <w:rFonts w:cs="Times New Roman"/>
        </w:rPr>
        <w:t>0</w:t>
      </w:r>
      <w:r w:rsidR="002D320A" w:rsidRPr="2E96ABE4">
        <w:rPr>
          <w:rFonts w:cs="Times New Roman"/>
        </w:rPr>
        <w:t xml:space="preserve">% of </w:t>
      </w:r>
      <w:r w:rsidR="00B55DF2" w:rsidRPr="2E96ABE4">
        <w:rPr>
          <w:rFonts w:cs="Times New Roman"/>
        </w:rPr>
        <w:t>targets</w:t>
      </w:r>
      <w:r w:rsidR="002D320A" w:rsidRPr="2E96ABE4">
        <w:rPr>
          <w:rFonts w:cs="Times New Roman"/>
        </w:rPr>
        <w:t xml:space="preserve">) </w:t>
      </w:r>
      <w:r w:rsidR="00E37EC3" w:rsidRPr="2E96ABE4">
        <w:rPr>
          <w:rFonts w:cs="Times New Roman"/>
        </w:rPr>
        <w:t xml:space="preserve">to </w:t>
      </w:r>
      <w:r w:rsidR="002D320A" w:rsidRPr="2E96ABE4">
        <w:rPr>
          <w:rFonts w:cs="Times New Roman"/>
        </w:rPr>
        <w:t xml:space="preserve">1-month after </w:t>
      </w:r>
      <w:r w:rsidR="00B55DF2" w:rsidRPr="2E96ABE4">
        <w:rPr>
          <w:rFonts w:cs="Times New Roman"/>
        </w:rPr>
        <w:t xml:space="preserve">first-campaign </w:t>
      </w:r>
      <w:r w:rsidR="002D320A" w:rsidRPr="2E96ABE4">
        <w:rPr>
          <w:rFonts w:cs="Times New Roman"/>
        </w:rPr>
        <w:t>announcement (approximately 4</w:t>
      </w:r>
      <w:r w:rsidR="00764344">
        <w:rPr>
          <w:rFonts w:cs="Times New Roman"/>
        </w:rPr>
        <w:t>5</w:t>
      </w:r>
      <w:r w:rsidR="002D320A" w:rsidRPr="2E96ABE4">
        <w:rPr>
          <w:rFonts w:cs="Times New Roman"/>
        </w:rPr>
        <w:t xml:space="preserve">% of </w:t>
      </w:r>
      <w:r w:rsidR="00B55DF2" w:rsidRPr="2E96ABE4">
        <w:rPr>
          <w:rFonts w:cs="Times New Roman"/>
        </w:rPr>
        <w:t>targets</w:t>
      </w:r>
      <w:r w:rsidR="002D320A" w:rsidRPr="2E96ABE4">
        <w:rPr>
          <w:rFonts w:cs="Times New Roman"/>
        </w:rPr>
        <w:t>)</w:t>
      </w:r>
      <w:r w:rsidR="00E237AB" w:rsidRPr="2E96ABE4">
        <w:rPr>
          <w:rFonts w:cs="Times New Roman"/>
        </w:rPr>
        <w:t>.</w:t>
      </w:r>
      <w:r w:rsidR="00E237AB" w:rsidRPr="2E96ABE4">
        <w:rPr>
          <w:rFonts w:cs="Times New Roman"/>
          <w:vertAlign w:val="superscript"/>
        </w:rPr>
        <w:footnoteReference w:id="48"/>
      </w:r>
    </w:p>
    <w:p w14:paraId="2DB46145" w14:textId="585E733C" w:rsidR="00A41220" w:rsidRDefault="000C1B8A" w:rsidP="00735CC8">
      <w:pPr>
        <w:pStyle w:val="FIGURES"/>
      </w:pPr>
      <w:bookmarkStart w:id="3" w:name="_Ref33720535"/>
      <w:r>
        <w:tab/>
      </w:r>
      <w:r w:rsidR="00A41220" w:rsidRPr="00735CC8">
        <w:rPr>
          <w:color w:val="1F497D" w:themeColor="text2"/>
          <w:sz w:val="22"/>
          <w:szCs w:val="22"/>
        </w:rPr>
        <w:t xml:space="preserve">Figure </w:t>
      </w:r>
      <w:r w:rsidRPr="00735CC8">
        <w:rPr>
          <w:color w:val="1F497D" w:themeColor="text2"/>
          <w:sz w:val="22"/>
          <w:szCs w:val="22"/>
        </w:rPr>
        <w:fldChar w:fldCharType="begin"/>
      </w:r>
      <w:r w:rsidRPr="00735CC8">
        <w:rPr>
          <w:color w:val="1F497D" w:themeColor="text2"/>
          <w:sz w:val="22"/>
          <w:szCs w:val="22"/>
        </w:rPr>
        <w:instrText>SEQ Figure \* ARABIC</w:instrText>
      </w:r>
      <w:r w:rsidRPr="00735CC8">
        <w:rPr>
          <w:color w:val="1F497D" w:themeColor="text2"/>
          <w:sz w:val="22"/>
          <w:szCs w:val="22"/>
        </w:rPr>
        <w:fldChar w:fldCharType="separate"/>
      </w:r>
      <w:r w:rsidR="00BC37D8">
        <w:rPr>
          <w:noProof/>
          <w:color w:val="1F497D" w:themeColor="text2"/>
          <w:sz w:val="22"/>
          <w:szCs w:val="22"/>
        </w:rPr>
        <w:t>3</w:t>
      </w:r>
      <w:r w:rsidRPr="00735CC8">
        <w:rPr>
          <w:color w:val="1F497D" w:themeColor="text2"/>
          <w:sz w:val="22"/>
          <w:szCs w:val="22"/>
        </w:rPr>
        <w:fldChar w:fldCharType="end"/>
      </w:r>
      <w:bookmarkEnd w:id="3"/>
      <w:r w:rsidR="00A41220" w:rsidRPr="00735CC8">
        <w:rPr>
          <w:color w:val="1F497D" w:themeColor="text2"/>
          <w:sz w:val="22"/>
          <w:szCs w:val="22"/>
        </w:rPr>
        <w:t xml:space="preserve"> </w:t>
      </w:r>
      <w:r w:rsidR="005F52E0" w:rsidRPr="00735CC8">
        <w:rPr>
          <w:color w:val="1F497D" w:themeColor="text2"/>
          <w:sz w:val="22"/>
          <w:szCs w:val="22"/>
        </w:rPr>
        <w:t>–</w:t>
      </w:r>
      <w:r w:rsidR="00A41220" w:rsidRPr="00735CC8">
        <w:rPr>
          <w:color w:val="1F497D" w:themeColor="text2"/>
          <w:sz w:val="22"/>
          <w:szCs w:val="22"/>
        </w:rPr>
        <w:t xml:space="preserve"> Share Price Impact</w:t>
      </w:r>
      <w:r w:rsidR="005F52E0" w:rsidRPr="00735CC8">
        <w:rPr>
          <w:color w:val="1F497D" w:themeColor="text2"/>
          <w:sz w:val="22"/>
          <w:szCs w:val="22"/>
        </w:rPr>
        <w:t xml:space="preserve"> of Canadian Target’s First Campaign</w:t>
      </w:r>
      <w:r w:rsidR="000C6B65" w:rsidRPr="00735CC8">
        <w:rPr>
          <w:color w:val="1F497D" w:themeColor="text2"/>
          <w:sz w:val="22"/>
          <w:szCs w:val="22"/>
        </w:rPr>
        <w:t xml:space="preserve"> (</w:t>
      </w:r>
      <w:r w:rsidR="00AA0152" w:rsidRPr="00735CC8">
        <w:rPr>
          <w:color w:val="1F497D" w:themeColor="text2"/>
          <w:sz w:val="22"/>
          <w:szCs w:val="22"/>
        </w:rPr>
        <w:t>2010</w:t>
      </w:r>
      <w:r w:rsidR="00AB6337" w:rsidRPr="00735CC8">
        <w:rPr>
          <w:color w:val="1F497D" w:themeColor="text2"/>
          <w:sz w:val="22"/>
          <w:szCs w:val="22"/>
        </w:rPr>
        <w:t xml:space="preserve"> – Sept. </w:t>
      </w:r>
      <w:r w:rsidR="00AA0152" w:rsidRPr="00735CC8">
        <w:rPr>
          <w:color w:val="1F497D" w:themeColor="text2"/>
          <w:sz w:val="22"/>
          <w:szCs w:val="22"/>
        </w:rPr>
        <w:t>20</w:t>
      </w:r>
      <w:r w:rsidR="00461E41" w:rsidRPr="00735CC8">
        <w:rPr>
          <w:color w:val="1F497D" w:themeColor="text2"/>
          <w:sz w:val="22"/>
          <w:szCs w:val="22"/>
        </w:rPr>
        <w:t>20</w:t>
      </w:r>
      <w:r w:rsidR="00AA0152" w:rsidRPr="00735CC8">
        <w:rPr>
          <w:color w:val="1F497D" w:themeColor="text2"/>
          <w:sz w:val="22"/>
          <w:szCs w:val="22"/>
        </w:rPr>
        <w:t>)</w:t>
      </w:r>
      <w:r>
        <w:tab/>
      </w:r>
    </w:p>
    <w:p w14:paraId="7C045E18" w14:textId="77777777" w:rsidR="00DB034A" w:rsidRDefault="001B0259" w:rsidP="006110C2">
      <w:pPr>
        <w:jc w:val="center"/>
        <w:rPr>
          <w:rFonts w:cs="Times New Roman"/>
          <w:szCs w:val="24"/>
        </w:rPr>
      </w:pPr>
      <w:r>
        <w:rPr>
          <w:rFonts w:cs="Times New Roman"/>
          <w:noProof/>
          <w:szCs w:val="24"/>
          <w:lang w:val="en-US" w:eastAsia="en-US"/>
        </w:rPr>
        <w:drawing>
          <wp:inline distT="0" distB="0" distL="0" distR="0" wp14:anchorId="71A0CBED" wp14:editId="29226B21">
            <wp:extent cx="5519991" cy="2316724"/>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ce Impact.emf"/>
                    <pic:cNvPicPr/>
                  </pic:nvPicPr>
                  <pic:blipFill rotWithShape="1">
                    <a:blip r:embed="rId15" cstate="print">
                      <a:extLst>
                        <a:ext uri="{28A0092B-C50C-407E-A947-70E740481C1C}">
                          <a14:useLocalDpi xmlns:a14="http://schemas.microsoft.com/office/drawing/2010/main" val="0"/>
                        </a:ext>
                      </a:extLst>
                    </a:blip>
                    <a:srcRect l="2074" t="2975" r="49303" b="61513"/>
                    <a:stretch/>
                  </pic:blipFill>
                  <pic:spPr bwMode="auto">
                    <a:xfrm>
                      <a:off x="0" y="0"/>
                      <a:ext cx="5561292" cy="2334058"/>
                    </a:xfrm>
                    <a:prstGeom prst="rect">
                      <a:avLst/>
                    </a:prstGeom>
                    <a:ln>
                      <a:noFill/>
                    </a:ln>
                    <a:extLst>
                      <a:ext uri="{53640926-AAD7-44D8-BBD7-CCE9431645EC}">
                        <a14:shadowObscured xmlns:a14="http://schemas.microsoft.com/office/drawing/2010/main"/>
                      </a:ext>
                    </a:extLst>
                  </pic:spPr>
                </pic:pic>
              </a:graphicData>
            </a:graphic>
          </wp:inline>
        </w:drawing>
      </w:r>
    </w:p>
    <w:p w14:paraId="4E9AAA3E" w14:textId="77777777" w:rsidR="008012F8" w:rsidRPr="00A143CB" w:rsidRDefault="00C74D34" w:rsidP="000902F5">
      <w:pPr>
        <w:pStyle w:val="ListParagraph"/>
        <w:numPr>
          <w:ilvl w:val="2"/>
          <w:numId w:val="6"/>
        </w:numPr>
        <w:spacing w:before="200"/>
        <w:ind w:left="1803" w:hanging="181"/>
        <w:rPr>
          <w:rStyle w:val="SubtleEmphasis"/>
          <w:color w:val="auto"/>
        </w:rPr>
      </w:pPr>
      <w:r w:rsidRPr="00A143CB">
        <w:rPr>
          <w:rStyle w:val="SubtleEmphasis"/>
          <w:color w:val="auto"/>
        </w:rPr>
        <w:t>Campaign Allegations</w:t>
      </w:r>
    </w:p>
    <w:p w14:paraId="1E81D92D" w14:textId="2CB6300F" w:rsidR="008B6870" w:rsidRPr="008B6870" w:rsidRDefault="006E0728" w:rsidP="000902F5">
      <w:pPr>
        <w:rPr>
          <w:rFonts w:cs="Times New Roman"/>
        </w:rPr>
      </w:pPr>
      <w:r w:rsidRPr="2E96ABE4">
        <w:rPr>
          <w:rFonts w:cs="Times New Roman"/>
        </w:rPr>
        <w:t xml:space="preserve">Across </w:t>
      </w:r>
      <w:r w:rsidR="0033195C" w:rsidRPr="2E96ABE4">
        <w:rPr>
          <w:rFonts w:cs="Times New Roman"/>
        </w:rPr>
        <w:t>all</w:t>
      </w:r>
      <w:r w:rsidRPr="2E96ABE4">
        <w:rPr>
          <w:rFonts w:cs="Times New Roman"/>
        </w:rPr>
        <w:t xml:space="preserve"> 1</w:t>
      </w:r>
      <w:r w:rsidR="00CE0C4A">
        <w:rPr>
          <w:rFonts w:cs="Times New Roman"/>
        </w:rPr>
        <w:t>16</w:t>
      </w:r>
      <w:r w:rsidRPr="2E96ABE4">
        <w:rPr>
          <w:rFonts w:cs="Times New Roman"/>
        </w:rPr>
        <w:t xml:space="preserve"> Canadian </w:t>
      </w:r>
      <w:r w:rsidR="00BC67B8" w:rsidRPr="2E96ABE4">
        <w:rPr>
          <w:rFonts w:cs="Times New Roman"/>
        </w:rPr>
        <w:t>C</w:t>
      </w:r>
      <w:r w:rsidRPr="2E96ABE4">
        <w:rPr>
          <w:rFonts w:cs="Times New Roman"/>
        </w:rPr>
        <w:t>ampaigns</w:t>
      </w:r>
      <w:r w:rsidR="00BD16CA" w:rsidRPr="2E96ABE4">
        <w:rPr>
          <w:rFonts w:cs="Times New Roman"/>
        </w:rPr>
        <w:t xml:space="preserve">, </w:t>
      </w:r>
      <w:r w:rsidRPr="2E96ABE4">
        <w:rPr>
          <w:rFonts w:cs="Times New Roman"/>
        </w:rPr>
        <w:t xml:space="preserve">40% </w:t>
      </w:r>
      <w:r w:rsidR="00002C06" w:rsidRPr="2E96ABE4">
        <w:rPr>
          <w:rFonts w:cs="Times New Roman"/>
        </w:rPr>
        <w:t>involved</w:t>
      </w:r>
      <w:r w:rsidRPr="2E96ABE4">
        <w:rPr>
          <w:rFonts w:cs="Times New Roman"/>
        </w:rPr>
        <w:t xml:space="preserve"> a</w:t>
      </w:r>
      <w:r w:rsidR="00BD16CA" w:rsidRPr="2E96ABE4">
        <w:rPr>
          <w:rFonts w:cs="Times New Roman"/>
        </w:rPr>
        <w:t>lleg</w:t>
      </w:r>
      <w:r w:rsidR="00002C06" w:rsidRPr="2E96ABE4">
        <w:rPr>
          <w:rFonts w:cs="Times New Roman"/>
        </w:rPr>
        <w:t>ations of</w:t>
      </w:r>
      <w:r w:rsidR="004E2F5F" w:rsidRPr="2E96ABE4">
        <w:rPr>
          <w:rFonts w:cs="Times New Roman"/>
        </w:rPr>
        <w:t xml:space="preserve"> some type of fraud at the issuer</w:t>
      </w:r>
      <w:r w:rsidR="009A1E44" w:rsidRPr="2E96ABE4">
        <w:rPr>
          <w:rFonts w:cs="Times New Roman"/>
        </w:rPr>
        <w:t xml:space="preserve">.  The </w:t>
      </w:r>
      <w:r w:rsidR="00BD16CA" w:rsidRPr="2E96ABE4">
        <w:rPr>
          <w:rFonts w:cs="Times New Roman"/>
        </w:rPr>
        <w:t>most common</w:t>
      </w:r>
      <w:r w:rsidR="004E2F5F" w:rsidRPr="2E96ABE4">
        <w:rPr>
          <w:rFonts w:cs="Times New Roman"/>
        </w:rPr>
        <w:t xml:space="preserve"> </w:t>
      </w:r>
      <w:r w:rsidR="009A1E44" w:rsidRPr="2E96ABE4">
        <w:rPr>
          <w:rFonts w:cs="Times New Roman"/>
        </w:rPr>
        <w:t xml:space="preserve">type of fraud allegation was that of there </w:t>
      </w:r>
      <w:r w:rsidR="00BC67B8" w:rsidRPr="2E96ABE4">
        <w:rPr>
          <w:rFonts w:cs="Times New Roman"/>
        </w:rPr>
        <w:t>being</w:t>
      </w:r>
      <w:r w:rsidRPr="2E96ABE4">
        <w:rPr>
          <w:rFonts w:cs="Times New Roman"/>
        </w:rPr>
        <w:t xml:space="preserve"> </w:t>
      </w:r>
      <w:r w:rsidR="009A1E44" w:rsidRPr="2E96ABE4">
        <w:rPr>
          <w:rFonts w:cs="Times New Roman"/>
        </w:rPr>
        <w:t xml:space="preserve">a </w:t>
      </w:r>
      <w:r w:rsidR="00BD16CA" w:rsidRPr="2E96ABE4">
        <w:rPr>
          <w:rFonts w:cs="Times New Roman"/>
        </w:rPr>
        <w:t>stock promotion</w:t>
      </w:r>
      <w:r w:rsidR="00011B9A" w:rsidRPr="2E96ABE4">
        <w:rPr>
          <w:rFonts w:cs="Times New Roman"/>
        </w:rPr>
        <w:t xml:space="preserve"> </w:t>
      </w:r>
      <w:r w:rsidR="003F4CB5" w:rsidRPr="2E96ABE4">
        <w:rPr>
          <w:rFonts w:cs="Times New Roman"/>
        </w:rPr>
        <w:t>scheme</w:t>
      </w:r>
      <w:r w:rsidR="007D7932" w:rsidRPr="2E96ABE4">
        <w:rPr>
          <w:rFonts w:cs="Times New Roman"/>
        </w:rPr>
        <w:t xml:space="preserve"> (</w:t>
      </w:r>
      <w:r w:rsidR="008C27AD" w:rsidRPr="2E96ABE4">
        <w:rPr>
          <w:rFonts w:cs="Times New Roman"/>
        </w:rPr>
        <w:t>or</w:t>
      </w:r>
      <w:r w:rsidR="00235281" w:rsidRPr="2E96ABE4">
        <w:rPr>
          <w:rFonts w:cs="Times New Roman"/>
        </w:rPr>
        <w:t xml:space="preserve"> an</w:t>
      </w:r>
      <w:r w:rsidR="008C27AD" w:rsidRPr="2E96ABE4">
        <w:rPr>
          <w:rFonts w:cs="Times New Roman"/>
        </w:rPr>
        <w:t xml:space="preserve"> alleged “pump and dump” scheme)</w:t>
      </w:r>
      <w:r w:rsidRPr="2E96ABE4">
        <w:rPr>
          <w:rFonts w:cs="Times New Roman"/>
        </w:rPr>
        <w:t xml:space="preserve">, where the company was being promoted by </w:t>
      </w:r>
      <w:r w:rsidR="00931098" w:rsidRPr="2E96ABE4">
        <w:rPr>
          <w:rFonts w:cs="Times New Roman"/>
        </w:rPr>
        <w:t>a connected third party (e.g.</w:t>
      </w:r>
      <w:r w:rsidR="00FD0D03" w:rsidRPr="2E96ABE4">
        <w:rPr>
          <w:rFonts w:cs="Times New Roman"/>
        </w:rPr>
        <w:t>,</w:t>
      </w:r>
      <w:r w:rsidR="00931098" w:rsidRPr="2E96ABE4">
        <w:rPr>
          <w:rFonts w:cs="Times New Roman"/>
        </w:rPr>
        <w:t xml:space="preserve"> an </w:t>
      </w:r>
      <w:r w:rsidRPr="2E96ABE4">
        <w:rPr>
          <w:rFonts w:cs="Times New Roman"/>
        </w:rPr>
        <w:t>outside firm</w:t>
      </w:r>
      <w:r w:rsidR="00931098" w:rsidRPr="2E96ABE4">
        <w:rPr>
          <w:rFonts w:cs="Times New Roman"/>
        </w:rPr>
        <w:t>)</w:t>
      </w:r>
      <w:r w:rsidRPr="2E96ABE4">
        <w:rPr>
          <w:rFonts w:cs="Times New Roman"/>
        </w:rPr>
        <w:t xml:space="preserve"> </w:t>
      </w:r>
      <w:r w:rsidR="00BD16CA" w:rsidRPr="2E96ABE4">
        <w:rPr>
          <w:rFonts w:cs="Times New Roman"/>
        </w:rPr>
        <w:t>(see</w:t>
      </w:r>
      <w:r w:rsidR="00995733" w:rsidRPr="2E96ABE4">
        <w:rPr>
          <w:rFonts w:cs="Times New Roman"/>
        </w:rPr>
        <w:t xml:space="preserve"> </w:t>
      </w:r>
      <w:r w:rsidR="00995733" w:rsidRPr="2E96ABE4">
        <w:rPr>
          <w:rFonts w:cs="Times New Roman"/>
        </w:rPr>
        <w:fldChar w:fldCharType="begin"/>
      </w:r>
      <w:r w:rsidR="00995733" w:rsidRPr="2E96ABE4">
        <w:rPr>
          <w:rFonts w:cs="Times New Roman"/>
        </w:rPr>
        <w:instrText xml:space="preserve"> REF _Ref32485480 \h </w:instrText>
      </w:r>
      <w:r w:rsidR="000902F5">
        <w:rPr>
          <w:rFonts w:cs="Times New Roman"/>
        </w:rPr>
        <w:instrText xml:space="preserve"> \* MERGEFORMAT </w:instrText>
      </w:r>
      <w:r w:rsidR="00995733" w:rsidRPr="2E96ABE4">
        <w:rPr>
          <w:rFonts w:cs="Times New Roman"/>
        </w:rPr>
      </w:r>
      <w:r w:rsidR="00995733" w:rsidRPr="2E96ABE4">
        <w:rPr>
          <w:rFonts w:cs="Times New Roman"/>
        </w:rPr>
        <w:fldChar w:fldCharType="separate"/>
      </w:r>
      <w:r w:rsidR="00BC37D8" w:rsidRPr="00BC37D8">
        <w:t>Figure 4</w:t>
      </w:r>
      <w:r w:rsidR="00995733" w:rsidRPr="2E96ABE4">
        <w:rPr>
          <w:rFonts w:cs="Times New Roman"/>
        </w:rPr>
        <w:fldChar w:fldCharType="end"/>
      </w:r>
      <w:r w:rsidR="00BD16CA" w:rsidRPr="2E96ABE4">
        <w:rPr>
          <w:rFonts w:cs="Times New Roman"/>
        </w:rPr>
        <w:t>).</w:t>
      </w:r>
      <w:r w:rsidR="003F4CB5" w:rsidRPr="2E96ABE4">
        <w:rPr>
          <w:rStyle w:val="FootnoteReference"/>
          <w:rFonts w:cs="Times New Roman"/>
        </w:rPr>
        <w:footnoteReference w:id="49"/>
      </w:r>
      <w:r w:rsidR="00BD16CA" w:rsidRPr="2E96ABE4">
        <w:rPr>
          <w:rFonts w:cs="Times New Roman"/>
        </w:rPr>
        <w:t xml:space="preserve"> </w:t>
      </w:r>
      <w:r w:rsidR="00BB155A" w:rsidRPr="2E96ABE4">
        <w:rPr>
          <w:rFonts w:cs="Times New Roman"/>
        </w:rPr>
        <w:t xml:space="preserve"> </w:t>
      </w:r>
      <w:r w:rsidR="00682625" w:rsidRPr="2E96ABE4">
        <w:rPr>
          <w:rFonts w:cs="Times New Roman"/>
        </w:rPr>
        <w:t>I</w:t>
      </w:r>
      <w:r w:rsidR="00DB4612" w:rsidRPr="2E96ABE4">
        <w:rPr>
          <w:rFonts w:cs="Times New Roman"/>
        </w:rPr>
        <w:t>n peak Campaign years (2015, 2016 and 2018)</w:t>
      </w:r>
      <w:r w:rsidR="00CB3603" w:rsidRPr="2E96ABE4">
        <w:rPr>
          <w:rFonts w:cs="Times New Roman"/>
        </w:rPr>
        <w:t xml:space="preserve"> f</w:t>
      </w:r>
      <w:r w:rsidR="006E7258" w:rsidRPr="2E96ABE4">
        <w:rPr>
          <w:rFonts w:cs="Times New Roman"/>
        </w:rPr>
        <w:t>raud</w:t>
      </w:r>
      <w:r w:rsidR="00EB32D8" w:rsidRPr="2E96ABE4">
        <w:rPr>
          <w:rFonts w:cs="Times New Roman"/>
        </w:rPr>
        <w:t>-</w:t>
      </w:r>
      <w:r w:rsidR="00DB4612" w:rsidRPr="2E96ABE4">
        <w:rPr>
          <w:rFonts w:cs="Times New Roman"/>
        </w:rPr>
        <w:t>related</w:t>
      </w:r>
      <w:r w:rsidR="006E7258" w:rsidRPr="2E96ABE4">
        <w:rPr>
          <w:rFonts w:cs="Times New Roman"/>
        </w:rPr>
        <w:t xml:space="preserve"> allegations </w:t>
      </w:r>
      <w:r w:rsidR="00DB4612" w:rsidRPr="2E96ABE4">
        <w:rPr>
          <w:rFonts w:cs="Times New Roman"/>
        </w:rPr>
        <w:t xml:space="preserve">accounted for under one-third of </w:t>
      </w:r>
      <w:r w:rsidR="00BC67B8" w:rsidRPr="2E96ABE4">
        <w:rPr>
          <w:rFonts w:cs="Times New Roman"/>
        </w:rPr>
        <w:t>the C</w:t>
      </w:r>
      <w:r w:rsidR="00DB4612" w:rsidRPr="2E96ABE4">
        <w:rPr>
          <w:rFonts w:cs="Times New Roman"/>
        </w:rPr>
        <w:t xml:space="preserve">ampaigns. </w:t>
      </w:r>
      <w:r w:rsidR="00BB155A" w:rsidRPr="2E96ABE4">
        <w:rPr>
          <w:rFonts w:cs="Times New Roman"/>
        </w:rPr>
        <w:t xml:space="preserve"> </w:t>
      </w:r>
      <w:r w:rsidR="00CB3603" w:rsidRPr="2E96ABE4">
        <w:rPr>
          <w:rFonts w:cs="Times New Roman"/>
        </w:rPr>
        <w:t>A</w:t>
      </w:r>
      <w:r w:rsidR="006E7258" w:rsidRPr="2E96ABE4">
        <w:rPr>
          <w:rFonts w:cs="Times New Roman"/>
        </w:rPr>
        <w:t>llegations related to business</w:t>
      </w:r>
      <w:r w:rsidR="00CB3603" w:rsidRPr="2E96ABE4">
        <w:rPr>
          <w:rFonts w:cs="Times New Roman"/>
        </w:rPr>
        <w:t xml:space="preserve"> or industry issues (e.g.</w:t>
      </w:r>
      <w:r w:rsidR="00FD0D03" w:rsidRPr="2E96ABE4">
        <w:rPr>
          <w:rFonts w:cs="Times New Roman"/>
        </w:rPr>
        <w:t>,</w:t>
      </w:r>
      <w:r w:rsidR="00CB3603" w:rsidRPr="2E96ABE4">
        <w:rPr>
          <w:rFonts w:cs="Times New Roman"/>
        </w:rPr>
        <w:t xml:space="preserve"> drop in commodity prices) and more general market overvaluation concerns </w:t>
      </w:r>
      <w:r w:rsidR="00DB4612" w:rsidRPr="2E96ABE4">
        <w:rPr>
          <w:rFonts w:cs="Times New Roman"/>
        </w:rPr>
        <w:t xml:space="preserve">have been more common in </w:t>
      </w:r>
      <w:r w:rsidR="002A1928" w:rsidRPr="2E96ABE4">
        <w:rPr>
          <w:rFonts w:cs="Times New Roman"/>
        </w:rPr>
        <w:t>recent</w:t>
      </w:r>
      <w:r w:rsidR="00CB3603" w:rsidRPr="2E96ABE4">
        <w:rPr>
          <w:rFonts w:cs="Times New Roman"/>
        </w:rPr>
        <w:t xml:space="preserve"> years</w:t>
      </w:r>
      <w:r w:rsidR="0033195C" w:rsidRPr="2E96ABE4">
        <w:rPr>
          <w:rFonts w:cs="Times New Roman"/>
        </w:rPr>
        <w:t xml:space="preserve">. </w:t>
      </w:r>
    </w:p>
    <w:p w14:paraId="76756637" w14:textId="77777777" w:rsidR="001C7736" w:rsidRPr="00735CC8" w:rsidRDefault="001C7736" w:rsidP="00624C0A">
      <w:pPr>
        <w:pStyle w:val="FIGURES"/>
        <w:rPr>
          <w:color w:val="1F497D" w:themeColor="text2"/>
          <w:sz w:val="22"/>
          <w:szCs w:val="22"/>
        </w:rPr>
      </w:pPr>
      <w:bookmarkStart w:id="4" w:name="_Ref32485480"/>
      <w:r w:rsidRPr="00735CC8">
        <w:rPr>
          <w:color w:val="1F497D" w:themeColor="text2"/>
          <w:sz w:val="22"/>
          <w:szCs w:val="22"/>
        </w:rPr>
        <w:lastRenderedPageBreak/>
        <w:t xml:space="preserve">Figure </w:t>
      </w:r>
      <w:r w:rsidR="00F20042" w:rsidRPr="00735CC8">
        <w:rPr>
          <w:color w:val="1F497D" w:themeColor="text2"/>
          <w:sz w:val="22"/>
          <w:szCs w:val="22"/>
        </w:rPr>
        <w:t>4</w:t>
      </w:r>
      <w:bookmarkEnd w:id="4"/>
      <w:r w:rsidRPr="00735CC8">
        <w:rPr>
          <w:color w:val="1F497D" w:themeColor="text2"/>
          <w:sz w:val="22"/>
          <w:szCs w:val="22"/>
        </w:rPr>
        <w:t xml:space="preserve"> – Activist Short Sellers' Primary Allegations</w:t>
      </w:r>
    </w:p>
    <w:p w14:paraId="10DF4824" w14:textId="77777777" w:rsidR="00682625" w:rsidRDefault="006B3D72" w:rsidP="00A46035">
      <w:pPr>
        <w:jc w:val="center"/>
        <w:rPr>
          <w:rStyle w:val="SubtleEmphasis"/>
          <w:b/>
          <w:bCs/>
          <w:sz w:val="18"/>
          <w:szCs w:val="18"/>
        </w:rPr>
      </w:pPr>
      <w:r w:rsidRPr="006B3D72">
        <w:rPr>
          <w:noProof/>
          <w:lang w:val="en-US" w:eastAsia="en-US"/>
        </w:rPr>
        <w:drawing>
          <wp:inline distT="0" distB="0" distL="0" distR="0" wp14:anchorId="0CCB8836" wp14:editId="0BA8C409">
            <wp:extent cx="5572241" cy="270104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966" t="1812" r="7318" b="3244"/>
                    <a:stretch/>
                  </pic:blipFill>
                  <pic:spPr bwMode="auto">
                    <a:xfrm>
                      <a:off x="0" y="0"/>
                      <a:ext cx="5605004" cy="2716922"/>
                    </a:xfrm>
                    <a:prstGeom prst="rect">
                      <a:avLst/>
                    </a:prstGeom>
                    <a:ln>
                      <a:noFill/>
                    </a:ln>
                    <a:extLst>
                      <a:ext uri="{53640926-AAD7-44D8-BBD7-CCE9431645EC}">
                        <a14:shadowObscured xmlns:a14="http://schemas.microsoft.com/office/drawing/2010/main"/>
                      </a:ext>
                    </a:extLst>
                  </pic:spPr>
                </pic:pic>
              </a:graphicData>
            </a:graphic>
          </wp:inline>
        </w:drawing>
      </w:r>
    </w:p>
    <w:p w14:paraId="60DF3FCE" w14:textId="77777777" w:rsidR="006B3D72" w:rsidRPr="00A143CB" w:rsidRDefault="00C74D34" w:rsidP="000902F5">
      <w:pPr>
        <w:pStyle w:val="ListParagraph"/>
        <w:numPr>
          <w:ilvl w:val="2"/>
          <w:numId w:val="6"/>
        </w:numPr>
        <w:spacing w:before="200"/>
        <w:ind w:left="1803" w:hanging="181"/>
        <w:rPr>
          <w:rStyle w:val="SubtleEmphasis"/>
          <w:color w:val="auto"/>
        </w:rPr>
      </w:pPr>
      <w:r w:rsidRPr="00A143CB">
        <w:rPr>
          <w:rStyle w:val="SubtleEmphasis"/>
          <w:color w:val="auto"/>
        </w:rPr>
        <w:t>Target Responses and Outcomes</w:t>
      </w:r>
    </w:p>
    <w:p w14:paraId="6F9F9A8C" w14:textId="6C09F0D3" w:rsidR="00995733" w:rsidRDefault="006F058B" w:rsidP="000902F5">
      <w:pPr>
        <w:spacing w:after="0"/>
        <w:rPr>
          <w:rFonts w:cs="Times New Roman"/>
        </w:rPr>
      </w:pPr>
      <w:r w:rsidRPr="2E96ABE4">
        <w:rPr>
          <w:rFonts w:cs="Times New Roman"/>
        </w:rPr>
        <w:t xml:space="preserve">Across the </w:t>
      </w:r>
      <w:r w:rsidR="00CE0C4A">
        <w:rPr>
          <w:rFonts w:cs="Times New Roman"/>
        </w:rPr>
        <w:t>73</w:t>
      </w:r>
      <w:r w:rsidRPr="2E96ABE4">
        <w:rPr>
          <w:rFonts w:cs="Times New Roman"/>
        </w:rPr>
        <w:t xml:space="preserve"> Canadian targets</w:t>
      </w:r>
      <w:r w:rsidR="003739F5" w:rsidRPr="2E96ABE4">
        <w:rPr>
          <w:rFonts w:cs="Times New Roman"/>
        </w:rPr>
        <w:t xml:space="preserve"> in the </w:t>
      </w:r>
      <w:r w:rsidR="00CE0C4A">
        <w:rPr>
          <w:rFonts w:cs="Times New Roman"/>
        </w:rPr>
        <w:t>116</w:t>
      </w:r>
      <w:r w:rsidR="003739F5" w:rsidRPr="2E96ABE4">
        <w:rPr>
          <w:rFonts w:cs="Times New Roman"/>
        </w:rPr>
        <w:t xml:space="preserve"> Campaigns</w:t>
      </w:r>
      <w:r w:rsidR="00CE0C4A">
        <w:rPr>
          <w:rFonts w:cs="Times New Roman"/>
        </w:rPr>
        <w:t xml:space="preserve"> identified</w:t>
      </w:r>
      <w:r w:rsidR="00C81311" w:rsidRPr="2E96ABE4">
        <w:rPr>
          <w:rFonts w:cs="Times New Roman"/>
        </w:rPr>
        <w:t>, a</w:t>
      </w:r>
      <w:r w:rsidR="001A1F1C" w:rsidRPr="2E96ABE4">
        <w:rPr>
          <w:rFonts w:cs="Times New Roman"/>
        </w:rPr>
        <w:t xml:space="preserve">pproximately </w:t>
      </w:r>
      <w:r w:rsidR="004618FC" w:rsidRPr="2E96ABE4">
        <w:rPr>
          <w:rFonts w:cs="Times New Roman"/>
        </w:rPr>
        <w:t>7</w:t>
      </w:r>
      <w:r w:rsidR="00B906C5">
        <w:rPr>
          <w:rFonts w:cs="Times New Roman"/>
        </w:rPr>
        <w:t>3</w:t>
      </w:r>
      <w:r w:rsidR="004618FC" w:rsidRPr="2E96ABE4">
        <w:rPr>
          <w:rFonts w:cs="Times New Roman"/>
        </w:rPr>
        <w:t xml:space="preserve">% of </w:t>
      </w:r>
      <w:r w:rsidR="00A46035">
        <w:rPr>
          <w:rFonts w:cs="Times New Roman"/>
        </w:rPr>
        <w:t>targets</w:t>
      </w:r>
      <w:r w:rsidR="00A46035" w:rsidRPr="2E96ABE4">
        <w:rPr>
          <w:rFonts w:cs="Times New Roman"/>
        </w:rPr>
        <w:t xml:space="preserve"> </w:t>
      </w:r>
      <w:r w:rsidR="00015F3C" w:rsidRPr="2E96ABE4">
        <w:rPr>
          <w:rFonts w:cs="Times New Roman"/>
        </w:rPr>
        <w:t>pursued</w:t>
      </w:r>
      <w:r w:rsidR="005E27F1" w:rsidRPr="2E96ABE4">
        <w:rPr>
          <w:rFonts w:cs="Times New Roman"/>
        </w:rPr>
        <w:t xml:space="preserve"> </w:t>
      </w:r>
      <w:r w:rsidRPr="2E96ABE4">
        <w:rPr>
          <w:rFonts w:cs="Times New Roman"/>
        </w:rPr>
        <w:t xml:space="preserve">certain </w:t>
      </w:r>
      <w:r w:rsidR="00693749" w:rsidRPr="2E96ABE4">
        <w:rPr>
          <w:rFonts w:cs="Times New Roman"/>
        </w:rPr>
        <w:t>responses</w:t>
      </w:r>
      <w:r w:rsidR="00015F3C" w:rsidRPr="2E96ABE4">
        <w:rPr>
          <w:rFonts w:cs="Times New Roman"/>
        </w:rPr>
        <w:t xml:space="preserve"> </w:t>
      </w:r>
      <w:r w:rsidR="005E27F1" w:rsidRPr="2E96ABE4">
        <w:rPr>
          <w:rFonts w:cs="Times New Roman"/>
        </w:rPr>
        <w:t>during the Campaign</w:t>
      </w:r>
      <w:r w:rsidR="00353F6C" w:rsidRPr="2E96ABE4">
        <w:rPr>
          <w:rFonts w:cs="Times New Roman"/>
        </w:rPr>
        <w:t xml:space="preserve"> (</w:t>
      </w:r>
      <w:r w:rsidR="002E43B2" w:rsidRPr="2E96ABE4">
        <w:rPr>
          <w:rFonts w:cs="Times New Roman"/>
        </w:rPr>
        <w:fldChar w:fldCharType="begin"/>
      </w:r>
      <w:r w:rsidR="002E43B2" w:rsidRPr="2E96ABE4">
        <w:rPr>
          <w:rFonts w:cs="Times New Roman"/>
        </w:rPr>
        <w:instrText xml:space="preserve"> REF _Ref32496661 \h </w:instrText>
      </w:r>
      <w:r w:rsidR="000902F5">
        <w:rPr>
          <w:rFonts w:cs="Times New Roman"/>
        </w:rPr>
        <w:instrText xml:space="preserve"> \* MERGEFORMAT </w:instrText>
      </w:r>
      <w:r w:rsidR="002E43B2" w:rsidRPr="2E96ABE4">
        <w:rPr>
          <w:rFonts w:cs="Times New Roman"/>
        </w:rPr>
      </w:r>
      <w:r w:rsidR="002E43B2" w:rsidRPr="2E96ABE4">
        <w:rPr>
          <w:rFonts w:cs="Times New Roman"/>
        </w:rPr>
        <w:fldChar w:fldCharType="separate"/>
      </w:r>
      <w:r w:rsidR="00BC37D8" w:rsidRPr="00BC37D8">
        <w:t>Figure 5</w:t>
      </w:r>
      <w:r w:rsidR="002E43B2" w:rsidRPr="2E96ABE4">
        <w:rPr>
          <w:rFonts w:cs="Times New Roman"/>
        </w:rPr>
        <w:fldChar w:fldCharType="end"/>
      </w:r>
      <w:r w:rsidR="002E43B2" w:rsidRPr="2E96ABE4">
        <w:rPr>
          <w:rFonts w:cs="Times New Roman"/>
        </w:rPr>
        <w:t>)</w:t>
      </w:r>
      <w:r w:rsidR="00C30611" w:rsidRPr="2E96ABE4">
        <w:rPr>
          <w:rFonts w:cs="Times New Roman"/>
        </w:rPr>
        <w:t>.</w:t>
      </w:r>
      <w:r w:rsidR="005E27F1" w:rsidRPr="2E96ABE4">
        <w:rPr>
          <w:rFonts w:cs="Times New Roman"/>
        </w:rPr>
        <w:t xml:space="preserve"> </w:t>
      </w:r>
      <w:r w:rsidR="00BB155A" w:rsidRPr="2E96ABE4">
        <w:rPr>
          <w:rFonts w:cs="Times New Roman"/>
        </w:rPr>
        <w:t xml:space="preserve"> </w:t>
      </w:r>
      <w:r w:rsidR="005E27F1" w:rsidRPr="2E96ABE4">
        <w:rPr>
          <w:rFonts w:cs="Times New Roman"/>
        </w:rPr>
        <w:t>T</w:t>
      </w:r>
      <w:r w:rsidR="00C30611" w:rsidRPr="2E96ABE4">
        <w:rPr>
          <w:rFonts w:cs="Times New Roman"/>
        </w:rPr>
        <w:t>hese</w:t>
      </w:r>
      <w:r w:rsidR="005E27F1" w:rsidRPr="2E96ABE4">
        <w:rPr>
          <w:rFonts w:cs="Times New Roman"/>
        </w:rPr>
        <w:t xml:space="preserve"> </w:t>
      </w:r>
      <w:r w:rsidR="009211A9" w:rsidRPr="2E96ABE4">
        <w:rPr>
          <w:rFonts w:cs="Times New Roman"/>
        </w:rPr>
        <w:t>responses</w:t>
      </w:r>
      <w:r w:rsidR="00C30611" w:rsidRPr="2E96ABE4">
        <w:rPr>
          <w:rFonts w:cs="Times New Roman"/>
        </w:rPr>
        <w:t xml:space="preserve"> included</w:t>
      </w:r>
      <w:r w:rsidR="00353F6C" w:rsidRPr="2E96ABE4">
        <w:rPr>
          <w:rFonts w:cs="Times New Roman"/>
        </w:rPr>
        <w:t xml:space="preserve"> </w:t>
      </w:r>
      <w:r w:rsidR="00C30611" w:rsidRPr="2E96ABE4">
        <w:rPr>
          <w:rFonts w:cs="Times New Roman"/>
        </w:rPr>
        <w:t xml:space="preserve">either </w:t>
      </w:r>
      <w:r w:rsidR="00353F6C" w:rsidRPr="2E96ABE4">
        <w:rPr>
          <w:rFonts w:cs="Times New Roman"/>
        </w:rPr>
        <w:t>changing or replacing the</w:t>
      </w:r>
      <w:r w:rsidR="004618FC" w:rsidRPr="2E96ABE4">
        <w:rPr>
          <w:rFonts w:cs="Times New Roman"/>
        </w:rPr>
        <w:t xml:space="preserve"> C</w:t>
      </w:r>
      <w:r w:rsidR="00C30611" w:rsidRPr="2E96ABE4">
        <w:rPr>
          <w:rFonts w:cs="Times New Roman"/>
        </w:rPr>
        <w:t>EO</w:t>
      </w:r>
      <w:r w:rsidR="00353F6C" w:rsidRPr="2E96ABE4">
        <w:rPr>
          <w:rFonts w:cs="Times New Roman"/>
        </w:rPr>
        <w:t xml:space="preserve"> or </w:t>
      </w:r>
      <w:r w:rsidR="00C30611" w:rsidRPr="2E96ABE4">
        <w:rPr>
          <w:rFonts w:cs="Times New Roman"/>
        </w:rPr>
        <w:t>CFO,</w:t>
      </w:r>
      <w:r w:rsidR="00353F6C" w:rsidRPr="2E96ABE4">
        <w:rPr>
          <w:rFonts w:cs="Times New Roman"/>
        </w:rPr>
        <w:t xml:space="preserve"> hiring</w:t>
      </w:r>
      <w:r w:rsidR="00C30611" w:rsidRPr="2E96ABE4">
        <w:rPr>
          <w:rFonts w:cs="Times New Roman"/>
        </w:rPr>
        <w:t xml:space="preserve"> a new </w:t>
      </w:r>
      <w:r w:rsidR="004618FC" w:rsidRPr="2E96ABE4">
        <w:rPr>
          <w:rFonts w:cs="Times New Roman"/>
        </w:rPr>
        <w:t>auditor</w:t>
      </w:r>
      <w:r w:rsidR="00353F6C" w:rsidRPr="2E96ABE4">
        <w:rPr>
          <w:rFonts w:cs="Times New Roman"/>
        </w:rPr>
        <w:t xml:space="preserve"> or</w:t>
      </w:r>
      <w:r w:rsidR="00C30611" w:rsidRPr="2E96ABE4">
        <w:rPr>
          <w:rFonts w:cs="Times New Roman"/>
        </w:rPr>
        <w:t xml:space="preserve"> independent investigator, </w:t>
      </w:r>
      <w:r w:rsidR="005E27F1" w:rsidRPr="2E96ABE4">
        <w:rPr>
          <w:rFonts w:cs="Times New Roman"/>
        </w:rPr>
        <w:t xml:space="preserve">halting the </w:t>
      </w:r>
      <w:r w:rsidR="00AC6863" w:rsidRPr="2E96ABE4">
        <w:rPr>
          <w:rFonts w:cs="Times New Roman"/>
        </w:rPr>
        <w:t>issuer</w:t>
      </w:r>
      <w:r w:rsidR="005E27F1" w:rsidRPr="2E96ABE4">
        <w:rPr>
          <w:rFonts w:cs="Times New Roman"/>
        </w:rPr>
        <w:t>’s stock from trading, purs</w:t>
      </w:r>
      <w:r w:rsidR="004F396C" w:rsidRPr="2E96ABE4">
        <w:rPr>
          <w:rFonts w:cs="Times New Roman"/>
        </w:rPr>
        <w:t>u</w:t>
      </w:r>
      <w:r w:rsidR="005E27F1" w:rsidRPr="2E96ABE4">
        <w:rPr>
          <w:rFonts w:cs="Times New Roman"/>
        </w:rPr>
        <w:t xml:space="preserve">ing a lawsuit against the activist short seller or </w:t>
      </w:r>
      <w:r w:rsidR="00C30611" w:rsidRPr="2E96ABE4">
        <w:rPr>
          <w:rFonts w:cs="Times New Roman"/>
        </w:rPr>
        <w:t>announc</w:t>
      </w:r>
      <w:r w:rsidR="00353F6C" w:rsidRPr="2E96ABE4">
        <w:rPr>
          <w:rFonts w:cs="Times New Roman"/>
        </w:rPr>
        <w:t>ing</w:t>
      </w:r>
      <w:r w:rsidR="00C30611" w:rsidRPr="2E96ABE4">
        <w:rPr>
          <w:rFonts w:cs="Times New Roman"/>
        </w:rPr>
        <w:t xml:space="preserve"> a capital market </w:t>
      </w:r>
      <w:r w:rsidR="004618FC" w:rsidRPr="2E96ABE4">
        <w:rPr>
          <w:rFonts w:cs="Times New Roman"/>
        </w:rPr>
        <w:t>transaction</w:t>
      </w:r>
      <w:r w:rsidR="00C30611" w:rsidRPr="2E96ABE4">
        <w:rPr>
          <w:rFonts w:cs="Times New Roman"/>
        </w:rPr>
        <w:t xml:space="preserve"> (e.g.</w:t>
      </w:r>
      <w:r w:rsidR="0072699F" w:rsidRPr="2E96ABE4">
        <w:rPr>
          <w:rFonts w:cs="Times New Roman"/>
        </w:rPr>
        <w:t>,</w:t>
      </w:r>
      <w:r w:rsidR="00C30611" w:rsidRPr="2E96ABE4">
        <w:rPr>
          <w:rFonts w:cs="Times New Roman"/>
        </w:rPr>
        <w:t xml:space="preserve"> divestiture, acquisition, private placement)</w:t>
      </w:r>
      <w:r w:rsidR="00544D34" w:rsidRPr="2E96ABE4">
        <w:rPr>
          <w:rFonts w:cs="Times New Roman"/>
        </w:rPr>
        <w:t xml:space="preserve"> during the Campaign</w:t>
      </w:r>
      <w:r w:rsidR="00C30611" w:rsidRPr="2E96ABE4">
        <w:rPr>
          <w:rFonts w:cs="Times New Roman"/>
        </w:rPr>
        <w:t>.</w:t>
      </w:r>
      <w:r w:rsidR="002644EE" w:rsidRPr="2E96ABE4">
        <w:rPr>
          <w:rStyle w:val="FootnoteReference"/>
          <w:rFonts w:cs="Times New Roman"/>
        </w:rPr>
        <w:footnoteReference w:id="50"/>
      </w:r>
      <w:r w:rsidR="004618FC" w:rsidRPr="2E96ABE4">
        <w:rPr>
          <w:rFonts w:cs="Times New Roman"/>
        </w:rPr>
        <w:t xml:space="preserve"> </w:t>
      </w:r>
    </w:p>
    <w:p w14:paraId="58F8EF75" w14:textId="17593EB7" w:rsidR="00353F6C" w:rsidRPr="006F0F7E" w:rsidRDefault="00353F6C" w:rsidP="00624C0A">
      <w:pPr>
        <w:pStyle w:val="FIGURES"/>
        <w:rPr>
          <w:color w:val="1F497D" w:themeColor="text2"/>
          <w:sz w:val="22"/>
          <w:szCs w:val="22"/>
        </w:rPr>
      </w:pPr>
      <w:bookmarkStart w:id="5" w:name="_Ref32496661"/>
      <w:r w:rsidRPr="006F0F7E">
        <w:rPr>
          <w:color w:val="1F497D" w:themeColor="text2"/>
          <w:sz w:val="22"/>
          <w:szCs w:val="22"/>
        </w:rPr>
        <w:t xml:space="preserve">Figure </w:t>
      </w:r>
      <w:r w:rsidR="002E4ACC" w:rsidRPr="006F0F7E">
        <w:rPr>
          <w:color w:val="1F497D" w:themeColor="text2"/>
          <w:sz w:val="22"/>
          <w:szCs w:val="22"/>
        </w:rPr>
        <w:t>5</w:t>
      </w:r>
      <w:bookmarkEnd w:id="5"/>
      <w:r w:rsidRPr="006F0F7E">
        <w:rPr>
          <w:color w:val="1F497D" w:themeColor="text2"/>
          <w:sz w:val="22"/>
          <w:szCs w:val="22"/>
        </w:rPr>
        <w:t xml:space="preserve"> </w:t>
      </w:r>
      <w:r w:rsidR="00544D34" w:rsidRPr="006F0F7E">
        <w:rPr>
          <w:color w:val="1F497D" w:themeColor="text2"/>
          <w:sz w:val="22"/>
          <w:szCs w:val="22"/>
        </w:rPr>
        <w:t>–</w:t>
      </w:r>
      <w:r w:rsidRPr="006F0F7E">
        <w:rPr>
          <w:color w:val="1F497D" w:themeColor="text2"/>
          <w:sz w:val="22"/>
          <w:szCs w:val="22"/>
        </w:rPr>
        <w:t xml:space="preserve"> </w:t>
      </w:r>
      <w:r w:rsidR="00D84673" w:rsidRPr="006F0F7E">
        <w:rPr>
          <w:color w:val="1F497D" w:themeColor="text2"/>
          <w:sz w:val="22"/>
          <w:szCs w:val="22"/>
        </w:rPr>
        <w:t xml:space="preserve">Campaign </w:t>
      </w:r>
      <w:r w:rsidRPr="006F0F7E">
        <w:rPr>
          <w:color w:val="1F497D" w:themeColor="text2"/>
          <w:sz w:val="22"/>
          <w:szCs w:val="22"/>
        </w:rPr>
        <w:t>Target Responses and Outcomes</w:t>
      </w:r>
      <w:r w:rsidR="00D84673" w:rsidRPr="006F0F7E">
        <w:rPr>
          <w:color w:val="1F497D" w:themeColor="text2"/>
          <w:sz w:val="22"/>
          <w:szCs w:val="22"/>
        </w:rPr>
        <w:t xml:space="preserve"> (2010 – </w:t>
      </w:r>
      <w:r w:rsidR="00903DBB" w:rsidRPr="006F0F7E">
        <w:rPr>
          <w:color w:val="1F497D" w:themeColor="text2"/>
          <w:sz w:val="22"/>
          <w:szCs w:val="22"/>
        </w:rPr>
        <w:t xml:space="preserve">Sept. </w:t>
      </w:r>
      <w:r w:rsidR="00D84673" w:rsidRPr="006F0F7E">
        <w:rPr>
          <w:color w:val="1F497D" w:themeColor="text2"/>
          <w:sz w:val="22"/>
          <w:szCs w:val="22"/>
        </w:rPr>
        <w:t>20</w:t>
      </w:r>
      <w:r w:rsidR="00903DBB" w:rsidRPr="006F0F7E">
        <w:rPr>
          <w:color w:val="1F497D" w:themeColor="text2"/>
          <w:sz w:val="22"/>
          <w:szCs w:val="22"/>
        </w:rPr>
        <w:t>20</w:t>
      </w:r>
      <w:r w:rsidR="00D84673" w:rsidRPr="006F0F7E">
        <w:rPr>
          <w:color w:val="1F497D" w:themeColor="text2"/>
          <w:sz w:val="22"/>
          <w:szCs w:val="22"/>
        </w:rPr>
        <w:t xml:space="preserve">) </w:t>
      </w:r>
    </w:p>
    <w:p w14:paraId="61074C6B" w14:textId="77777777" w:rsidR="00353F6C" w:rsidRDefault="00353F6C" w:rsidP="2E96ABE4">
      <w:pPr>
        <w:jc w:val="center"/>
        <w:rPr>
          <w:rFonts w:cs="Times New Roman"/>
        </w:rPr>
      </w:pPr>
      <w:r>
        <w:rPr>
          <w:rFonts w:cs="Times New Roman"/>
          <w:noProof/>
          <w:szCs w:val="24"/>
          <w:lang w:val="en-US" w:eastAsia="en-US"/>
        </w:rPr>
        <w:drawing>
          <wp:inline distT="0" distB="0" distL="0" distR="0" wp14:anchorId="4D552424" wp14:editId="032FEBFE">
            <wp:extent cx="5101979" cy="1313365"/>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ponse and Outcomes.emf"/>
                    <pic:cNvPicPr/>
                  </pic:nvPicPr>
                  <pic:blipFill>
                    <a:blip r:embed="rId17">
                      <a:extLst>
                        <a:ext uri="{28A0092B-C50C-407E-A947-70E740481C1C}">
                          <a14:useLocalDpi xmlns:a14="http://schemas.microsoft.com/office/drawing/2010/main" val="0"/>
                        </a:ext>
                      </a:extLst>
                    </a:blip>
                    <a:stretch>
                      <a:fillRect/>
                    </a:stretch>
                  </pic:blipFill>
                  <pic:spPr>
                    <a:xfrm>
                      <a:off x="0" y="0"/>
                      <a:ext cx="5138655" cy="1322806"/>
                    </a:xfrm>
                    <a:prstGeom prst="rect">
                      <a:avLst/>
                    </a:prstGeom>
                  </pic:spPr>
                </pic:pic>
              </a:graphicData>
            </a:graphic>
          </wp:inline>
        </w:drawing>
      </w:r>
    </w:p>
    <w:p w14:paraId="700B9ACE" w14:textId="19FF7779" w:rsidR="009877E8" w:rsidRDefault="00C81311" w:rsidP="00994510">
      <w:pPr>
        <w:spacing w:before="0" w:after="0"/>
        <w:rPr>
          <w:rFonts w:cs="Times New Roman"/>
          <w:b/>
          <w:bCs/>
        </w:rPr>
      </w:pPr>
      <w:r w:rsidRPr="2E96ABE4">
        <w:rPr>
          <w:rFonts w:cs="Times New Roman"/>
        </w:rPr>
        <w:t>Separately</w:t>
      </w:r>
      <w:r w:rsidR="00C30611" w:rsidRPr="2E96ABE4">
        <w:rPr>
          <w:rFonts w:cs="Times New Roman"/>
        </w:rPr>
        <w:t xml:space="preserve">, </w:t>
      </w:r>
      <w:r w:rsidR="00054C30" w:rsidRPr="2E96ABE4">
        <w:rPr>
          <w:rFonts w:cs="Times New Roman"/>
        </w:rPr>
        <w:t xml:space="preserve">the </w:t>
      </w:r>
      <w:r w:rsidR="005E27F1" w:rsidRPr="2E96ABE4">
        <w:rPr>
          <w:rFonts w:cs="Times New Roman"/>
        </w:rPr>
        <w:t xml:space="preserve">AI </w:t>
      </w:r>
      <w:r w:rsidR="00544D34" w:rsidRPr="2E96ABE4">
        <w:rPr>
          <w:rFonts w:cs="Times New Roman"/>
        </w:rPr>
        <w:t>data</w:t>
      </w:r>
      <w:r w:rsidR="005E27F1" w:rsidRPr="2E96ABE4">
        <w:rPr>
          <w:rFonts w:cs="Times New Roman"/>
        </w:rPr>
        <w:t xml:space="preserve"> also</w:t>
      </w:r>
      <w:r w:rsidR="00544D34" w:rsidRPr="2E96ABE4">
        <w:rPr>
          <w:rFonts w:cs="Times New Roman"/>
        </w:rPr>
        <w:t xml:space="preserve"> identified</w:t>
      </w:r>
      <w:r w:rsidR="002644EE" w:rsidRPr="2E96ABE4">
        <w:rPr>
          <w:rFonts w:cs="Times New Roman"/>
        </w:rPr>
        <w:t xml:space="preserve"> </w:t>
      </w:r>
      <w:r w:rsidR="005E2F74" w:rsidRPr="2E96ABE4">
        <w:rPr>
          <w:rFonts w:cs="Times New Roman"/>
        </w:rPr>
        <w:t xml:space="preserve">certain </w:t>
      </w:r>
      <w:r w:rsidR="004618FC" w:rsidRPr="2E96ABE4">
        <w:rPr>
          <w:rFonts w:cs="Times New Roman"/>
        </w:rPr>
        <w:t>outcome</w:t>
      </w:r>
      <w:r w:rsidR="005E2F74" w:rsidRPr="2E96ABE4">
        <w:rPr>
          <w:rFonts w:cs="Times New Roman"/>
        </w:rPr>
        <w:t xml:space="preserve">s which occur following a Campaign </w:t>
      </w:r>
      <w:r w:rsidR="00E03281" w:rsidRPr="2E96ABE4">
        <w:rPr>
          <w:rFonts w:cs="Times New Roman"/>
        </w:rPr>
        <w:t>and would generally be viewed as negative by the market</w:t>
      </w:r>
      <w:r w:rsidR="004618FC" w:rsidRPr="2E96ABE4">
        <w:rPr>
          <w:rFonts w:cs="Times New Roman"/>
        </w:rPr>
        <w:t xml:space="preserve"> </w:t>
      </w:r>
      <w:r w:rsidR="00DA039F" w:rsidRPr="2E96ABE4">
        <w:rPr>
          <w:rFonts w:cs="Times New Roman"/>
        </w:rPr>
        <w:t>(e.g.</w:t>
      </w:r>
      <w:r w:rsidR="0072699F" w:rsidRPr="2E96ABE4">
        <w:rPr>
          <w:rFonts w:cs="Times New Roman"/>
        </w:rPr>
        <w:t>,</w:t>
      </w:r>
      <w:r w:rsidR="00D359FF" w:rsidRPr="2E96ABE4">
        <w:rPr>
          <w:rFonts w:cs="Times New Roman"/>
        </w:rPr>
        <w:t xml:space="preserve"> </w:t>
      </w:r>
      <w:r w:rsidR="00054C30" w:rsidRPr="2E96ABE4">
        <w:rPr>
          <w:rFonts w:cs="Times New Roman"/>
        </w:rPr>
        <w:t xml:space="preserve">a </w:t>
      </w:r>
      <w:r w:rsidR="004618FC" w:rsidRPr="2E96ABE4">
        <w:rPr>
          <w:rFonts w:cs="Times New Roman"/>
        </w:rPr>
        <w:t xml:space="preserve">delisting, auditor resignation or class-action </w:t>
      </w:r>
      <w:r w:rsidR="00054C30" w:rsidRPr="2E96ABE4">
        <w:rPr>
          <w:rFonts w:cs="Times New Roman"/>
        </w:rPr>
        <w:t>law</w:t>
      </w:r>
      <w:r w:rsidR="004618FC" w:rsidRPr="2E96ABE4">
        <w:rPr>
          <w:rFonts w:cs="Times New Roman"/>
        </w:rPr>
        <w:t xml:space="preserve">suit). </w:t>
      </w:r>
      <w:r w:rsidR="00BB155A" w:rsidRPr="2E96ABE4">
        <w:rPr>
          <w:rFonts w:cs="Times New Roman"/>
        </w:rPr>
        <w:t xml:space="preserve"> </w:t>
      </w:r>
      <w:r w:rsidR="00B82EDF" w:rsidRPr="2E96ABE4">
        <w:rPr>
          <w:rFonts w:cs="Times New Roman"/>
        </w:rPr>
        <w:t xml:space="preserve">Among </w:t>
      </w:r>
      <w:r w:rsidR="00353F6C" w:rsidRPr="2E96ABE4">
        <w:rPr>
          <w:rFonts w:cs="Times New Roman"/>
        </w:rPr>
        <w:t xml:space="preserve">the </w:t>
      </w:r>
      <w:r w:rsidR="00B82EDF" w:rsidRPr="2E96ABE4">
        <w:rPr>
          <w:rFonts w:cs="Times New Roman"/>
        </w:rPr>
        <w:t>Canadian targets,</w:t>
      </w:r>
      <w:r w:rsidR="00353F6C" w:rsidRPr="2E96ABE4">
        <w:rPr>
          <w:rFonts w:cs="Times New Roman"/>
        </w:rPr>
        <w:t xml:space="preserve"> approximately </w:t>
      </w:r>
      <w:r w:rsidR="009D2671">
        <w:rPr>
          <w:rFonts w:cs="Times New Roman"/>
        </w:rPr>
        <w:t>29</w:t>
      </w:r>
      <w:r w:rsidR="002E43B2" w:rsidRPr="2E96ABE4">
        <w:rPr>
          <w:rFonts w:cs="Times New Roman"/>
        </w:rPr>
        <w:t xml:space="preserve">% of </w:t>
      </w:r>
      <w:r w:rsidR="008E46B4" w:rsidRPr="2E96ABE4">
        <w:rPr>
          <w:rFonts w:cs="Times New Roman"/>
        </w:rPr>
        <w:t xml:space="preserve">them </w:t>
      </w:r>
      <w:r w:rsidR="002E43B2" w:rsidRPr="2E96ABE4">
        <w:rPr>
          <w:rFonts w:cs="Times New Roman"/>
        </w:rPr>
        <w:t>experienced at least</w:t>
      </w:r>
      <w:r w:rsidR="008E46B4" w:rsidRPr="2E96ABE4">
        <w:rPr>
          <w:rFonts w:cs="Times New Roman"/>
        </w:rPr>
        <w:t xml:space="preserve"> one of these outcomes.</w:t>
      </w:r>
      <w:r w:rsidR="00BA2869" w:rsidRPr="2E96ABE4">
        <w:rPr>
          <w:rStyle w:val="FootnoteReference"/>
          <w:rFonts w:cs="Times New Roman"/>
        </w:rPr>
        <w:footnoteReference w:id="51"/>
      </w:r>
      <w:r w:rsidR="008E46B4" w:rsidRPr="2E96ABE4">
        <w:rPr>
          <w:rFonts w:cs="Times New Roman"/>
        </w:rPr>
        <w:t xml:space="preserve"> Class action lawsuits against issuers were the most common</w:t>
      </w:r>
      <w:r w:rsidR="000D3E85" w:rsidRPr="2E96ABE4">
        <w:rPr>
          <w:rFonts w:cs="Times New Roman"/>
        </w:rPr>
        <w:t xml:space="preserve"> among the three types of outcomes considered</w:t>
      </w:r>
      <w:r w:rsidR="0056343B" w:rsidRPr="2E96ABE4">
        <w:rPr>
          <w:rFonts w:cs="Times New Roman"/>
        </w:rPr>
        <w:t>.</w:t>
      </w:r>
      <w:r w:rsidR="00BB155A" w:rsidRPr="2E96ABE4">
        <w:rPr>
          <w:rFonts w:cs="Times New Roman"/>
        </w:rPr>
        <w:t xml:space="preserve"> </w:t>
      </w:r>
      <w:r w:rsidR="008E46B4" w:rsidRPr="2E96ABE4">
        <w:rPr>
          <w:rFonts w:cs="Times New Roman"/>
        </w:rPr>
        <w:t xml:space="preserve"> </w:t>
      </w:r>
      <w:r w:rsidR="00447C48" w:rsidRPr="2E96ABE4">
        <w:rPr>
          <w:rFonts w:cs="Times New Roman"/>
        </w:rPr>
        <w:t>In about 2</w:t>
      </w:r>
      <w:r w:rsidR="00903DBB">
        <w:rPr>
          <w:rFonts w:cs="Times New Roman"/>
        </w:rPr>
        <w:t>3</w:t>
      </w:r>
      <w:r w:rsidR="00447C48" w:rsidRPr="2E96ABE4">
        <w:rPr>
          <w:rFonts w:cs="Times New Roman"/>
        </w:rPr>
        <w:t xml:space="preserve">% of </w:t>
      </w:r>
      <w:r w:rsidR="007A6355" w:rsidRPr="2E96ABE4">
        <w:rPr>
          <w:rFonts w:cs="Times New Roman"/>
        </w:rPr>
        <w:t xml:space="preserve">the </w:t>
      </w:r>
      <w:r w:rsidR="00447C48" w:rsidRPr="2E96ABE4">
        <w:rPr>
          <w:rFonts w:cs="Times New Roman"/>
        </w:rPr>
        <w:t>Canadian targets</w:t>
      </w:r>
      <w:r w:rsidR="0056343B" w:rsidRPr="2E96ABE4">
        <w:rPr>
          <w:rFonts w:cs="Times New Roman"/>
        </w:rPr>
        <w:t>,</w:t>
      </w:r>
      <w:r w:rsidR="00447C48" w:rsidRPr="2E96ABE4">
        <w:rPr>
          <w:rFonts w:cs="Times New Roman"/>
        </w:rPr>
        <w:t xml:space="preserve"> </w:t>
      </w:r>
      <w:r w:rsidR="007A6355" w:rsidRPr="2E96ABE4">
        <w:rPr>
          <w:rFonts w:cs="Times New Roman"/>
        </w:rPr>
        <w:t>c</w:t>
      </w:r>
      <w:r w:rsidR="000D3E85" w:rsidRPr="2E96ABE4">
        <w:rPr>
          <w:rFonts w:cs="Times New Roman"/>
        </w:rPr>
        <w:t>lass action proceedings</w:t>
      </w:r>
      <w:r w:rsidR="00D37923" w:rsidRPr="2E96ABE4">
        <w:rPr>
          <w:rFonts w:cs="Times New Roman"/>
        </w:rPr>
        <w:t xml:space="preserve"> were</w:t>
      </w:r>
      <w:r w:rsidR="000D3E85" w:rsidRPr="2E96ABE4">
        <w:rPr>
          <w:rFonts w:cs="Times New Roman"/>
        </w:rPr>
        <w:t xml:space="preserve"> </w:t>
      </w:r>
      <w:r w:rsidR="005E5226" w:rsidRPr="2E96ABE4">
        <w:rPr>
          <w:rFonts w:cs="Times New Roman"/>
        </w:rPr>
        <w:t>commenced following a Campaign</w:t>
      </w:r>
      <w:r w:rsidR="007A6355" w:rsidRPr="2E96ABE4">
        <w:rPr>
          <w:rFonts w:cs="Times New Roman"/>
        </w:rPr>
        <w:t xml:space="preserve"> (</w:t>
      </w:r>
      <w:r w:rsidR="00893EC5" w:rsidRPr="2E96ABE4">
        <w:rPr>
          <w:rFonts w:cs="Times New Roman"/>
        </w:rPr>
        <w:t xml:space="preserve">as compared to </w:t>
      </w:r>
      <w:r w:rsidR="008E46B4" w:rsidRPr="2E96ABE4">
        <w:rPr>
          <w:rFonts w:cs="Times New Roman"/>
        </w:rPr>
        <w:t>U.S.</w:t>
      </w:r>
      <w:r w:rsidR="00CB10C1" w:rsidRPr="2E96ABE4">
        <w:rPr>
          <w:rFonts w:cs="Times New Roman"/>
        </w:rPr>
        <w:t xml:space="preserve"> (2</w:t>
      </w:r>
      <w:r w:rsidR="00903DBB">
        <w:rPr>
          <w:rFonts w:cs="Times New Roman"/>
        </w:rPr>
        <w:t>3</w:t>
      </w:r>
      <w:r w:rsidR="00CB10C1" w:rsidRPr="2E96ABE4">
        <w:rPr>
          <w:rFonts w:cs="Times New Roman"/>
        </w:rPr>
        <w:t>%)</w:t>
      </w:r>
      <w:r w:rsidR="008E46B4" w:rsidRPr="2E96ABE4">
        <w:rPr>
          <w:rFonts w:cs="Times New Roman"/>
        </w:rPr>
        <w:t xml:space="preserve"> and </w:t>
      </w:r>
      <w:r w:rsidR="008E46B4" w:rsidRPr="2E96ABE4">
        <w:rPr>
          <w:rFonts w:cs="Times New Roman"/>
        </w:rPr>
        <w:lastRenderedPageBreak/>
        <w:t>other foreign</w:t>
      </w:r>
      <w:r w:rsidR="000D3E85" w:rsidRPr="2E96ABE4">
        <w:rPr>
          <w:rFonts w:cs="Times New Roman"/>
        </w:rPr>
        <w:t xml:space="preserve"> (2</w:t>
      </w:r>
      <w:r w:rsidR="00903DBB">
        <w:rPr>
          <w:rFonts w:cs="Times New Roman"/>
        </w:rPr>
        <w:t>1</w:t>
      </w:r>
      <w:r w:rsidR="000D3E85" w:rsidRPr="2E96ABE4">
        <w:rPr>
          <w:rFonts w:cs="Times New Roman"/>
        </w:rPr>
        <w:t>%)</w:t>
      </w:r>
      <w:r w:rsidR="008E46B4" w:rsidRPr="2E96ABE4">
        <w:rPr>
          <w:rFonts w:cs="Times New Roman"/>
        </w:rPr>
        <w:t xml:space="preserve"> targets</w:t>
      </w:r>
      <w:r w:rsidR="00893EC5" w:rsidRPr="2E96ABE4">
        <w:rPr>
          <w:rFonts w:cs="Times New Roman"/>
        </w:rPr>
        <w:t>)</w:t>
      </w:r>
      <w:r w:rsidR="008E46B4" w:rsidRPr="2E96ABE4">
        <w:rPr>
          <w:rFonts w:cs="Times New Roman"/>
        </w:rPr>
        <w:t>.</w:t>
      </w:r>
      <w:r w:rsidR="00E00D27" w:rsidRPr="2E96ABE4">
        <w:rPr>
          <w:rStyle w:val="FootnoteReference"/>
          <w:rFonts w:cs="Times New Roman"/>
        </w:rPr>
        <w:footnoteReference w:id="52"/>
      </w:r>
      <w:r w:rsidR="005E27F1" w:rsidRPr="2E96ABE4">
        <w:rPr>
          <w:rFonts w:cs="Times New Roman"/>
        </w:rPr>
        <w:t xml:space="preserve"> </w:t>
      </w:r>
      <w:r w:rsidR="00827ACC" w:rsidRPr="2E96ABE4">
        <w:rPr>
          <w:rFonts w:cs="Times New Roman"/>
        </w:rPr>
        <w:t xml:space="preserve">  </w:t>
      </w:r>
      <w:r w:rsidR="004F396C" w:rsidRPr="2E96ABE4">
        <w:rPr>
          <w:rFonts w:cs="Times New Roman"/>
        </w:rPr>
        <w:t>W</w:t>
      </w:r>
      <w:r w:rsidR="004618FC" w:rsidRPr="2E96ABE4">
        <w:rPr>
          <w:rFonts w:cs="Times New Roman"/>
        </w:rPr>
        <w:t>e cannot know with any certainty that</w:t>
      </w:r>
      <w:r w:rsidR="00E9209D" w:rsidRPr="2E96ABE4">
        <w:rPr>
          <w:rFonts w:cs="Times New Roman"/>
        </w:rPr>
        <w:t xml:space="preserve"> th</w:t>
      </w:r>
      <w:r w:rsidR="004F396C" w:rsidRPr="2E96ABE4">
        <w:rPr>
          <w:rFonts w:cs="Times New Roman"/>
        </w:rPr>
        <w:t>e issuer’s responses or the outcomes experienced</w:t>
      </w:r>
      <w:r w:rsidR="00E9209D" w:rsidRPr="2E96ABE4">
        <w:rPr>
          <w:rFonts w:cs="Times New Roman"/>
        </w:rPr>
        <w:t xml:space="preserve"> were</w:t>
      </w:r>
      <w:r w:rsidR="004618FC" w:rsidRPr="2E96ABE4">
        <w:rPr>
          <w:rFonts w:cs="Times New Roman"/>
        </w:rPr>
        <w:t xml:space="preserve"> the direct result of the Campaign</w:t>
      </w:r>
      <w:r w:rsidR="004F396C" w:rsidRPr="2E96ABE4">
        <w:rPr>
          <w:rFonts w:cs="Times New Roman"/>
        </w:rPr>
        <w:t>, h</w:t>
      </w:r>
      <w:r w:rsidR="004618FC" w:rsidRPr="2E96ABE4">
        <w:rPr>
          <w:rFonts w:cs="Times New Roman"/>
        </w:rPr>
        <w:t xml:space="preserve">owever, </w:t>
      </w:r>
      <w:r w:rsidR="004A5DE6" w:rsidRPr="2E96ABE4">
        <w:rPr>
          <w:rFonts w:cs="Times New Roman"/>
        </w:rPr>
        <w:t>a</w:t>
      </w:r>
      <w:r w:rsidR="004618FC" w:rsidRPr="2E96ABE4">
        <w:rPr>
          <w:rFonts w:cs="Times New Roman"/>
        </w:rPr>
        <w:t>cademic</w:t>
      </w:r>
      <w:r w:rsidR="00733F11" w:rsidRPr="2E96ABE4">
        <w:rPr>
          <w:rFonts w:cs="Times New Roman"/>
        </w:rPr>
        <w:t>s</w:t>
      </w:r>
      <w:r w:rsidR="004618FC" w:rsidRPr="2E96ABE4">
        <w:rPr>
          <w:rFonts w:cs="Times New Roman"/>
        </w:rPr>
        <w:t xml:space="preserve"> </w:t>
      </w:r>
      <w:r w:rsidR="004A5DE6" w:rsidRPr="2E96ABE4">
        <w:rPr>
          <w:rFonts w:cs="Times New Roman"/>
        </w:rPr>
        <w:t xml:space="preserve">have </w:t>
      </w:r>
      <w:r w:rsidR="004618FC" w:rsidRPr="2E96ABE4">
        <w:rPr>
          <w:rFonts w:cs="Times New Roman"/>
        </w:rPr>
        <w:t>consider</w:t>
      </w:r>
      <w:r w:rsidR="004A5DE6" w:rsidRPr="2E96ABE4">
        <w:rPr>
          <w:rFonts w:cs="Times New Roman"/>
        </w:rPr>
        <w:t>ed</w:t>
      </w:r>
      <w:r w:rsidR="004618FC" w:rsidRPr="2E96ABE4">
        <w:rPr>
          <w:rFonts w:cs="Times New Roman"/>
        </w:rPr>
        <w:t xml:space="preserve"> such responses (or similar ones) to be indicat</w:t>
      </w:r>
      <w:r w:rsidR="004A5DE6" w:rsidRPr="2E96ABE4">
        <w:rPr>
          <w:rFonts w:cs="Times New Roman"/>
        </w:rPr>
        <w:t xml:space="preserve">ive that </w:t>
      </w:r>
      <w:r w:rsidR="000C1B8A" w:rsidRPr="2E96ABE4">
        <w:rPr>
          <w:rFonts w:cs="Times New Roman"/>
        </w:rPr>
        <w:t xml:space="preserve">a </w:t>
      </w:r>
      <w:r w:rsidR="007B0DFB">
        <w:rPr>
          <w:rFonts w:cs="Times New Roman"/>
        </w:rPr>
        <w:t>c</w:t>
      </w:r>
      <w:r w:rsidR="004618FC" w:rsidRPr="2E96ABE4">
        <w:rPr>
          <w:rFonts w:cs="Times New Roman"/>
        </w:rPr>
        <w:t>ampaign brought to light problems with the issuer</w:t>
      </w:r>
      <w:r w:rsidR="005E27F1" w:rsidRPr="2E96ABE4">
        <w:rPr>
          <w:rFonts w:cs="Times New Roman"/>
        </w:rPr>
        <w:t>.</w:t>
      </w:r>
      <w:r w:rsidR="002A7FB6" w:rsidRPr="2E96ABE4">
        <w:rPr>
          <w:rStyle w:val="FootnoteReference"/>
          <w:rFonts w:cs="Times New Roman"/>
        </w:rPr>
        <w:footnoteReference w:id="53"/>
      </w:r>
      <w:r w:rsidR="004618FC" w:rsidRPr="2E96ABE4">
        <w:rPr>
          <w:rFonts w:cs="Times New Roman"/>
          <w:b/>
          <w:bCs/>
        </w:rPr>
        <w:t xml:space="preserve"> </w:t>
      </w:r>
    </w:p>
    <w:p w14:paraId="78970D6F" w14:textId="77777777" w:rsidR="00994510" w:rsidRDefault="00994510" w:rsidP="00994510">
      <w:pPr>
        <w:spacing w:before="0" w:after="0"/>
        <w:rPr>
          <w:rFonts w:cs="Times New Roman"/>
          <w:b/>
          <w:bCs/>
        </w:rPr>
      </w:pPr>
    </w:p>
    <w:p w14:paraId="083ECD4C" w14:textId="2F0E96E7" w:rsidR="009877E8" w:rsidRDefault="009877E8" w:rsidP="00994510">
      <w:pPr>
        <w:pStyle w:val="SUB-SECTION"/>
        <w:spacing w:before="0" w:after="0"/>
        <w:jc w:val="left"/>
      </w:pPr>
      <w:r>
        <w:t>Analysis and Consultation Questions</w:t>
      </w:r>
    </w:p>
    <w:p w14:paraId="5DBFE280" w14:textId="77777777" w:rsidR="00BC37D8" w:rsidRDefault="00BC37D8" w:rsidP="00BC37D8">
      <w:pPr>
        <w:pStyle w:val="SUB-SECTION"/>
        <w:numPr>
          <w:ilvl w:val="0"/>
          <w:numId w:val="0"/>
        </w:numPr>
        <w:spacing w:before="0" w:after="0"/>
        <w:ind w:left="1440"/>
        <w:jc w:val="left"/>
      </w:pPr>
    </w:p>
    <w:p w14:paraId="09E0736B" w14:textId="77777777" w:rsidR="00994510" w:rsidRDefault="00CA149B" w:rsidP="00994510">
      <w:pPr>
        <w:spacing w:before="0" w:after="0"/>
        <w:rPr>
          <w:rFonts w:cs="Times New Roman"/>
          <w:szCs w:val="24"/>
        </w:rPr>
      </w:pPr>
      <w:r w:rsidRPr="003A23E2">
        <w:rPr>
          <w:rFonts w:cs="Times New Roman"/>
          <w:szCs w:val="24"/>
        </w:rPr>
        <w:t>There appears to be a perception that activist short selling is on the rise in Canada</w:t>
      </w:r>
      <w:r w:rsidRPr="003A23E2">
        <w:rPr>
          <w:rStyle w:val="FootnoteReference"/>
          <w:rFonts w:cs="Times New Roman"/>
          <w:szCs w:val="24"/>
        </w:rPr>
        <w:footnoteReference w:id="54"/>
      </w:r>
      <w:r w:rsidRPr="003A23E2">
        <w:rPr>
          <w:rFonts w:cs="Times New Roman"/>
          <w:szCs w:val="24"/>
        </w:rPr>
        <w:t xml:space="preserve"> and that this form of activism plays a negative role in our markets.</w:t>
      </w:r>
      <w:r w:rsidR="00953DB1" w:rsidRPr="003A23E2">
        <w:rPr>
          <w:rFonts w:cs="Times New Roman"/>
          <w:szCs w:val="24"/>
        </w:rPr>
        <w:t xml:space="preserve">  </w:t>
      </w:r>
      <w:r w:rsidRPr="003A23E2">
        <w:rPr>
          <w:rFonts w:cs="Times New Roman"/>
          <w:szCs w:val="24"/>
        </w:rPr>
        <w:t>As previously noted,</w:t>
      </w:r>
      <w:r w:rsidR="00994FA1" w:rsidRPr="003A23E2">
        <w:rPr>
          <w:rFonts w:cs="Times New Roman"/>
          <w:szCs w:val="24"/>
        </w:rPr>
        <w:t xml:space="preserve"> taking into consideration the </w:t>
      </w:r>
      <w:r w:rsidRPr="003A23E2">
        <w:rPr>
          <w:rFonts w:cs="Times New Roman"/>
          <w:szCs w:val="24"/>
        </w:rPr>
        <w:t>size of our market and the number of public companies, it does not appear that Canada’s experience with activist short selling is disproportionately high</w:t>
      </w:r>
      <w:r w:rsidR="00966464" w:rsidRPr="003A23E2">
        <w:rPr>
          <w:rFonts w:cs="Times New Roman"/>
          <w:szCs w:val="24"/>
        </w:rPr>
        <w:t xml:space="preserve"> compared to </w:t>
      </w:r>
      <w:r w:rsidR="00A21FB9">
        <w:rPr>
          <w:rFonts w:cs="Times New Roman"/>
          <w:szCs w:val="24"/>
        </w:rPr>
        <w:t>the U</w:t>
      </w:r>
      <w:r w:rsidR="0056343B">
        <w:rPr>
          <w:rFonts w:cs="Times New Roman"/>
          <w:szCs w:val="24"/>
        </w:rPr>
        <w:t>.</w:t>
      </w:r>
      <w:r w:rsidR="00A21FB9">
        <w:rPr>
          <w:rFonts w:cs="Times New Roman"/>
          <w:szCs w:val="24"/>
        </w:rPr>
        <w:t>S.</w:t>
      </w:r>
      <w:r w:rsidRPr="003A23E2">
        <w:rPr>
          <w:rFonts w:cs="Times New Roman"/>
          <w:szCs w:val="24"/>
        </w:rPr>
        <w:t xml:space="preserve">  </w:t>
      </w:r>
      <w:r w:rsidR="00E1230F" w:rsidRPr="003A23E2">
        <w:rPr>
          <w:rFonts w:cs="Times New Roman"/>
          <w:szCs w:val="24"/>
        </w:rPr>
        <w:t xml:space="preserve">With that said, </w:t>
      </w:r>
      <w:r w:rsidR="00D47D38" w:rsidRPr="003A23E2">
        <w:rPr>
          <w:rFonts w:cs="Times New Roman"/>
          <w:szCs w:val="24"/>
        </w:rPr>
        <w:t xml:space="preserve">we recognize that </w:t>
      </w:r>
      <w:r w:rsidR="00814A07" w:rsidRPr="003A23E2">
        <w:rPr>
          <w:rFonts w:cs="Times New Roman"/>
          <w:szCs w:val="24"/>
        </w:rPr>
        <w:t>comparisons of this nature</w:t>
      </w:r>
      <w:r w:rsidR="00B91E78">
        <w:rPr>
          <w:rFonts w:cs="Times New Roman"/>
          <w:szCs w:val="24"/>
        </w:rPr>
        <w:t>,</w:t>
      </w:r>
      <w:r w:rsidR="00814A07" w:rsidRPr="003A23E2">
        <w:rPr>
          <w:rFonts w:cs="Times New Roman"/>
          <w:szCs w:val="24"/>
        </w:rPr>
        <w:t xml:space="preserve"> or simply </w:t>
      </w:r>
      <w:r w:rsidR="00DB5F05">
        <w:rPr>
          <w:rFonts w:cs="Times New Roman"/>
          <w:szCs w:val="24"/>
        </w:rPr>
        <w:t>comparing the</w:t>
      </w:r>
      <w:r w:rsidR="00E711A7" w:rsidRPr="003A23E2">
        <w:rPr>
          <w:rFonts w:cs="Times New Roman"/>
          <w:szCs w:val="24"/>
        </w:rPr>
        <w:t xml:space="preserve"> absolute number of campaigns</w:t>
      </w:r>
      <w:r w:rsidR="00B91E78">
        <w:rPr>
          <w:rFonts w:cs="Times New Roman"/>
          <w:szCs w:val="24"/>
        </w:rPr>
        <w:t xml:space="preserve">, </w:t>
      </w:r>
      <w:r w:rsidR="00814A07" w:rsidRPr="003A23E2">
        <w:rPr>
          <w:rFonts w:cs="Times New Roman"/>
          <w:szCs w:val="24"/>
        </w:rPr>
        <w:t xml:space="preserve">does not provide the necessary context to </w:t>
      </w:r>
      <w:r w:rsidR="00D47D38" w:rsidRPr="003A23E2">
        <w:rPr>
          <w:rFonts w:cs="Times New Roman"/>
          <w:szCs w:val="24"/>
        </w:rPr>
        <w:t>understand the issue</w:t>
      </w:r>
      <w:r w:rsidR="007F4D1E" w:rsidRPr="003A23E2">
        <w:rPr>
          <w:rFonts w:cs="Times New Roman"/>
          <w:szCs w:val="24"/>
        </w:rPr>
        <w:t>s</w:t>
      </w:r>
      <w:r w:rsidR="00D47D38" w:rsidRPr="003A23E2">
        <w:rPr>
          <w:rFonts w:cs="Times New Roman"/>
          <w:szCs w:val="24"/>
        </w:rPr>
        <w:t>.</w:t>
      </w:r>
      <w:r w:rsidR="007F4D1E" w:rsidRPr="003A23E2">
        <w:rPr>
          <w:rFonts w:cs="Times New Roman"/>
          <w:szCs w:val="24"/>
        </w:rPr>
        <w:t xml:space="preserve">  Market factors unique to each jurisdiction must be considered.</w:t>
      </w:r>
      <w:r w:rsidR="007F4D1E">
        <w:rPr>
          <w:rFonts w:cs="Times New Roman"/>
          <w:szCs w:val="24"/>
        </w:rPr>
        <w:t xml:space="preserve"> </w:t>
      </w:r>
    </w:p>
    <w:p w14:paraId="6C5684D8" w14:textId="04FA1ABD" w:rsidR="00D47D38" w:rsidRDefault="00814A07" w:rsidP="00994510">
      <w:pPr>
        <w:spacing w:before="0" w:after="0"/>
        <w:rPr>
          <w:rFonts w:cs="Times New Roman"/>
          <w:szCs w:val="24"/>
        </w:rPr>
      </w:pPr>
      <w:r>
        <w:rPr>
          <w:rFonts w:cs="Times New Roman"/>
          <w:szCs w:val="24"/>
        </w:rPr>
        <w:t xml:space="preserve"> </w:t>
      </w:r>
    </w:p>
    <w:p w14:paraId="081FAE96" w14:textId="77777777" w:rsidR="00994510" w:rsidRDefault="00CA149B" w:rsidP="00994510">
      <w:pPr>
        <w:spacing w:before="0" w:after="0"/>
        <w:rPr>
          <w:rFonts w:cs="Times New Roman"/>
          <w:szCs w:val="24"/>
        </w:rPr>
      </w:pPr>
      <w:r>
        <w:rPr>
          <w:rFonts w:cs="Times New Roman"/>
          <w:szCs w:val="24"/>
        </w:rPr>
        <w:t>T</w:t>
      </w:r>
      <w:r w:rsidRPr="002C7102">
        <w:rPr>
          <w:rFonts w:cs="Times New Roman"/>
          <w:szCs w:val="24"/>
        </w:rPr>
        <w:t>he available empirical evidence indicates that recent increases in Campaigns may be indicative of a cyclical trend, i.e.</w:t>
      </w:r>
      <w:r w:rsidR="0072699F">
        <w:rPr>
          <w:rFonts w:cs="Times New Roman"/>
          <w:szCs w:val="24"/>
        </w:rPr>
        <w:t>,</w:t>
      </w:r>
      <w:r w:rsidRPr="002C7102">
        <w:rPr>
          <w:rFonts w:cs="Times New Roman"/>
          <w:szCs w:val="24"/>
        </w:rPr>
        <w:t xml:space="preserve"> activist short sellers targeting issuers in specific potentially overheated sectors</w:t>
      </w:r>
      <w:r>
        <w:rPr>
          <w:rFonts w:cs="Times New Roman"/>
          <w:szCs w:val="24"/>
        </w:rPr>
        <w:t>.  This suggests that our market will see increases in activism of this nature where there is a sense that an industry sector</w:t>
      </w:r>
      <w:r w:rsidR="0073127A">
        <w:rPr>
          <w:rFonts w:cs="Times New Roman"/>
          <w:szCs w:val="24"/>
        </w:rPr>
        <w:t xml:space="preserve"> or issuer</w:t>
      </w:r>
      <w:r>
        <w:rPr>
          <w:rFonts w:cs="Times New Roman"/>
          <w:szCs w:val="24"/>
        </w:rPr>
        <w:t xml:space="preserve"> is overvalued, but does not necessarily address whether, in this context, there </w:t>
      </w:r>
      <w:r w:rsidR="001E785B">
        <w:rPr>
          <w:rFonts w:cs="Times New Roman"/>
          <w:szCs w:val="24"/>
        </w:rPr>
        <w:t xml:space="preserve">is </w:t>
      </w:r>
      <w:r>
        <w:rPr>
          <w:rFonts w:cs="Times New Roman"/>
          <w:szCs w:val="24"/>
        </w:rPr>
        <w:t>misconduct</w:t>
      </w:r>
      <w:r w:rsidR="0020795F">
        <w:rPr>
          <w:rFonts w:cs="Times New Roman"/>
          <w:szCs w:val="24"/>
        </w:rPr>
        <w:t xml:space="preserve"> by activist short sellers</w:t>
      </w:r>
      <w:r w:rsidRPr="00625759">
        <w:rPr>
          <w:rFonts w:cs="Times New Roman"/>
          <w:szCs w:val="24"/>
        </w:rPr>
        <w:t xml:space="preserve">. </w:t>
      </w:r>
    </w:p>
    <w:p w14:paraId="4E334110" w14:textId="650EE979" w:rsidR="00CA149B" w:rsidRDefault="00CA149B" w:rsidP="00994510">
      <w:pPr>
        <w:spacing w:before="0" w:after="0"/>
        <w:rPr>
          <w:rFonts w:cs="Times New Roman"/>
          <w:szCs w:val="24"/>
        </w:rPr>
      </w:pPr>
      <w:r w:rsidRPr="00625759">
        <w:rPr>
          <w:rFonts w:cs="Times New Roman"/>
          <w:szCs w:val="24"/>
        </w:rPr>
        <w:t xml:space="preserve">  </w:t>
      </w:r>
    </w:p>
    <w:p w14:paraId="1F53E08D" w14:textId="3FE15EE9" w:rsidR="006B58D1" w:rsidRDefault="003A23E2" w:rsidP="00994510">
      <w:pPr>
        <w:spacing w:before="0" w:after="0"/>
        <w:rPr>
          <w:rFonts w:cs="Times New Roman"/>
        </w:rPr>
      </w:pPr>
      <w:r w:rsidRPr="2E96ABE4">
        <w:rPr>
          <w:rFonts w:cs="Times New Roman"/>
        </w:rPr>
        <w:t>Activism by short selling is premised on effecting a loss of shareholder value for the target issuer</w:t>
      </w:r>
      <w:r w:rsidR="00FD0D03" w:rsidRPr="2E96ABE4">
        <w:rPr>
          <w:rFonts w:cs="Times New Roman"/>
        </w:rPr>
        <w:t>,</w:t>
      </w:r>
      <w:r w:rsidRPr="2E96ABE4">
        <w:rPr>
          <w:rFonts w:cs="Times New Roman"/>
        </w:rPr>
        <w:t xml:space="preserve"> which makes it controversial. </w:t>
      </w:r>
      <w:r w:rsidR="00F95525" w:rsidRPr="2E96ABE4">
        <w:rPr>
          <w:rFonts w:cs="Times New Roman"/>
        </w:rPr>
        <w:t xml:space="preserve"> </w:t>
      </w:r>
      <w:r w:rsidR="00CA149B" w:rsidRPr="2E96ABE4">
        <w:rPr>
          <w:rFonts w:cs="Times New Roman"/>
        </w:rPr>
        <w:t xml:space="preserve">Most academic studies </w:t>
      </w:r>
      <w:r w:rsidR="003C3236" w:rsidRPr="2E96ABE4">
        <w:rPr>
          <w:rFonts w:cs="Times New Roman"/>
        </w:rPr>
        <w:t xml:space="preserve">of U.S. markets </w:t>
      </w:r>
      <w:r w:rsidR="00CA149B" w:rsidRPr="2E96ABE4">
        <w:rPr>
          <w:rFonts w:cs="Times New Roman"/>
        </w:rPr>
        <w:t>support the notion that activist short sellers are more likely to improve the market’s informational</w:t>
      </w:r>
      <w:r w:rsidR="00736A25" w:rsidRPr="2E96ABE4">
        <w:rPr>
          <w:rFonts w:cs="Times New Roman"/>
        </w:rPr>
        <w:t>/price</w:t>
      </w:r>
      <w:r w:rsidR="00CA149B" w:rsidRPr="2E96ABE4">
        <w:rPr>
          <w:rFonts w:cs="Times New Roman"/>
        </w:rPr>
        <w:t xml:space="preserve"> efficiency by identifying actual problems with an issuer’s business and operations, than they </w:t>
      </w:r>
      <w:r w:rsidR="00966464" w:rsidRPr="2E96ABE4">
        <w:rPr>
          <w:rFonts w:cs="Times New Roman"/>
        </w:rPr>
        <w:t>a</w:t>
      </w:r>
      <w:r w:rsidR="00CA149B" w:rsidRPr="2E96ABE4">
        <w:rPr>
          <w:rFonts w:cs="Times New Roman"/>
        </w:rPr>
        <w:t xml:space="preserve">re to engage in “short and distort” strategies. </w:t>
      </w:r>
      <w:r w:rsidR="00F95525" w:rsidRPr="2E96ABE4">
        <w:rPr>
          <w:rFonts w:cs="Times New Roman"/>
        </w:rPr>
        <w:t xml:space="preserve"> </w:t>
      </w:r>
      <w:r w:rsidR="00D536F5" w:rsidRPr="2E96ABE4">
        <w:rPr>
          <w:rFonts w:cs="Times New Roman"/>
        </w:rPr>
        <w:t>The analysis of post</w:t>
      </w:r>
      <w:r w:rsidR="00D536F5" w:rsidRPr="2E96ABE4">
        <w:rPr>
          <w:rFonts w:cs="Times New Roman"/>
          <w:b/>
          <w:bCs/>
        </w:rPr>
        <w:t>-</w:t>
      </w:r>
      <w:r w:rsidR="00D536F5" w:rsidRPr="2E96ABE4">
        <w:rPr>
          <w:rFonts w:cs="Times New Roman"/>
        </w:rPr>
        <w:t>Campaign outcomes and responses by issuers suggest</w:t>
      </w:r>
      <w:r w:rsidR="0056343B" w:rsidRPr="2E96ABE4">
        <w:rPr>
          <w:rFonts w:cs="Times New Roman"/>
        </w:rPr>
        <w:t>s</w:t>
      </w:r>
      <w:r w:rsidR="002F5222" w:rsidRPr="2E96ABE4">
        <w:rPr>
          <w:rFonts w:cs="Times New Roman"/>
        </w:rPr>
        <w:t xml:space="preserve"> the allegations </w:t>
      </w:r>
      <w:r w:rsidR="002760FB" w:rsidRPr="2E96ABE4">
        <w:rPr>
          <w:rFonts w:cs="Times New Roman"/>
        </w:rPr>
        <w:t>have been a force for change</w:t>
      </w:r>
      <w:r w:rsidR="00F441E1" w:rsidRPr="2E96ABE4">
        <w:rPr>
          <w:rFonts w:cs="Times New Roman"/>
        </w:rPr>
        <w:t xml:space="preserve"> although it is not obvious that such changes </w:t>
      </w:r>
      <w:r w:rsidR="00234819" w:rsidRPr="2E96ABE4">
        <w:rPr>
          <w:rFonts w:cs="Times New Roman"/>
        </w:rPr>
        <w:t xml:space="preserve">were </w:t>
      </w:r>
      <w:r w:rsidR="000C6A48" w:rsidRPr="2E96ABE4">
        <w:rPr>
          <w:rFonts w:cs="Times New Roman"/>
        </w:rPr>
        <w:t>intended</w:t>
      </w:r>
      <w:r w:rsidR="00F441E1" w:rsidRPr="2E96ABE4">
        <w:rPr>
          <w:rFonts w:cs="Times New Roman"/>
        </w:rPr>
        <w:t xml:space="preserve"> </w:t>
      </w:r>
      <w:r w:rsidR="00EB796F" w:rsidRPr="2E96ABE4">
        <w:rPr>
          <w:rFonts w:cs="Times New Roman"/>
        </w:rPr>
        <w:t>to</w:t>
      </w:r>
      <w:r w:rsidR="00D536F5" w:rsidRPr="2E96ABE4">
        <w:rPr>
          <w:rFonts w:cs="Times New Roman"/>
        </w:rPr>
        <w:t xml:space="preserve"> address the concerns raised by the Campaign.  </w:t>
      </w:r>
    </w:p>
    <w:p w14:paraId="4402D581" w14:textId="77777777" w:rsidR="00994510" w:rsidRDefault="00994510" w:rsidP="00994510">
      <w:pPr>
        <w:spacing w:before="0" w:after="0"/>
        <w:rPr>
          <w:rFonts w:cs="Times New Roman"/>
        </w:rPr>
      </w:pPr>
    </w:p>
    <w:p w14:paraId="6FDA3D9D" w14:textId="1F6CC5C8" w:rsidR="00EB796F" w:rsidRDefault="00C5713A" w:rsidP="00994510">
      <w:pPr>
        <w:spacing w:before="0" w:after="0"/>
        <w:rPr>
          <w:rFonts w:cs="Times New Roman"/>
          <w:szCs w:val="24"/>
        </w:rPr>
      </w:pPr>
      <w:r>
        <w:rPr>
          <w:rFonts w:cs="Times New Roman"/>
          <w:szCs w:val="24"/>
        </w:rPr>
        <w:t>A</w:t>
      </w:r>
      <w:r w:rsidRPr="00FA584B">
        <w:rPr>
          <w:rFonts w:cs="Times New Roman"/>
          <w:szCs w:val="24"/>
        </w:rPr>
        <w:t xml:space="preserve">ctivist short sellers are </w:t>
      </w:r>
      <w:r w:rsidR="006B58D1">
        <w:rPr>
          <w:rFonts w:cs="Times New Roman"/>
          <w:szCs w:val="24"/>
        </w:rPr>
        <w:t xml:space="preserve">also </w:t>
      </w:r>
      <w:r w:rsidRPr="00FA584B">
        <w:rPr>
          <w:rFonts w:cs="Times New Roman"/>
          <w:szCs w:val="24"/>
        </w:rPr>
        <w:t xml:space="preserve">criticized for being driven by short-term trading profits rather than promoting long-run price accuracy.  </w:t>
      </w:r>
      <w:r>
        <w:rPr>
          <w:rFonts w:cs="Times New Roman"/>
          <w:szCs w:val="24"/>
        </w:rPr>
        <w:t xml:space="preserve">However, they can also </w:t>
      </w:r>
      <w:r w:rsidRPr="00FA584B">
        <w:rPr>
          <w:rFonts w:cs="Times New Roman"/>
          <w:szCs w:val="24"/>
        </w:rPr>
        <w:t>serve as a countervailing check on the potential for excessive market optimism.</w:t>
      </w:r>
    </w:p>
    <w:p w14:paraId="2AEC5137" w14:textId="77777777" w:rsidR="00994510" w:rsidRPr="00EB796F" w:rsidRDefault="00994510" w:rsidP="00994510">
      <w:pPr>
        <w:spacing w:before="0" w:after="0"/>
        <w:rPr>
          <w:rFonts w:cs="Times New Roman"/>
          <w:szCs w:val="24"/>
        </w:rPr>
      </w:pPr>
    </w:p>
    <w:p w14:paraId="227A9950" w14:textId="511411BB" w:rsidR="000E0E2E" w:rsidRDefault="006B58D1" w:rsidP="00994510">
      <w:pPr>
        <w:spacing w:before="0" w:after="0"/>
        <w:rPr>
          <w:rFonts w:cs="Times New Roman"/>
          <w:szCs w:val="24"/>
        </w:rPr>
      </w:pPr>
      <w:r>
        <w:rPr>
          <w:rFonts w:cs="Times New Roman"/>
          <w:szCs w:val="24"/>
        </w:rPr>
        <w:t xml:space="preserve">Lastly, we </w:t>
      </w:r>
      <w:r w:rsidR="009F7AEC">
        <w:rPr>
          <w:rFonts w:cs="Times New Roman"/>
          <w:szCs w:val="24"/>
        </w:rPr>
        <w:t>recognize</w:t>
      </w:r>
      <w:r>
        <w:rPr>
          <w:rFonts w:cs="Times New Roman"/>
          <w:szCs w:val="24"/>
        </w:rPr>
        <w:t xml:space="preserve"> that t</w:t>
      </w:r>
      <w:r w:rsidR="00814A07">
        <w:rPr>
          <w:rFonts w:cs="Times New Roman"/>
          <w:szCs w:val="24"/>
        </w:rPr>
        <w:t>argeted</w:t>
      </w:r>
      <w:r w:rsidR="000E0E2E">
        <w:rPr>
          <w:rFonts w:cs="Times New Roman"/>
          <w:szCs w:val="24"/>
        </w:rPr>
        <w:t xml:space="preserve"> issuers may be reluctant to complain to the </w:t>
      </w:r>
      <w:r w:rsidR="004B5313">
        <w:rPr>
          <w:rFonts w:cs="Times New Roman"/>
          <w:szCs w:val="24"/>
        </w:rPr>
        <w:t xml:space="preserve">securities </w:t>
      </w:r>
      <w:r w:rsidR="000E0E2E">
        <w:rPr>
          <w:rFonts w:cs="Times New Roman"/>
          <w:szCs w:val="24"/>
        </w:rPr>
        <w:t xml:space="preserve">regulator about what they view as problematic conduct in the context of a campaign as this may be seen as inviting a review of the allegations by the regulator.  </w:t>
      </w:r>
      <w:r w:rsidR="00803C5E">
        <w:rPr>
          <w:rFonts w:cs="Times New Roman"/>
          <w:szCs w:val="24"/>
        </w:rPr>
        <w:t>An issuer’s r</w:t>
      </w:r>
      <w:r w:rsidR="000E0E2E">
        <w:rPr>
          <w:rFonts w:cs="Times New Roman"/>
          <w:szCs w:val="24"/>
        </w:rPr>
        <w:t>esponse</w:t>
      </w:r>
      <w:r w:rsidR="00803C5E">
        <w:rPr>
          <w:rFonts w:cs="Times New Roman"/>
          <w:szCs w:val="24"/>
        </w:rPr>
        <w:t xml:space="preserve"> following a campaign </w:t>
      </w:r>
      <w:r w:rsidR="000E0E2E">
        <w:rPr>
          <w:rFonts w:cs="Times New Roman"/>
          <w:szCs w:val="24"/>
        </w:rPr>
        <w:lastRenderedPageBreak/>
        <w:t xml:space="preserve">may be seen as giving credibility </w:t>
      </w:r>
      <w:r w:rsidR="00A52D3E">
        <w:rPr>
          <w:rFonts w:cs="Times New Roman"/>
          <w:szCs w:val="24"/>
        </w:rPr>
        <w:t xml:space="preserve">or in some way substantiating the legitimacy of </w:t>
      </w:r>
      <w:r w:rsidR="000E0E2E">
        <w:rPr>
          <w:rFonts w:cs="Times New Roman"/>
          <w:szCs w:val="24"/>
        </w:rPr>
        <w:t xml:space="preserve">the issues raised, </w:t>
      </w:r>
      <w:r w:rsidR="00F50001">
        <w:rPr>
          <w:rFonts w:cs="Times New Roman"/>
          <w:szCs w:val="24"/>
        </w:rPr>
        <w:t xml:space="preserve">however, </w:t>
      </w:r>
      <w:r w:rsidR="000E0E2E">
        <w:rPr>
          <w:rFonts w:cs="Times New Roman"/>
          <w:szCs w:val="24"/>
        </w:rPr>
        <w:t xml:space="preserve">it also may be that issuers </w:t>
      </w:r>
      <w:r w:rsidR="00A52D3E">
        <w:rPr>
          <w:rFonts w:cs="Times New Roman"/>
          <w:szCs w:val="24"/>
        </w:rPr>
        <w:t xml:space="preserve">are choosing to </w:t>
      </w:r>
      <w:r w:rsidR="000E0E2E">
        <w:rPr>
          <w:rFonts w:cs="Times New Roman"/>
          <w:szCs w:val="24"/>
        </w:rPr>
        <w:t xml:space="preserve">respond </w:t>
      </w:r>
      <w:r w:rsidR="00A52D3E">
        <w:rPr>
          <w:rFonts w:cs="Times New Roman"/>
          <w:szCs w:val="24"/>
        </w:rPr>
        <w:t xml:space="preserve">for </w:t>
      </w:r>
      <w:r w:rsidR="00B855FC">
        <w:rPr>
          <w:rFonts w:cs="Times New Roman"/>
          <w:szCs w:val="24"/>
        </w:rPr>
        <w:t xml:space="preserve">other </w:t>
      </w:r>
      <w:r w:rsidR="000E0E2E">
        <w:rPr>
          <w:rFonts w:cs="Times New Roman"/>
          <w:szCs w:val="24"/>
        </w:rPr>
        <w:t>strategic</w:t>
      </w:r>
      <w:r w:rsidR="00294069">
        <w:rPr>
          <w:rFonts w:cs="Times New Roman"/>
          <w:szCs w:val="24"/>
        </w:rPr>
        <w:t xml:space="preserve"> reasons</w:t>
      </w:r>
      <w:r w:rsidR="00B16778">
        <w:rPr>
          <w:rFonts w:cs="Times New Roman"/>
          <w:szCs w:val="24"/>
        </w:rPr>
        <w:t>.</w:t>
      </w:r>
      <w:r w:rsidR="000E0E2E">
        <w:rPr>
          <w:rFonts w:cs="Times New Roman"/>
          <w:szCs w:val="24"/>
        </w:rPr>
        <w:t xml:space="preserve"> </w:t>
      </w:r>
    </w:p>
    <w:p w14:paraId="09F91A1D" w14:textId="77777777" w:rsidR="00994510" w:rsidRDefault="00994510" w:rsidP="00994510">
      <w:pPr>
        <w:spacing w:before="0" w:after="0"/>
        <w:rPr>
          <w:rFonts w:cs="Times New Roman"/>
          <w:szCs w:val="24"/>
        </w:rPr>
      </w:pPr>
    </w:p>
    <w:p w14:paraId="54584D7B" w14:textId="68829C89" w:rsidR="00CA149B" w:rsidRDefault="00CA149B" w:rsidP="00994510">
      <w:pPr>
        <w:pStyle w:val="Heading3"/>
        <w:spacing w:before="0" w:after="0"/>
      </w:pPr>
      <w:r w:rsidRPr="00DF520B">
        <w:t>Consultation Questions</w:t>
      </w:r>
      <w:r>
        <w:t xml:space="preserve"> </w:t>
      </w:r>
    </w:p>
    <w:p w14:paraId="75BC2BA7" w14:textId="77777777" w:rsidR="00994510" w:rsidRPr="00994510" w:rsidRDefault="00994510" w:rsidP="00994510">
      <w:pPr>
        <w:spacing w:before="0" w:after="0"/>
      </w:pPr>
    </w:p>
    <w:p w14:paraId="55FED793" w14:textId="77777777" w:rsidR="00994510" w:rsidRDefault="00584D66" w:rsidP="00994510">
      <w:pPr>
        <w:numPr>
          <w:ilvl w:val="0"/>
          <w:numId w:val="25"/>
        </w:numPr>
        <w:spacing w:before="0" w:after="0"/>
        <w:rPr>
          <w:rFonts w:eastAsia="Calibri" w:cs="Times New Roman"/>
          <w:szCs w:val="24"/>
        </w:rPr>
      </w:pPr>
      <w:bookmarkStart w:id="6" w:name="_Hlk34407969"/>
      <w:bookmarkStart w:id="7" w:name="_Hlk34408131"/>
      <w:r>
        <w:rPr>
          <w:rFonts w:eastAsia="Calibri" w:cs="Times New Roman"/>
          <w:szCs w:val="24"/>
        </w:rPr>
        <w:t xml:space="preserve">What is your perception about </w:t>
      </w:r>
      <w:r w:rsidR="00CA149B" w:rsidRPr="00C26FBB">
        <w:rPr>
          <w:rFonts w:eastAsia="Calibri" w:cs="Times New Roman"/>
          <w:szCs w:val="24"/>
        </w:rPr>
        <w:t xml:space="preserve">activist short sellers?   </w:t>
      </w:r>
      <w:r>
        <w:rPr>
          <w:rFonts w:eastAsia="Calibri" w:cs="Times New Roman"/>
          <w:szCs w:val="24"/>
        </w:rPr>
        <w:t xml:space="preserve">Please describe the basis of that perception. </w:t>
      </w:r>
    </w:p>
    <w:p w14:paraId="5AA14318" w14:textId="54582E8E" w:rsidR="00CA149B" w:rsidRPr="00C26FBB" w:rsidRDefault="00CA149B" w:rsidP="00994510">
      <w:pPr>
        <w:spacing w:before="0" w:after="0"/>
        <w:ind w:left="360"/>
        <w:rPr>
          <w:rFonts w:eastAsia="Calibri" w:cs="Times New Roman"/>
          <w:szCs w:val="24"/>
        </w:rPr>
      </w:pPr>
      <w:r w:rsidRPr="00C26FBB">
        <w:rPr>
          <w:rFonts w:eastAsia="Calibri" w:cs="Times New Roman"/>
          <w:szCs w:val="24"/>
        </w:rPr>
        <w:t xml:space="preserve"> </w:t>
      </w:r>
    </w:p>
    <w:p w14:paraId="7797E0A2" w14:textId="6B1DEBCD" w:rsidR="00CA149B" w:rsidRDefault="00CA149B" w:rsidP="00994510">
      <w:pPr>
        <w:numPr>
          <w:ilvl w:val="0"/>
          <w:numId w:val="25"/>
        </w:numPr>
        <w:spacing w:before="0" w:after="0"/>
        <w:rPr>
          <w:rFonts w:eastAsia="Calibri" w:cs="Times New Roman"/>
          <w:szCs w:val="24"/>
        </w:rPr>
      </w:pPr>
      <w:r w:rsidRPr="00DF520B">
        <w:rPr>
          <w:rFonts w:eastAsia="Calibri" w:cs="Times New Roman"/>
          <w:szCs w:val="24"/>
        </w:rPr>
        <w:t xml:space="preserve">Can you give examples of conduct in activist short selling Campaigns </w:t>
      </w:r>
      <w:r w:rsidR="00584D66" w:rsidRPr="00DF520B">
        <w:rPr>
          <w:rFonts w:eastAsia="Calibri" w:cs="Times New Roman"/>
          <w:szCs w:val="24"/>
        </w:rPr>
        <w:t xml:space="preserve">that you </w:t>
      </w:r>
      <w:r w:rsidRPr="00DF520B">
        <w:rPr>
          <w:rFonts w:eastAsia="Calibri" w:cs="Times New Roman"/>
          <w:szCs w:val="24"/>
        </w:rPr>
        <w:t xml:space="preserve">view </w:t>
      </w:r>
      <w:r w:rsidR="00584D66" w:rsidRPr="00DF520B">
        <w:rPr>
          <w:rFonts w:eastAsia="Calibri" w:cs="Times New Roman"/>
          <w:szCs w:val="24"/>
        </w:rPr>
        <w:t>as</w:t>
      </w:r>
      <w:r w:rsidRPr="00DF520B">
        <w:rPr>
          <w:rFonts w:eastAsia="Calibri" w:cs="Times New Roman"/>
          <w:szCs w:val="24"/>
        </w:rPr>
        <w:t xml:space="preserve"> problematic?</w:t>
      </w:r>
    </w:p>
    <w:p w14:paraId="75EBFBCC" w14:textId="147FBCA5" w:rsidR="00994510" w:rsidRPr="00DF520B" w:rsidRDefault="00994510" w:rsidP="00994510">
      <w:pPr>
        <w:spacing w:before="0" w:after="0"/>
        <w:rPr>
          <w:rFonts w:eastAsia="Calibri" w:cs="Times New Roman"/>
          <w:szCs w:val="24"/>
        </w:rPr>
      </w:pPr>
    </w:p>
    <w:p w14:paraId="18919CCB" w14:textId="000CE491" w:rsidR="00CA149B" w:rsidRDefault="00CA149B" w:rsidP="00994510">
      <w:pPr>
        <w:numPr>
          <w:ilvl w:val="0"/>
          <w:numId w:val="25"/>
        </w:numPr>
        <w:spacing w:before="0" w:after="0"/>
        <w:rPr>
          <w:rFonts w:eastAsia="Calibri" w:cs="Times New Roman"/>
          <w:szCs w:val="24"/>
        </w:rPr>
      </w:pPr>
      <w:r w:rsidRPr="00DF520B">
        <w:rPr>
          <w:rFonts w:eastAsia="Calibri" w:cs="Times New Roman"/>
          <w:szCs w:val="24"/>
        </w:rPr>
        <w:t xml:space="preserve">Given the focus of </w:t>
      </w:r>
      <w:r w:rsidR="009C72CA" w:rsidRPr="00DF520B">
        <w:rPr>
          <w:rFonts w:eastAsia="Calibri" w:cs="Times New Roman"/>
          <w:szCs w:val="24"/>
        </w:rPr>
        <w:t>the available data is</w:t>
      </w:r>
      <w:r w:rsidRPr="00DF520B">
        <w:rPr>
          <w:rFonts w:eastAsia="Calibri" w:cs="Times New Roman"/>
          <w:szCs w:val="24"/>
        </w:rPr>
        <w:t xml:space="preserve"> on prominent activist short sellers, </w:t>
      </w:r>
      <w:r w:rsidR="00584D66" w:rsidRPr="00DF520B">
        <w:rPr>
          <w:rFonts w:eastAsia="Calibri" w:cs="Times New Roman"/>
          <w:szCs w:val="24"/>
        </w:rPr>
        <w:t xml:space="preserve">what is your view regarding </w:t>
      </w:r>
      <w:r w:rsidRPr="00DF520B">
        <w:rPr>
          <w:rFonts w:eastAsia="Calibri" w:cs="Times New Roman"/>
          <w:szCs w:val="24"/>
        </w:rPr>
        <w:t xml:space="preserve">less prominent activist short sellers or pseudonymous activist short sellers targeting Canadian issuers?  How can they be identified? Is there any evidence that they are engaging in short and distort </w:t>
      </w:r>
      <w:r w:rsidR="000C1B8A">
        <w:rPr>
          <w:rFonts w:eastAsia="Calibri" w:cs="Times New Roman"/>
          <w:szCs w:val="24"/>
        </w:rPr>
        <w:t>C</w:t>
      </w:r>
      <w:r w:rsidRPr="00DF520B">
        <w:rPr>
          <w:rFonts w:eastAsia="Calibri" w:cs="Times New Roman"/>
          <w:szCs w:val="24"/>
        </w:rPr>
        <w:t>ampaigns?</w:t>
      </w:r>
    </w:p>
    <w:p w14:paraId="09A94680" w14:textId="3BA60BCF" w:rsidR="00994510" w:rsidRPr="00DF520B" w:rsidRDefault="00994510" w:rsidP="00994510">
      <w:pPr>
        <w:spacing w:before="0" w:after="0"/>
        <w:rPr>
          <w:rFonts w:eastAsia="Calibri" w:cs="Times New Roman"/>
          <w:szCs w:val="24"/>
        </w:rPr>
      </w:pPr>
    </w:p>
    <w:p w14:paraId="186A9FEF" w14:textId="77777777" w:rsidR="00994510" w:rsidRDefault="00992CAC" w:rsidP="00994510">
      <w:pPr>
        <w:numPr>
          <w:ilvl w:val="0"/>
          <w:numId w:val="25"/>
        </w:numPr>
        <w:spacing w:before="0" w:after="0"/>
        <w:rPr>
          <w:rFonts w:eastAsia="Calibri" w:cs="Times New Roman"/>
          <w:szCs w:val="24"/>
        </w:rPr>
      </w:pPr>
      <w:r>
        <w:rPr>
          <w:rFonts w:eastAsia="Calibri" w:cs="Times New Roman"/>
          <w:szCs w:val="24"/>
        </w:rPr>
        <w:t>What</w:t>
      </w:r>
      <w:r w:rsidR="00CA149B" w:rsidRPr="00C26FBB">
        <w:rPr>
          <w:rFonts w:eastAsia="Calibri" w:cs="Times New Roman"/>
          <w:szCs w:val="24"/>
        </w:rPr>
        <w:t xml:space="preserve"> empirical data sources related to </w:t>
      </w:r>
      <w:r w:rsidR="003B506C" w:rsidRPr="00C26FBB">
        <w:rPr>
          <w:rFonts w:eastAsia="Calibri" w:cs="Times New Roman"/>
          <w:szCs w:val="24"/>
        </w:rPr>
        <w:t>Campaigns</w:t>
      </w:r>
      <w:r w:rsidR="00CA149B" w:rsidRPr="00C26FBB">
        <w:rPr>
          <w:rFonts w:eastAsia="Calibri" w:cs="Times New Roman"/>
          <w:szCs w:val="24"/>
        </w:rPr>
        <w:t xml:space="preserve"> should </w:t>
      </w:r>
      <w:r>
        <w:rPr>
          <w:rFonts w:eastAsia="Calibri" w:cs="Times New Roman"/>
          <w:szCs w:val="24"/>
        </w:rPr>
        <w:t xml:space="preserve">we </w:t>
      </w:r>
      <w:r w:rsidR="00CA149B" w:rsidRPr="00C26FBB">
        <w:rPr>
          <w:rFonts w:eastAsia="Calibri" w:cs="Times New Roman"/>
          <w:szCs w:val="24"/>
        </w:rPr>
        <w:t>consider?</w:t>
      </w:r>
    </w:p>
    <w:p w14:paraId="2538C7A1" w14:textId="69C055F5" w:rsidR="00CA149B" w:rsidRPr="00C26FBB" w:rsidRDefault="00CA149B" w:rsidP="00994510">
      <w:pPr>
        <w:spacing w:before="0" w:after="0"/>
        <w:rPr>
          <w:rFonts w:eastAsia="Calibri" w:cs="Times New Roman"/>
          <w:szCs w:val="24"/>
        </w:rPr>
      </w:pPr>
      <w:r w:rsidRPr="00C26FBB">
        <w:rPr>
          <w:rFonts w:eastAsia="Calibri" w:cs="Times New Roman"/>
          <w:szCs w:val="24"/>
        </w:rPr>
        <w:t xml:space="preserve">  </w:t>
      </w:r>
    </w:p>
    <w:p w14:paraId="0E4F2197" w14:textId="4EDD7AD2" w:rsidR="00CA149B" w:rsidRDefault="00CA149B" w:rsidP="00994510">
      <w:pPr>
        <w:numPr>
          <w:ilvl w:val="0"/>
          <w:numId w:val="25"/>
        </w:numPr>
        <w:spacing w:before="0" w:after="0"/>
        <w:rPr>
          <w:rFonts w:eastAsia="Calibri" w:cs="Times New Roman"/>
          <w:szCs w:val="24"/>
        </w:rPr>
      </w:pPr>
      <w:r w:rsidRPr="00C26FBB">
        <w:rPr>
          <w:rFonts w:eastAsia="Calibri" w:cs="Times New Roman"/>
          <w:szCs w:val="24"/>
        </w:rPr>
        <w:t xml:space="preserve">In 2019, there was a large drop in the number of Canadian issuers targeted by prominent activist short sellers compared to the year before.  </w:t>
      </w:r>
      <w:r w:rsidR="00A220C7" w:rsidRPr="00C26FBB">
        <w:rPr>
          <w:rFonts w:eastAsia="Calibri" w:cs="Times New Roman"/>
          <w:szCs w:val="24"/>
        </w:rPr>
        <w:t xml:space="preserve">Are </w:t>
      </w:r>
      <w:r w:rsidR="003C3781" w:rsidRPr="00C26FBB">
        <w:rPr>
          <w:rFonts w:eastAsia="Calibri" w:cs="Times New Roman"/>
          <w:szCs w:val="24"/>
        </w:rPr>
        <w:t>there market conditions or other circumstances that in your view could lead to an increase?</w:t>
      </w:r>
      <w:r w:rsidR="00992CAC">
        <w:rPr>
          <w:rFonts w:eastAsia="Calibri" w:cs="Times New Roman"/>
          <w:szCs w:val="24"/>
        </w:rPr>
        <w:t xml:space="preserve"> Please explain.</w:t>
      </w:r>
    </w:p>
    <w:p w14:paraId="21BDA567" w14:textId="4D75E082" w:rsidR="00994510" w:rsidRPr="00C26FBB" w:rsidRDefault="00994510" w:rsidP="00994510">
      <w:pPr>
        <w:spacing w:before="0" w:after="0"/>
        <w:rPr>
          <w:rFonts w:eastAsia="Calibri" w:cs="Times New Roman"/>
          <w:szCs w:val="24"/>
        </w:rPr>
      </w:pPr>
    </w:p>
    <w:p w14:paraId="7CB9B1FA" w14:textId="30906320" w:rsidR="00D6458E" w:rsidRDefault="00CA149B" w:rsidP="00994510">
      <w:pPr>
        <w:numPr>
          <w:ilvl w:val="0"/>
          <w:numId w:val="25"/>
        </w:numPr>
        <w:spacing w:before="0" w:after="0"/>
        <w:rPr>
          <w:rFonts w:eastAsia="Calibri" w:cs="Times New Roman"/>
          <w:szCs w:val="24"/>
        </w:rPr>
      </w:pPr>
      <w:r w:rsidRPr="00C26FBB">
        <w:rPr>
          <w:rFonts w:eastAsia="Calibri" w:cs="Times New Roman"/>
          <w:szCs w:val="24"/>
        </w:rPr>
        <w:t>Is there any specific evidence that would suggest that Canadian markets are more vulnerable to activist short selling</w:t>
      </w:r>
      <w:r w:rsidR="00F024E2">
        <w:rPr>
          <w:rFonts w:eastAsia="Calibri" w:cs="Times New Roman"/>
          <w:szCs w:val="24"/>
        </w:rPr>
        <w:t xml:space="preserve">, </w:t>
      </w:r>
      <w:r w:rsidR="005E2F74">
        <w:rPr>
          <w:rFonts w:eastAsia="Calibri" w:cs="Times New Roman"/>
          <w:szCs w:val="24"/>
        </w:rPr>
        <w:t xml:space="preserve">including </w:t>
      </w:r>
      <w:r w:rsidR="00FD2D64">
        <w:rPr>
          <w:rFonts w:eastAsia="Calibri" w:cs="Times New Roman"/>
          <w:szCs w:val="24"/>
        </w:rPr>
        <w:t xml:space="preserve">potentially </w:t>
      </w:r>
      <w:r w:rsidR="00F024E2">
        <w:rPr>
          <w:rFonts w:eastAsia="Calibri" w:cs="Times New Roman"/>
          <w:szCs w:val="24"/>
        </w:rPr>
        <w:t xml:space="preserve">problematic </w:t>
      </w:r>
      <w:r w:rsidR="005E2F74">
        <w:rPr>
          <w:rFonts w:eastAsia="Calibri" w:cs="Times New Roman"/>
          <w:szCs w:val="24"/>
        </w:rPr>
        <w:t>activist short selling</w:t>
      </w:r>
      <w:r w:rsidR="00CE37C1">
        <w:rPr>
          <w:rFonts w:eastAsia="Calibri" w:cs="Times New Roman"/>
          <w:szCs w:val="24"/>
        </w:rPr>
        <w:t xml:space="preserve"> </w:t>
      </w:r>
      <w:r w:rsidR="00ED3E66">
        <w:rPr>
          <w:rFonts w:eastAsia="Calibri" w:cs="Times New Roman"/>
          <w:szCs w:val="24"/>
        </w:rPr>
        <w:t>(e.g.</w:t>
      </w:r>
      <w:r w:rsidR="0072699F">
        <w:rPr>
          <w:rFonts w:eastAsia="Calibri" w:cs="Times New Roman"/>
          <w:szCs w:val="24"/>
        </w:rPr>
        <w:t>,</w:t>
      </w:r>
      <w:r w:rsidR="00ED3E66">
        <w:rPr>
          <w:rFonts w:eastAsia="Calibri" w:cs="Times New Roman"/>
          <w:szCs w:val="24"/>
        </w:rPr>
        <w:t xml:space="preserve"> size and type of issuers, industries/sectors represented or other market conditions)</w:t>
      </w:r>
      <w:r w:rsidRPr="00C26FBB">
        <w:rPr>
          <w:rFonts w:eastAsia="Calibri" w:cs="Times New Roman"/>
          <w:szCs w:val="24"/>
        </w:rPr>
        <w:t xml:space="preserve">?  </w:t>
      </w:r>
      <w:r w:rsidRPr="006C7B02">
        <w:rPr>
          <w:rFonts w:eastAsia="Calibri" w:cs="Times New Roman"/>
          <w:szCs w:val="24"/>
        </w:rPr>
        <w:t xml:space="preserve">Please provide specific examples of these vulnerabilities, </w:t>
      </w:r>
      <w:r w:rsidR="00CA6C13" w:rsidRPr="006C7B02">
        <w:rPr>
          <w:rFonts w:eastAsia="Calibri" w:cs="Times New Roman"/>
          <w:szCs w:val="24"/>
        </w:rPr>
        <w:t xml:space="preserve">and </w:t>
      </w:r>
      <w:r w:rsidRPr="00C94839">
        <w:rPr>
          <w:rFonts w:eastAsia="Calibri" w:cs="Times New Roman"/>
          <w:szCs w:val="24"/>
        </w:rPr>
        <w:t>how they differ from other jurisdictions</w:t>
      </w:r>
      <w:r w:rsidR="00750EAB" w:rsidRPr="006110C2">
        <w:rPr>
          <w:rFonts w:eastAsia="Calibri" w:cs="Times New Roman"/>
          <w:szCs w:val="24"/>
        </w:rPr>
        <w:t xml:space="preserve">. </w:t>
      </w:r>
    </w:p>
    <w:p w14:paraId="2E3783BD" w14:textId="0D2AB24C" w:rsidR="00994510" w:rsidRPr="006110C2" w:rsidRDefault="00994510" w:rsidP="00994510">
      <w:pPr>
        <w:spacing w:before="0" w:after="0"/>
        <w:rPr>
          <w:rFonts w:eastAsia="Calibri" w:cs="Times New Roman"/>
          <w:szCs w:val="24"/>
        </w:rPr>
      </w:pPr>
    </w:p>
    <w:p w14:paraId="7AEDC585" w14:textId="4F549751" w:rsidR="00CA149B" w:rsidRDefault="00CA149B" w:rsidP="00994510">
      <w:pPr>
        <w:numPr>
          <w:ilvl w:val="0"/>
          <w:numId w:val="25"/>
        </w:numPr>
        <w:spacing w:before="0" w:after="0"/>
        <w:rPr>
          <w:rFonts w:eastAsia="Calibri" w:cs="Times New Roman"/>
          <w:szCs w:val="24"/>
        </w:rPr>
      </w:pPr>
      <w:r w:rsidRPr="00DF520B">
        <w:rPr>
          <w:rFonts w:eastAsia="Calibri" w:cs="Times New Roman"/>
          <w:szCs w:val="24"/>
        </w:rPr>
        <w:t xml:space="preserve">Do issuers have practical limitations in terms of their ability to respond to allegations made in a Campaign? If so, what are these </w:t>
      </w:r>
      <w:r w:rsidR="00AC0967" w:rsidRPr="00DF520B">
        <w:rPr>
          <w:rFonts w:eastAsia="Calibri" w:cs="Times New Roman"/>
          <w:szCs w:val="24"/>
        </w:rPr>
        <w:t>limitations,</w:t>
      </w:r>
      <w:r w:rsidR="00D6458E" w:rsidRPr="00DF520B">
        <w:rPr>
          <w:rFonts w:eastAsia="Calibri" w:cs="Times New Roman"/>
          <w:szCs w:val="24"/>
        </w:rPr>
        <w:t xml:space="preserve"> and do you have any recommendations on how to alleviate them?</w:t>
      </w:r>
    </w:p>
    <w:p w14:paraId="7B3DCEF8" w14:textId="1C0616A1" w:rsidR="00994510" w:rsidRPr="00DF520B" w:rsidRDefault="00994510" w:rsidP="00994510">
      <w:pPr>
        <w:spacing w:before="0" w:after="0"/>
        <w:rPr>
          <w:rFonts w:eastAsia="Calibri" w:cs="Times New Roman"/>
          <w:szCs w:val="24"/>
        </w:rPr>
      </w:pPr>
    </w:p>
    <w:p w14:paraId="0EBF6958" w14:textId="77777777" w:rsidR="00A572B5" w:rsidRPr="00DF520B" w:rsidRDefault="00A572B5" w:rsidP="00994510">
      <w:pPr>
        <w:numPr>
          <w:ilvl w:val="0"/>
          <w:numId w:val="25"/>
        </w:numPr>
        <w:spacing w:before="0" w:after="0"/>
        <w:rPr>
          <w:rFonts w:eastAsia="Calibri" w:cs="Times New Roman"/>
          <w:szCs w:val="24"/>
        </w:rPr>
      </w:pPr>
      <w:r w:rsidRPr="00DF520B">
        <w:rPr>
          <w:rFonts w:eastAsia="Calibri" w:cs="Times New Roman"/>
          <w:szCs w:val="24"/>
        </w:rPr>
        <w:t xml:space="preserve">Are issuers reluctant to approach </w:t>
      </w:r>
      <w:r w:rsidR="004B5313">
        <w:rPr>
          <w:rFonts w:eastAsia="Calibri" w:cs="Times New Roman"/>
          <w:szCs w:val="24"/>
        </w:rPr>
        <w:t xml:space="preserve">securities </w:t>
      </w:r>
      <w:r w:rsidRPr="00DF520B">
        <w:rPr>
          <w:rFonts w:eastAsia="Calibri" w:cs="Times New Roman"/>
          <w:szCs w:val="24"/>
        </w:rPr>
        <w:t xml:space="preserve">regulators when they believe that they are being unfairly targeted by an activist short seller? </w:t>
      </w:r>
      <w:bookmarkEnd w:id="6"/>
      <w:r w:rsidRPr="00DF520B">
        <w:rPr>
          <w:rFonts w:eastAsia="Calibri" w:cs="Times New Roman"/>
          <w:szCs w:val="24"/>
        </w:rPr>
        <w:t xml:space="preserve">  </w:t>
      </w:r>
      <w:r w:rsidR="0018361C" w:rsidRPr="00DF520B">
        <w:rPr>
          <w:rFonts w:eastAsia="Calibri" w:cs="Times New Roman"/>
          <w:szCs w:val="24"/>
        </w:rPr>
        <w:t>If so, why? If not, why not?</w:t>
      </w:r>
      <w:r w:rsidRPr="00DF520B">
        <w:rPr>
          <w:rFonts w:eastAsia="Calibri" w:cs="Times New Roman"/>
          <w:szCs w:val="24"/>
        </w:rPr>
        <w:t xml:space="preserve"> </w:t>
      </w:r>
    </w:p>
    <w:p w14:paraId="60390958" w14:textId="77777777" w:rsidR="00D53898" w:rsidRDefault="00D53898">
      <w:pPr>
        <w:spacing w:before="0" w:after="200" w:line="276" w:lineRule="auto"/>
        <w:rPr>
          <w:rFonts w:cs="Times New Roman"/>
          <w:b/>
          <w:szCs w:val="24"/>
          <w:lang w:val="en-US"/>
        </w:rPr>
      </w:pPr>
      <w:bookmarkStart w:id="8" w:name="_Ref35271945"/>
      <w:bookmarkEnd w:id="7"/>
      <w:r>
        <w:br w:type="page"/>
      </w:r>
    </w:p>
    <w:p w14:paraId="07284D8A" w14:textId="28C759ED" w:rsidR="007A03F7" w:rsidRDefault="007A03F7" w:rsidP="00624C0A">
      <w:pPr>
        <w:pStyle w:val="SECTION"/>
      </w:pPr>
      <w:r>
        <w:lastRenderedPageBreak/>
        <w:t>Regulatory Framework</w:t>
      </w:r>
      <w:bookmarkEnd w:id="8"/>
    </w:p>
    <w:p w14:paraId="30334F12" w14:textId="77777777" w:rsidR="00CC4F35" w:rsidRPr="00DB5785" w:rsidRDefault="00C5489A" w:rsidP="000902F5">
      <w:pPr>
        <w:pStyle w:val="SUB-SECTION"/>
        <w:jc w:val="left"/>
      </w:pPr>
      <w:r>
        <w:t xml:space="preserve">Canada </w:t>
      </w:r>
      <w:r w:rsidR="00652CFC">
        <w:t>–</w:t>
      </w:r>
      <w:r>
        <w:t xml:space="preserve"> </w:t>
      </w:r>
      <w:r w:rsidR="0014362C">
        <w:t>Monitoring</w:t>
      </w:r>
      <w:r w:rsidR="00652CFC">
        <w:t>,</w:t>
      </w:r>
      <w:r w:rsidR="0014362C">
        <w:t xml:space="preserve"> Reporting</w:t>
      </w:r>
      <w:r w:rsidR="00652CFC">
        <w:t xml:space="preserve"> and Restrictions on</w:t>
      </w:r>
      <w:r w:rsidR="00F95E58" w:rsidRPr="00DB5785">
        <w:t xml:space="preserve"> Short Selling</w:t>
      </w:r>
      <w:r w:rsidR="00C60812">
        <w:t xml:space="preserve"> Activity</w:t>
      </w:r>
      <w:r w:rsidR="00CC4F35" w:rsidRPr="00DB5785">
        <w:t xml:space="preserve"> </w:t>
      </w:r>
    </w:p>
    <w:p w14:paraId="3B6D3843" w14:textId="5ED14FED" w:rsidR="005B6F36" w:rsidRDefault="00796DDD" w:rsidP="00DB7859">
      <w:pPr>
        <w:tabs>
          <w:tab w:val="left" w:pos="432"/>
          <w:tab w:val="left" w:pos="4320"/>
        </w:tabs>
        <w:spacing w:before="0" w:after="0"/>
        <w:rPr>
          <w:rFonts w:eastAsia="Calibri" w:cs="Times New Roman"/>
          <w:szCs w:val="24"/>
        </w:rPr>
      </w:pPr>
      <w:r>
        <w:rPr>
          <w:rFonts w:eastAsia="Calibri" w:cs="Times New Roman"/>
          <w:szCs w:val="24"/>
        </w:rPr>
        <w:t>A</w:t>
      </w:r>
      <w:r w:rsidR="00C1065B">
        <w:rPr>
          <w:rFonts w:eastAsia="Calibri" w:cs="Times New Roman"/>
          <w:szCs w:val="24"/>
        </w:rPr>
        <w:t>ctivist short sellers are not subject to formal securities regulatory requirements</w:t>
      </w:r>
      <w:r w:rsidR="002F52D6">
        <w:rPr>
          <w:rFonts w:eastAsia="Calibri" w:cs="Times New Roman"/>
          <w:szCs w:val="24"/>
        </w:rPr>
        <w:t xml:space="preserve"> (for example, Canadian securities legislation does not </w:t>
      </w:r>
      <w:r>
        <w:rPr>
          <w:rFonts w:eastAsia="Calibri" w:cs="Times New Roman"/>
          <w:szCs w:val="24"/>
        </w:rPr>
        <w:t>regulate the content of an activist short seller’s statements)</w:t>
      </w:r>
      <w:r w:rsidR="00E301BD">
        <w:rPr>
          <w:rFonts w:eastAsia="Calibri" w:cs="Times New Roman"/>
          <w:szCs w:val="24"/>
        </w:rPr>
        <w:t>.</w:t>
      </w:r>
      <w:r>
        <w:rPr>
          <w:rFonts w:eastAsia="Calibri" w:cs="Times New Roman"/>
          <w:szCs w:val="24"/>
        </w:rPr>
        <w:t xml:space="preserve">  Short selling as </w:t>
      </w:r>
      <w:r w:rsidR="00C66A40">
        <w:rPr>
          <w:rFonts w:eastAsia="Calibri" w:cs="Times New Roman"/>
          <w:szCs w:val="24"/>
        </w:rPr>
        <w:t>a</w:t>
      </w:r>
      <w:r w:rsidR="00B05172">
        <w:rPr>
          <w:rFonts w:eastAsia="Calibri" w:cs="Times New Roman"/>
          <w:szCs w:val="24"/>
        </w:rPr>
        <w:t xml:space="preserve"> trading </w:t>
      </w:r>
      <w:r>
        <w:rPr>
          <w:rFonts w:eastAsia="Calibri" w:cs="Times New Roman"/>
          <w:szCs w:val="24"/>
        </w:rPr>
        <w:t>a</w:t>
      </w:r>
      <w:r w:rsidR="009534FF">
        <w:rPr>
          <w:rFonts w:eastAsia="Calibri" w:cs="Times New Roman"/>
          <w:szCs w:val="24"/>
        </w:rPr>
        <w:t>ctivity however is subject to a well</w:t>
      </w:r>
      <w:r w:rsidR="003F7E95">
        <w:rPr>
          <w:rFonts w:eastAsia="Calibri" w:cs="Times New Roman"/>
          <w:szCs w:val="24"/>
        </w:rPr>
        <w:t>-</w:t>
      </w:r>
      <w:r w:rsidR="009534FF">
        <w:rPr>
          <w:rFonts w:eastAsia="Calibri" w:cs="Times New Roman"/>
          <w:szCs w:val="24"/>
        </w:rPr>
        <w:t xml:space="preserve">developed </w:t>
      </w:r>
      <w:r w:rsidR="00795B61" w:rsidRPr="00B3623C">
        <w:rPr>
          <w:rFonts w:eastAsia="Calibri" w:cs="Times New Roman"/>
          <w:szCs w:val="24"/>
        </w:rPr>
        <w:t xml:space="preserve">framework </w:t>
      </w:r>
      <w:r w:rsidR="009534FF">
        <w:rPr>
          <w:rFonts w:eastAsia="Calibri" w:cs="Times New Roman"/>
          <w:szCs w:val="24"/>
        </w:rPr>
        <w:t>that</w:t>
      </w:r>
      <w:r w:rsidR="00CE2CF6">
        <w:rPr>
          <w:rFonts w:eastAsia="Calibri" w:cs="Times New Roman"/>
          <w:szCs w:val="24"/>
        </w:rPr>
        <w:t xml:space="preserve"> </w:t>
      </w:r>
      <w:r w:rsidR="00795B61" w:rsidRPr="00B3623C">
        <w:rPr>
          <w:rFonts w:eastAsia="Calibri" w:cs="Times New Roman"/>
          <w:szCs w:val="24"/>
        </w:rPr>
        <w:t xml:space="preserve">is </w:t>
      </w:r>
      <w:r w:rsidR="00316CDF">
        <w:rPr>
          <w:rFonts w:eastAsia="Calibri" w:cs="Times New Roman"/>
          <w:szCs w:val="24"/>
        </w:rPr>
        <w:t xml:space="preserve">largely </w:t>
      </w:r>
      <w:r w:rsidR="00795B61" w:rsidRPr="00B3623C">
        <w:rPr>
          <w:rFonts w:eastAsia="Calibri" w:cs="Times New Roman"/>
          <w:szCs w:val="24"/>
        </w:rPr>
        <w:t>administered by IIROC</w:t>
      </w:r>
      <w:r w:rsidR="00FF3439">
        <w:rPr>
          <w:rFonts w:eastAsia="Calibri" w:cs="Times New Roman"/>
          <w:szCs w:val="24"/>
        </w:rPr>
        <w:t xml:space="preserve"> involving </w:t>
      </w:r>
      <w:r w:rsidR="007172EC">
        <w:rPr>
          <w:rFonts w:eastAsia="Calibri" w:cs="Times New Roman"/>
          <w:szCs w:val="24"/>
        </w:rPr>
        <w:t xml:space="preserve">a detailed reporting regime </w:t>
      </w:r>
      <w:r w:rsidR="008D6798">
        <w:rPr>
          <w:rFonts w:eastAsia="Calibri" w:cs="Times New Roman"/>
          <w:szCs w:val="24"/>
        </w:rPr>
        <w:t xml:space="preserve">that provides timely information to IIROC </w:t>
      </w:r>
      <w:r w:rsidR="00E80AD3">
        <w:rPr>
          <w:rFonts w:eastAsia="Calibri" w:cs="Times New Roman"/>
          <w:szCs w:val="24"/>
        </w:rPr>
        <w:t xml:space="preserve">enabling it to monitor </w:t>
      </w:r>
      <w:r w:rsidR="003F5391">
        <w:rPr>
          <w:rFonts w:eastAsia="Calibri" w:cs="Times New Roman"/>
          <w:szCs w:val="24"/>
        </w:rPr>
        <w:t xml:space="preserve">and supervise </w:t>
      </w:r>
      <w:r w:rsidR="00992A65">
        <w:rPr>
          <w:rFonts w:eastAsia="Calibri" w:cs="Times New Roman"/>
          <w:szCs w:val="24"/>
        </w:rPr>
        <w:t>any potentially inappropriate short selling practices</w:t>
      </w:r>
      <w:r w:rsidR="008D6798">
        <w:rPr>
          <w:rFonts w:eastAsia="Calibri" w:cs="Times New Roman"/>
          <w:szCs w:val="24"/>
        </w:rPr>
        <w:t>.</w:t>
      </w:r>
      <w:r w:rsidR="00795B61" w:rsidRPr="00B3623C">
        <w:rPr>
          <w:rFonts w:eastAsia="Calibri" w:cs="Times New Roman"/>
          <w:szCs w:val="24"/>
        </w:rPr>
        <w:t xml:space="preserve"> </w:t>
      </w:r>
      <w:r w:rsidR="00CE2CF6">
        <w:rPr>
          <w:rFonts w:eastAsia="Calibri" w:cs="Times New Roman"/>
          <w:szCs w:val="24"/>
        </w:rPr>
        <w:t>It</w:t>
      </w:r>
      <w:r w:rsidR="005B6F36">
        <w:rPr>
          <w:rFonts w:eastAsia="Calibri" w:cs="Times New Roman"/>
          <w:szCs w:val="24"/>
        </w:rPr>
        <w:t xml:space="preserve"> includes</w:t>
      </w:r>
      <w:r w:rsidR="00BC3F36">
        <w:rPr>
          <w:rFonts w:eastAsia="Calibri" w:cs="Times New Roman"/>
          <w:szCs w:val="24"/>
        </w:rPr>
        <w:t>:</w:t>
      </w:r>
    </w:p>
    <w:p w14:paraId="1EF430EF" w14:textId="77777777" w:rsidR="00DB7859" w:rsidRDefault="00DB7859" w:rsidP="00DB7859">
      <w:pPr>
        <w:tabs>
          <w:tab w:val="left" w:pos="432"/>
          <w:tab w:val="left" w:pos="4320"/>
        </w:tabs>
        <w:spacing w:before="0" w:after="0"/>
        <w:rPr>
          <w:rFonts w:eastAsia="Calibri" w:cs="Times New Roman"/>
          <w:szCs w:val="24"/>
        </w:rPr>
      </w:pPr>
    </w:p>
    <w:p w14:paraId="68142A32" w14:textId="77777777" w:rsidR="00802AED" w:rsidRDefault="00CE2CF6" w:rsidP="00DB7859">
      <w:pPr>
        <w:pStyle w:val="ListParagraph"/>
        <w:numPr>
          <w:ilvl w:val="0"/>
          <w:numId w:val="10"/>
        </w:numPr>
        <w:tabs>
          <w:tab w:val="left" w:pos="432"/>
          <w:tab w:val="left" w:pos="4320"/>
        </w:tabs>
        <w:spacing w:before="0" w:after="0"/>
        <w:rPr>
          <w:rFonts w:eastAsia="Calibri" w:cs="Times New Roman"/>
          <w:szCs w:val="24"/>
        </w:rPr>
      </w:pPr>
      <w:r>
        <w:rPr>
          <w:rFonts w:eastAsia="Calibri" w:cs="Times New Roman"/>
          <w:szCs w:val="24"/>
        </w:rPr>
        <w:t>a</w:t>
      </w:r>
      <w:r w:rsidR="009E2D14">
        <w:rPr>
          <w:rFonts w:eastAsia="Calibri" w:cs="Times New Roman"/>
          <w:szCs w:val="24"/>
        </w:rPr>
        <w:t xml:space="preserve"> requirement to mark</w:t>
      </w:r>
      <w:r w:rsidR="00C822CE">
        <w:rPr>
          <w:rFonts w:eastAsia="Calibri" w:cs="Times New Roman"/>
          <w:szCs w:val="24"/>
        </w:rPr>
        <w:t xml:space="preserve"> all orders </w:t>
      </w:r>
      <w:r w:rsidR="001B2DEB">
        <w:rPr>
          <w:rFonts w:eastAsia="Calibri" w:cs="Times New Roman"/>
          <w:szCs w:val="24"/>
        </w:rPr>
        <w:t>representing</w:t>
      </w:r>
      <w:r w:rsidR="00C822CE">
        <w:rPr>
          <w:rFonts w:eastAsia="Calibri" w:cs="Times New Roman"/>
          <w:szCs w:val="24"/>
        </w:rPr>
        <w:t xml:space="preserve"> a short sale as either “short” or “short-ma</w:t>
      </w:r>
      <w:r w:rsidR="004E32EA">
        <w:rPr>
          <w:rFonts w:eastAsia="Calibri" w:cs="Times New Roman"/>
          <w:szCs w:val="24"/>
        </w:rPr>
        <w:t>r</w:t>
      </w:r>
      <w:r w:rsidR="00C822CE">
        <w:rPr>
          <w:rFonts w:eastAsia="Calibri" w:cs="Times New Roman"/>
          <w:szCs w:val="24"/>
        </w:rPr>
        <w:t>king exempt”</w:t>
      </w:r>
      <w:r w:rsidR="0054745C">
        <w:rPr>
          <w:rFonts w:eastAsia="Calibri" w:cs="Times New Roman"/>
          <w:szCs w:val="24"/>
        </w:rPr>
        <w:t>;</w:t>
      </w:r>
      <w:r w:rsidR="00802AED">
        <w:rPr>
          <w:rStyle w:val="FootnoteReference"/>
          <w:rFonts w:eastAsia="Calibri" w:cs="Times New Roman"/>
          <w:szCs w:val="24"/>
        </w:rPr>
        <w:footnoteReference w:id="55"/>
      </w:r>
    </w:p>
    <w:p w14:paraId="68A3A16B" w14:textId="77777777" w:rsidR="00991278" w:rsidRDefault="002B58D8" w:rsidP="00DB7859">
      <w:pPr>
        <w:pStyle w:val="ListParagraph"/>
        <w:numPr>
          <w:ilvl w:val="0"/>
          <w:numId w:val="10"/>
        </w:numPr>
        <w:tabs>
          <w:tab w:val="left" w:pos="432"/>
          <w:tab w:val="left" w:pos="4320"/>
        </w:tabs>
        <w:spacing w:before="0" w:after="0"/>
        <w:rPr>
          <w:rFonts w:eastAsia="Calibri" w:cs="Times New Roman"/>
          <w:szCs w:val="24"/>
        </w:rPr>
      </w:pPr>
      <w:r>
        <w:rPr>
          <w:rFonts w:eastAsia="Calibri" w:cs="Times New Roman"/>
          <w:szCs w:val="24"/>
        </w:rPr>
        <w:t>a</w:t>
      </w:r>
      <w:r w:rsidR="00C822CE">
        <w:rPr>
          <w:rFonts w:eastAsia="Calibri" w:cs="Times New Roman"/>
          <w:szCs w:val="24"/>
        </w:rPr>
        <w:t xml:space="preserve"> </w:t>
      </w:r>
      <w:r w:rsidR="00A92BDB">
        <w:rPr>
          <w:rFonts w:eastAsia="Calibri" w:cs="Times New Roman"/>
          <w:szCs w:val="24"/>
        </w:rPr>
        <w:t xml:space="preserve">requirement </w:t>
      </w:r>
      <w:r w:rsidR="00D02CE1">
        <w:rPr>
          <w:rFonts w:eastAsia="Calibri" w:cs="Times New Roman"/>
          <w:szCs w:val="24"/>
        </w:rPr>
        <w:t>to disclose “</w:t>
      </w:r>
      <w:r w:rsidR="00D70ED0">
        <w:rPr>
          <w:rFonts w:eastAsia="Calibri" w:cs="Times New Roman"/>
          <w:szCs w:val="24"/>
        </w:rPr>
        <w:t>E</w:t>
      </w:r>
      <w:r w:rsidR="00D02CE1">
        <w:rPr>
          <w:rFonts w:eastAsia="Calibri" w:cs="Times New Roman"/>
          <w:szCs w:val="24"/>
        </w:rPr>
        <w:t xml:space="preserve">xtended </w:t>
      </w:r>
      <w:r w:rsidR="00D70ED0">
        <w:rPr>
          <w:rFonts w:eastAsia="Calibri" w:cs="Times New Roman"/>
          <w:szCs w:val="24"/>
        </w:rPr>
        <w:t>F</w:t>
      </w:r>
      <w:r w:rsidR="00D02CE1">
        <w:rPr>
          <w:rFonts w:eastAsia="Calibri" w:cs="Times New Roman"/>
          <w:szCs w:val="24"/>
        </w:rPr>
        <w:t xml:space="preserve">ailed </w:t>
      </w:r>
      <w:r w:rsidR="00D70ED0">
        <w:rPr>
          <w:rFonts w:eastAsia="Calibri" w:cs="Times New Roman"/>
          <w:szCs w:val="24"/>
        </w:rPr>
        <w:t>T</w:t>
      </w:r>
      <w:r w:rsidR="00D02CE1">
        <w:rPr>
          <w:rFonts w:eastAsia="Calibri" w:cs="Times New Roman"/>
          <w:szCs w:val="24"/>
        </w:rPr>
        <w:t>rades” to IIROC</w:t>
      </w:r>
      <w:r w:rsidR="00282541">
        <w:rPr>
          <w:rFonts w:eastAsia="Calibri" w:cs="Times New Roman"/>
          <w:szCs w:val="24"/>
        </w:rPr>
        <w:t>;</w:t>
      </w:r>
      <w:r w:rsidR="00D02CE1">
        <w:rPr>
          <w:rStyle w:val="FootnoteReference"/>
          <w:rFonts w:eastAsia="Calibri" w:cs="Times New Roman"/>
          <w:szCs w:val="24"/>
        </w:rPr>
        <w:footnoteReference w:id="56"/>
      </w:r>
    </w:p>
    <w:p w14:paraId="68747D3B" w14:textId="77777777" w:rsidR="00A92BDB" w:rsidRPr="006B7CBD" w:rsidRDefault="002B58D8" w:rsidP="000902F5">
      <w:pPr>
        <w:pStyle w:val="ListParagraph"/>
        <w:numPr>
          <w:ilvl w:val="0"/>
          <w:numId w:val="10"/>
        </w:numPr>
        <w:tabs>
          <w:tab w:val="left" w:pos="432"/>
          <w:tab w:val="left" w:pos="4320"/>
        </w:tabs>
        <w:spacing w:line="256" w:lineRule="auto"/>
        <w:rPr>
          <w:rFonts w:eastAsia="Calibri" w:cs="Times New Roman"/>
          <w:szCs w:val="24"/>
        </w:rPr>
      </w:pPr>
      <w:r>
        <w:rPr>
          <w:rFonts w:eastAsia="Calibri" w:cs="Times New Roman"/>
          <w:szCs w:val="24"/>
        </w:rPr>
        <w:t>a</w:t>
      </w:r>
      <w:r w:rsidR="00416F58" w:rsidRPr="007554B5">
        <w:rPr>
          <w:rFonts w:eastAsia="Calibri" w:cs="Times New Roman"/>
          <w:szCs w:val="24"/>
        </w:rPr>
        <w:t xml:space="preserve"> requirement that, if an Extended Failed Trade report </w:t>
      </w:r>
      <w:r>
        <w:rPr>
          <w:rFonts w:eastAsia="Calibri" w:cs="Times New Roman"/>
          <w:szCs w:val="24"/>
        </w:rPr>
        <w:t>i</w:t>
      </w:r>
      <w:r w:rsidR="00416F58" w:rsidRPr="007554B5">
        <w:rPr>
          <w:rFonts w:eastAsia="Calibri" w:cs="Times New Roman"/>
          <w:szCs w:val="24"/>
        </w:rPr>
        <w:t xml:space="preserve">s filed with IIROC, </w:t>
      </w:r>
      <w:r w:rsidR="00B0083E">
        <w:rPr>
          <w:rFonts w:eastAsia="Calibri" w:cs="Times New Roman"/>
          <w:szCs w:val="24"/>
        </w:rPr>
        <w:t xml:space="preserve">further </w:t>
      </w:r>
      <w:r w:rsidR="00416F58" w:rsidRPr="007554B5">
        <w:rPr>
          <w:rFonts w:eastAsia="Calibri" w:cs="Times New Roman"/>
          <w:szCs w:val="24"/>
        </w:rPr>
        <w:t xml:space="preserve">short sales generally </w:t>
      </w:r>
      <w:r>
        <w:rPr>
          <w:rFonts w:eastAsia="Calibri" w:cs="Times New Roman"/>
          <w:szCs w:val="24"/>
        </w:rPr>
        <w:t>can</w:t>
      </w:r>
      <w:r w:rsidR="00416F58" w:rsidRPr="007554B5">
        <w:rPr>
          <w:rFonts w:eastAsia="Calibri" w:cs="Times New Roman"/>
          <w:szCs w:val="24"/>
        </w:rPr>
        <w:t>not be</w:t>
      </w:r>
      <w:r w:rsidR="00FA7801">
        <w:rPr>
          <w:rFonts w:eastAsia="Calibri" w:cs="Times New Roman"/>
          <w:szCs w:val="24"/>
        </w:rPr>
        <w:t xml:space="preserve"> made </w:t>
      </w:r>
      <w:r w:rsidR="00AA5129">
        <w:rPr>
          <w:rFonts w:eastAsia="Calibri" w:cs="Times New Roman"/>
          <w:szCs w:val="24"/>
        </w:rPr>
        <w:t xml:space="preserve">by that </w:t>
      </w:r>
      <w:r w:rsidR="00AA5129" w:rsidRPr="004F6F45">
        <w:rPr>
          <w:rFonts w:eastAsia="Calibri" w:cs="Times New Roman"/>
          <w:szCs w:val="24"/>
        </w:rPr>
        <w:t>Participant</w:t>
      </w:r>
      <w:r w:rsidR="00AA5129" w:rsidRPr="004F6F45">
        <w:rPr>
          <w:rStyle w:val="FootnoteReference"/>
          <w:rFonts w:eastAsia="Calibri" w:cs="Times New Roman"/>
          <w:szCs w:val="24"/>
        </w:rPr>
        <w:footnoteReference w:id="57"/>
      </w:r>
      <w:r w:rsidR="002A0458" w:rsidRPr="004F6F45">
        <w:rPr>
          <w:rFonts w:eastAsia="Calibri" w:cs="Times New Roman"/>
          <w:szCs w:val="24"/>
        </w:rPr>
        <w:t>(</w:t>
      </w:r>
      <w:r w:rsidR="00702336">
        <w:rPr>
          <w:rFonts w:eastAsia="Calibri" w:cs="Times New Roman"/>
          <w:szCs w:val="24"/>
        </w:rPr>
        <w:t>acting as a principal or as an agent</w:t>
      </w:r>
      <w:r w:rsidR="002A0458">
        <w:rPr>
          <w:rFonts w:eastAsia="Calibri" w:cs="Times New Roman"/>
          <w:szCs w:val="24"/>
        </w:rPr>
        <w:t>)</w:t>
      </w:r>
      <w:r w:rsidR="00EC3F51">
        <w:rPr>
          <w:rFonts w:eastAsia="Calibri" w:cs="Times New Roman"/>
          <w:szCs w:val="24"/>
        </w:rPr>
        <w:t xml:space="preserve"> </w:t>
      </w:r>
      <w:r w:rsidR="00DC2869">
        <w:rPr>
          <w:rFonts w:eastAsia="Calibri" w:cs="Times New Roman"/>
          <w:szCs w:val="24"/>
        </w:rPr>
        <w:t xml:space="preserve">or </w:t>
      </w:r>
      <w:r w:rsidR="002A0458">
        <w:rPr>
          <w:rFonts w:eastAsia="Calibri" w:cs="Times New Roman"/>
          <w:szCs w:val="24"/>
        </w:rPr>
        <w:t xml:space="preserve">by an access person </w:t>
      </w:r>
      <w:r w:rsidR="00416F58" w:rsidRPr="007554B5">
        <w:rPr>
          <w:rFonts w:eastAsia="Calibri" w:cs="Times New Roman"/>
          <w:szCs w:val="24"/>
        </w:rPr>
        <w:t>without</w:t>
      </w:r>
      <w:r w:rsidR="008E29E0">
        <w:rPr>
          <w:rFonts w:eastAsia="Calibri" w:cs="Times New Roman"/>
          <w:szCs w:val="24"/>
        </w:rPr>
        <w:t xml:space="preserve"> prior</w:t>
      </w:r>
      <w:r w:rsidR="00416F58" w:rsidRPr="007554B5">
        <w:rPr>
          <w:rFonts w:eastAsia="Calibri" w:cs="Times New Roman"/>
          <w:szCs w:val="24"/>
        </w:rPr>
        <w:t xml:space="preserve"> arrangements to borrow the securities necessary for settlement</w:t>
      </w:r>
      <w:r w:rsidR="006850EF">
        <w:rPr>
          <w:rFonts w:eastAsia="Calibri" w:cs="Times New Roman"/>
          <w:szCs w:val="24"/>
        </w:rPr>
        <w:t xml:space="preserve"> (</w:t>
      </w:r>
      <w:r w:rsidR="00416F58" w:rsidRPr="007554B5">
        <w:rPr>
          <w:rFonts w:eastAsia="Calibri" w:cs="Times New Roman"/>
          <w:szCs w:val="24"/>
        </w:rPr>
        <w:t>that is, IIROC may require pre-borrowing in certain circumstances</w:t>
      </w:r>
      <w:r w:rsidR="006850EF">
        <w:rPr>
          <w:rFonts w:eastAsia="Calibri" w:cs="Times New Roman"/>
          <w:szCs w:val="24"/>
        </w:rPr>
        <w:t>);</w:t>
      </w:r>
      <w:r w:rsidR="00416F58">
        <w:rPr>
          <w:rStyle w:val="FootnoteReference"/>
          <w:rFonts w:eastAsia="Calibri" w:cs="Times New Roman"/>
          <w:szCs w:val="24"/>
        </w:rPr>
        <w:footnoteReference w:id="58"/>
      </w:r>
      <w:r w:rsidR="00416F58" w:rsidRPr="007554B5">
        <w:rPr>
          <w:rFonts w:eastAsia="Calibri" w:cs="Times New Roman"/>
          <w:szCs w:val="24"/>
        </w:rPr>
        <w:t xml:space="preserve"> </w:t>
      </w:r>
      <w:r w:rsidR="006850EF">
        <w:rPr>
          <w:rFonts w:eastAsia="Calibri" w:cs="Times New Roman"/>
          <w:szCs w:val="24"/>
        </w:rPr>
        <w:t>and</w:t>
      </w:r>
    </w:p>
    <w:p w14:paraId="57F527D5" w14:textId="03E4D722" w:rsidR="00A92BDB" w:rsidRDefault="0010694F" w:rsidP="00DB7859">
      <w:pPr>
        <w:pStyle w:val="ListParagraph"/>
        <w:numPr>
          <w:ilvl w:val="0"/>
          <w:numId w:val="10"/>
        </w:numPr>
        <w:tabs>
          <w:tab w:val="left" w:pos="432"/>
          <w:tab w:val="left" w:pos="4320"/>
        </w:tabs>
        <w:spacing w:before="0" w:after="0"/>
        <w:rPr>
          <w:rFonts w:eastAsia="Calibri" w:cs="Times New Roman"/>
          <w:szCs w:val="24"/>
        </w:rPr>
      </w:pPr>
      <w:r>
        <w:rPr>
          <w:rFonts w:eastAsia="Calibri" w:cs="Times New Roman"/>
          <w:szCs w:val="24"/>
        </w:rPr>
        <w:t xml:space="preserve">the ability </w:t>
      </w:r>
      <w:r w:rsidR="00FB4E20">
        <w:rPr>
          <w:rFonts w:eastAsia="Calibri" w:cs="Times New Roman"/>
          <w:szCs w:val="24"/>
        </w:rPr>
        <w:t xml:space="preserve">for IIROC </w:t>
      </w:r>
      <w:r>
        <w:rPr>
          <w:rFonts w:eastAsia="Calibri" w:cs="Times New Roman"/>
          <w:szCs w:val="24"/>
        </w:rPr>
        <w:t xml:space="preserve">to </w:t>
      </w:r>
      <w:r w:rsidRPr="00BC3F36">
        <w:rPr>
          <w:rFonts w:eastAsia="Calibri" w:cs="Times New Roman"/>
          <w:szCs w:val="24"/>
        </w:rPr>
        <w:t>designate a security as a “Short Sale Ineligible Security</w:t>
      </w:r>
      <w:r w:rsidR="006850EF">
        <w:rPr>
          <w:rFonts w:eastAsia="Calibri" w:cs="Times New Roman"/>
          <w:szCs w:val="24"/>
        </w:rPr>
        <w:t>.</w:t>
      </w:r>
      <w:r w:rsidRPr="00BC3F36">
        <w:rPr>
          <w:rFonts w:eastAsia="Calibri" w:cs="Times New Roman"/>
          <w:szCs w:val="24"/>
        </w:rPr>
        <w:t>”</w:t>
      </w:r>
      <w:r>
        <w:rPr>
          <w:rStyle w:val="FootnoteReference"/>
          <w:rFonts w:eastAsia="Calibri" w:cs="Times New Roman"/>
          <w:szCs w:val="24"/>
        </w:rPr>
        <w:footnoteReference w:id="59"/>
      </w:r>
      <w:r>
        <w:rPr>
          <w:rFonts w:eastAsia="Calibri" w:cs="Times New Roman"/>
          <w:szCs w:val="24"/>
        </w:rPr>
        <w:t xml:space="preserve"> </w:t>
      </w:r>
    </w:p>
    <w:p w14:paraId="7D1DEE64" w14:textId="77777777" w:rsidR="00DB7859" w:rsidRPr="0021006D" w:rsidRDefault="00DB7859" w:rsidP="00DB7859">
      <w:pPr>
        <w:pStyle w:val="ListParagraph"/>
        <w:tabs>
          <w:tab w:val="left" w:pos="432"/>
          <w:tab w:val="left" w:pos="4320"/>
        </w:tabs>
        <w:spacing w:before="0" w:after="0"/>
        <w:rPr>
          <w:rFonts w:eastAsia="Calibri" w:cs="Times New Roman"/>
          <w:szCs w:val="24"/>
        </w:rPr>
      </w:pPr>
    </w:p>
    <w:p w14:paraId="10A04075" w14:textId="77777777" w:rsidR="00DB7859" w:rsidRDefault="00BB2D6B" w:rsidP="00DB7859">
      <w:pPr>
        <w:tabs>
          <w:tab w:val="left" w:pos="432"/>
          <w:tab w:val="left" w:pos="4320"/>
        </w:tabs>
        <w:spacing w:before="0" w:after="0"/>
        <w:rPr>
          <w:rFonts w:cs="Times New Roman"/>
          <w:lang w:val="en-US"/>
        </w:rPr>
      </w:pPr>
      <w:r w:rsidRPr="2E96ABE4">
        <w:rPr>
          <w:rFonts w:eastAsia="Calibri" w:cs="Times New Roman"/>
        </w:rPr>
        <w:t>Canadian securities legislation also requires a person who places an order for the sale of a security with a registered dealer to declare to the dealer at the time of placing the order if they do not own the security</w:t>
      </w:r>
      <w:r w:rsidR="00986978" w:rsidRPr="2E96ABE4">
        <w:rPr>
          <w:rFonts w:eastAsia="Calibri" w:cs="Times New Roman"/>
        </w:rPr>
        <w:t>.</w:t>
      </w:r>
      <w:r w:rsidR="00C66A40" w:rsidRPr="00430580">
        <w:rPr>
          <w:vertAlign w:val="superscript"/>
        </w:rPr>
        <w:footnoteReference w:id="60"/>
      </w:r>
      <w:r w:rsidR="00C66A40" w:rsidRPr="2E96ABE4">
        <w:rPr>
          <w:rFonts w:eastAsia="Calibri" w:cs="Times New Roman"/>
        </w:rPr>
        <w:t xml:space="preserve"> </w:t>
      </w:r>
      <w:r w:rsidR="00E30416" w:rsidRPr="2E96ABE4">
        <w:rPr>
          <w:rFonts w:eastAsia="Calibri" w:cs="Times New Roman"/>
        </w:rPr>
        <w:t xml:space="preserve"> </w:t>
      </w:r>
      <w:r w:rsidR="00081C5A" w:rsidRPr="2E96ABE4">
        <w:rPr>
          <w:rFonts w:eastAsia="Calibri" w:cs="Times New Roman"/>
        </w:rPr>
        <w:t xml:space="preserve">This statutory requirement is supported by </w:t>
      </w:r>
      <w:r w:rsidR="00746E69" w:rsidRPr="2E96ABE4">
        <w:rPr>
          <w:rFonts w:eastAsia="Calibri" w:cs="Times New Roman"/>
        </w:rPr>
        <w:t xml:space="preserve">UMIR </w:t>
      </w:r>
      <w:r w:rsidR="00081C5A" w:rsidRPr="2E96ABE4">
        <w:rPr>
          <w:rFonts w:eastAsia="Calibri" w:cs="Times New Roman"/>
        </w:rPr>
        <w:t xml:space="preserve">which </w:t>
      </w:r>
      <w:r w:rsidR="00746E69" w:rsidRPr="2E96ABE4">
        <w:rPr>
          <w:rFonts w:eastAsia="Calibri" w:cs="Times New Roman"/>
        </w:rPr>
        <w:t xml:space="preserve">requires </w:t>
      </w:r>
      <w:r w:rsidR="00EC3F51" w:rsidRPr="2E96ABE4">
        <w:rPr>
          <w:rFonts w:eastAsia="Calibri" w:cs="Times New Roman"/>
        </w:rPr>
        <w:t>P</w:t>
      </w:r>
      <w:r w:rsidR="00746E69" w:rsidRPr="2E96ABE4">
        <w:rPr>
          <w:rFonts w:eastAsia="Calibri" w:cs="Times New Roman"/>
        </w:rPr>
        <w:t>articipants</w:t>
      </w:r>
      <w:r w:rsidR="00746E69" w:rsidRPr="2E96ABE4">
        <w:rPr>
          <w:rFonts w:eastAsia="Calibri" w:cs="Times New Roman"/>
          <w:vertAlign w:val="superscript"/>
        </w:rPr>
        <w:t xml:space="preserve"> </w:t>
      </w:r>
      <w:r w:rsidR="00746E69" w:rsidRPr="2E96ABE4">
        <w:rPr>
          <w:rFonts w:eastAsia="Calibri" w:cs="Times New Roman"/>
        </w:rPr>
        <w:t>to calculate and report</w:t>
      </w:r>
      <w:r w:rsidR="00AC4A63" w:rsidRPr="2E96ABE4">
        <w:rPr>
          <w:rFonts w:eastAsia="Calibri" w:cs="Times New Roman"/>
        </w:rPr>
        <w:t xml:space="preserve"> to IIROC</w:t>
      </w:r>
      <w:r w:rsidR="00746E69" w:rsidRPr="2E96ABE4">
        <w:rPr>
          <w:rFonts w:eastAsia="Calibri" w:cs="Times New Roman"/>
        </w:rPr>
        <w:t xml:space="preserve"> the aggregate short position of each individual account twice a month,</w:t>
      </w:r>
      <w:r w:rsidR="00F73D72" w:rsidRPr="2E96ABE4">
        <w:rPr>
          <w:rStyle w:val="FootnoteReference"/>
          <w:rFonts w:eastAsia="Calibri" w:cs="Times New Roman"/>
        </w:rPr>
        <w:t xml:space="preserve"> </w:t>
      </w:r>
      <w:r w:rsidR="00F73D72" w:rsidRPr="2E96ABE4">
        <w:rPr>
          <w:rStyle w:val="FootnoteReference"/>
          <w:rFonts w:eastAsia="Calibri" w:cs="Times New Roman"/>
        </w:rPr>
        <w:footnoteReference w:id="61"/>
      </w:r>
      <w:r w:rsidR="00746E69" w:rsidRPr="2E96ABE4">
        <w:rPr>
          <w:rFonts w:eastAsia="Calibri" w:cs="Times New Roman"/>
        </w:rPr>
        <w:t xml:space="preserve"> which IIROC </w:t>
      </w:r>
      <w:r w:rsidR="00AC4A63" w:rsidRPr="2E96ABE4">
        <w:rPr>
          <w:rFonts w:eastAsia="Calibri" w:cs="Times New Roman"/>
        </w:rPr>
        <w:t xml:space="preserve">then </w:t>
      </w:r>
      <w:r w:rsidR="00746E69" w:rsidRPr="2E96ABE4">
        <w:rPr>
          <w:rFonts w:eastAsia="Calibri" w:cs="Times New Roman"/>
        </w:rPr>
        <w:t>publishes</w:t>
      </w:r>
      <w:r w:rsidR="0057497E" w:rsidRPr="2E96ABE4">
        <w:rPr>
          <w:rFonts w:eastAsia="Calibri" w:cs="Times New Roman"/>
        </w:rPr>
        <w:t xml:space="preserve"> on its website</w:t>
      </w:r>
      <w:r w:rsidR="00746E69" w:rsidRPr="2E96ABE4">
        <w:rPr>
          <w:rFonts w:eastAsia="Calibri" w:cs="Times New Roman"/>
        </w:rPr>
        <w:t>.</w:t>
      </w:r>
      <w:r w:rsidR="00746E69" w:rsidRPr="2E96ABE4">
        <w:rPr>
          <w:rStyle w:val="FootnoteReference"/>
          <w:rFonts w:cs="Times New Roman"/>
          <w:lang w:val="en-US"/>
        </w:rPr>
        <w:footnoteReference w:id="62"/>
      </w:r>
      <w:r w:rsidR="00746E69" w:rsidRPr="2E96ABE4">
        <w:rPr>
          <w:rFonts w:eastAsia="Calibri" w:cs="Times New Roman"/>
        </w:rPr>
        <w:t xml:space="preserve"> </w:t>
      </w:r>
      <w:r w:rsidR="00BC5BD1" w:rsidRPr="2E96ABE4">
        <w:rPr>
          <w:rFonts w:eastAsia="Calibri" w:cs="Times New Roman"/>
        </w:rPr>
        <w:t xml:space="preserve"> </w:t>
      </w:r>
      <w:r w:rsidR="00746E69" w:rsidRPr="2E96ABE4">
        <w:rPr>
          <w:rFonts w:eastAsia="Calibri" w:cs="Times New Roman"/>
        </w:rPr>
        <w:t xml:space="preserve">IIROC also aggregates trades marked “short sale” from all of the marketplaces it monitors, consolidates that </w:t>
      </w:r>
      <w:r w:rsidR="00746E69" w:rsidRPr="2E96ABE4">
        <w:rPr>
          <w:rFonts w:eastAsia="Calibri" w:cs="Times New Roman"/>
        </w:rPr>
        <w:lastRenderedPageBreak/>
        <w:t>information, and publishes a semi-monthly report</w:t>
      </w:r>
      <w:r w:rsidR="00391066" w:rsidRPr="2E96ABE4">
        <w:rPr>
          <w:rFonts w:eastAsia="Calibri" w:cs="Times New Roman"/>
        </w:rPr>
        <w:t xml:space="preserve"> </w:t>
      </w:r>
      <w:r w:rsidR="002A3C0D" w:rsidRPr="2E96ABE4">
        <w:rPr>
          <w:rFonts w:eastAsia="Calibri" w:cs="Times New Roman"/>
        </w:rPr>
        <w:t xml:space="preserve">showing the total industry short </w:t>
      </w:r>
      <w:r w:rsidR="00DA636A" w:rsidRPr="2E96ABE4">
        <w:rPr>
          <w:rFonts w:eastAsia="Calibri" w:cs="Times New Roman"/>
        </w:rPr>
        <w:t>sales</w:t>
      </w:r>
      <w:r w:rsidR="002A3C0D" w:rsidRPr="2E96ABE4">
        <w:rPr>
          <w:rFonts w:eastAsia="Calibri" w:cs="Times New Roman"/>
        </w:rPr>
        <w:t xml:space="preserve"> for each security</w:t>
      </w:r>
      <w:r w:rsidR="00DA636A" w:rsidRPr="2E96ABE4">
        <w:rPr>
          <w:rFonts w:eastAsia="Calibri" w:cs="Times New Roman"/>
        </w:rPr>
        <w:t xml:space="preserve"> over the reporting period</w:t>
      </w:r>
      <w:r w:rsidR="00746E69" w:rsidRPr="2E96ABE4">
        <w:rPr>
          <w:rFonts w:eastAsia="Calibri" w:cs="Times New Roman"/>
        </w:rPr>
        <w:t>.</w:t>
      </w:r>
      <w:r w:rsidR="00746E69" w:rsidRPr="2E96ABE4">
        <w:rPr>
          <w:rStyle w:val="FootnoteReference"/>
          <w:rFonts w:cs="Times New Roman"/>
          <w:lang w:val="en-US"/>
        </w:rPr>
        <w:footnoteReference w:id="63"/>
      </w:r>
      <w:r w:rsidR="00746E69" w:rsidRPr="2E96ABE4">
        <w:rPr>
          <w:rFonts w:eastAsia="Calibri" w:cs="Times New Roman"/>
        </w:rPr>
        <w:t xml:space="preserve"> </w:t>
      </w:r>
      <w:r w:rsidR="00746E69" w:rsidRPr="00C314AE">
        <w:t xml:space="preserve"> </w:t>
      </w:r>
      <w:r w:rsidR="00746E69" w:rsidRPr="2E96ABE4">
        <w:rPr>
          <w:rFonts w:eastAsia="Calibri" w:cs="Times New Roman"/>
        </w:rPr>
        <w:t xml:space="preserve"> </w:t>
      </w:r>
      <w:r w:rsidR="00A23F4F" w:rsidRPr="2E96ABE4">
        <w:rPr>
          <w:rFonts w:eastAsia="Calibri" w:cs="Times New Roman"/>
        </w:rPr>
        <w:t>In contrast</w:t>
      </w:r>
      <w:r w:rsidR="00C5061D" w:rsidRPr="2E96ABE4">
        <w:rPr>
          <w:rFonts w:eastAsia="Calibri" w:cs="Times New Roman"/>
        </w:rPr>
        <w:t xml:space="preserve"> to other jurisdictions</w:t>
      </w:r>
      <w:r w:rsidR="00416191" w:rsidRPr="2E96ABE4">
        <w:rPr>
          <w:rFonts w:eastAsia="Calibri" w:cs="Times New Roman"/>
        </w:rPr>
        <w:t xml:space="preserve"> discussed below (EU, Australia)</w:t>
      </w:r>
      <w:r w:rsidR="00C5061D" w:rsidRPr="2E96ABE4">
        <w:rPr>
          <w:rFonts w:eastAsia="Calibri" w:cs="Times New Roman"/>
        </w:rPr>
        <w:t xml:space="preserve">, there </w:t>
      </w:r>
      <w:r w:rsidR="00AF0779" w:rsidRPr="2E96ABE4">
        <w:rPr>
          <w:rFonts w:eastAsia="Calibri" w:cs="Times New Roman"/>
        </w:rPr>
        <w:t xml:space="preserve">are </w:t>
      </w:r>
      <w:r w:rsidR="00C5061D" w:rsidRPr="2E96ABE4">
        <w:rPr>
          <w:rFonts w:eastAsia="Calibri" w:cs="Times New Roman"/>
        </w:rPr>
        <w:t>no</w:t>
      </w:r>
      <w:r w:rsidR="00AF0779" w:rsidRPr="2E96ABE4">
        <w:rPr>
          <w:rFonts w:eastAsia="Calibri" w:cs="Times New Roman"/>
        </w:rPr>
        <w:t xml:space="preserve"> reporting</w:t>
      </w:r>
      <w:r w:rsidR="00C5061D" w:rsidRPr="2E96ABE4">
        <w:rPr>
          <w:rFonts w:eastAsia="Calibri" w:cs="Times New Roman"/>
        </w:rPr>
        <w:t xml:space="preserve"> requirement</w:t>
      </w:r>
      <w:r w:rsidR="002C7795" w:rsidRPr="2E96ABE4">
        <w:rPr>
          <w:rFonts w:eastAsia="Calibri" w:cs="Times New Roman"/>
        </w:rPr>
        <w:t>s or obligations t</w:t>
      </w:r>
      <w:r w:rsidR="00C5061D" w:rsidRPr="2E96ABE4">
        <w:rPr>
          <w:rFonts w:eastAsia="Calibri" w:cs="Times New Roman"/>
        </w:rPr>
        <w:t xml:space="preserve">o disclose </w:t>
      </w:r>
      <w:r w:rsidR="00C5061D" w:rsidRPr="2E96ABE4">
        <w:rPr>
          <w:rFonts w:cs="Times New Roman"/>
          <w:lang w:val="en-US"/>
        </w:rPr>
        <w:t>information</w:t>
      </w:r>
      <w:r w:rsidR="00A23F4F" w:rsidRPr="2E96ABE4">
        <w:rPr>
          <w:rFonts w:cs="Times New Roman"/>
          <w:lang w:val="en-US"/>
        </w:rPr>
        <w:t xml:space="preserve"> on the </w:t>
      </w:r>
      <w:r w:rsidR="00E956DF" w:rsidRPr="2E96ABE4">
        <w:rPr>
          <w:rFonts w:cs="Times New Roman"/>
          <w:lang w:val="en-US"/>
        </w:rPr>
        <w:t xml:space="preserve">short </w:t>
      </w:r>
      <w:r w:rsidR="00A23F4F" w:rsidRPr="2E96ABE4">
        <w:rPr>
          <w:rFonts w:cs="Times New Roman"/>
          <w:lang w:val="en-US"/>
        </w:rPr>
        <w:t xml:space="preserve">position of an individual account to IIROC or </w:t>
      </w:r>
      <w:r w:rsidR="00C5061D" w:rsidRPr="2E96ABE4">
        <w:rPr>
          <w:rFonts w:cs="Times New Roman"/>
          <w:lang w:val="en-US"/>
        </w:rPr>
        <w:t xml:space="preserve">to the </w:t>
      </w:r>
      <w:r w:rsidR="00A23F4F" w:rsidRPr="2E96ABE4">
        <w:rPr>
          <w:rFonts w:cs="Times New Roman"/>
          <w:lang w:val="en-US"/>
        </w:rPr>
        <w:t>public.</w:t>
      </w:r>
      <w:r w:rsidR="00AF0779" w:rsidRPr="2E96ABE4">
        <w:rPr>
          <w:rFonts w:cs="Times New Roman"/>
          <w:lang w:val="en-US"/>
        </w:rPr>
        <w:t xml:space="preserve">  Even so, it is not uncommon for an activist short seller to </w:t>
      </w:r>
      <w:r w:rsidR="004B1288" w:rsidRPr="2E96ABE4">
        <w:rPr>
          <w:rFonts w:cs="Times New Roman"/>
          <w:lang w:val="en-US"/>
        </w:rPr>
        <w:t xml:space="preserve">voluntarily </w:t>
      </w:r>
      <w:r w:rsidR="00AF0779" w:rsidRPr="2E96ABE4">
        <w:rPr>
          <w:rFonts w:cs="Times New Roman"/>
          <w:lang w:val="en-US"/>
        </w:rPr>
        <w:t>disclose that they ar</w:t>
      </w:r>
      <w:r w:rsidR="002C7795" w:rsidRPr="2E96ABE4">
        <w:rPr>
          <w:rFonts w:cs="Times New Roman"/>
          <w:lang w:val="en-US"/>
        </w:rPr>
        <w:t>e short a particular issuer when they commence a campaign.</w:t>
      </w:r>
    </w:p>
    <w:p w14:paraId="730609B1" w14:textId="4058256B" w:rsidR="005B5156" w:rsidRDefault="00AF0779" w:rsidP="00DB7859">
      <w:pPr>
        <w:tabs>
          <w:tab w:val="left" w:pos="432"/>
          <w:tab w:val="left" w:pos="4320"/>
        </w:tabs>
        <w:spacing w:before="0" w:after="0"/>
        <w:rPr>
          <w:rFonts w:eastAsia="Calibri" w:cs="Times New Roman"/>
        </w:rPr>
      </w:pPr>
      <w:r w:rsidRPr="2E96ABE4">
        <w:rPr>
          <w:rFonts w:cs="Times New Roman"/>
          <w:lang w:val="en-US"/>
        </w:rPr>
        <w:t xml:space="preserve"> </w:t>
      </w:r>
    </w:p>
    <w:p w14:paraId="49AEBA0B" w14:textId="2504658B" w:rsidR="0014362C" w:rsidRDefault="0014362C" w:rsidP="00DB7859">
      <w:pPr>
        <w:pStyle w:val="SUB-SECTION"/>
        <w:spacing w:before="0" w:after="0"/>
        <w:jc w:val="left"/>
      </w:pPr>
      <w:bookmarkStart w:id="9" w:name="_Ref35272014"/>
      <w:r w:rsidRPr="0014362C">
        <w:t>Prohibition on Deceptive or Manipulative Activity</w:t>
      </w:r>
      <w:bookmarkEnd w:id="9"/>
    </w:p>
    <w:p w14:paraId="34B841BD" w14:textId="77777777" w:rsidR="00BC37D8" w:rsidRPr="0014362C" w:rsidRDefault="00BC37D8" w:rsidP="00BC37D8">
      <w:pPr>
        <w:pStyle w:val="SUB-SECTION"/>
        <w:numPr>
          <w:ilvl w:val="0"/>
          <w:numId w:val="0"/>
        </w:numPr>
        <w:spacing w:before="0" w:after="0"/>
        <w:ind w:left="1440"/>
        <w:jc w:val="left"/>
      </w:pPr>
    </w:p>
    <w:p w14:paraId="4F2423D1" w14:textId="554BD121" w:rsidR="007D386B" w:rsidRDefault="00C34B38" w:rsidP="00DB7859">
      <w:pPr>
        <w:spacing w:before="0" w:after="0"/>
        <w:rPr>
          <w:rFonts w:eastAsia="Calibri" w:cs="Times New Roman"/>
          <w:szCs w:val="24"/>
        </w:rPr>
      </w:pPr>
      <w:r>
        <w:rPr>
          <w:rFonts w:eastAsia="Calibri" w:cs="Times New Roman"/>
          <w:szCs w:val="24"/>
        </w:rPr>
        <w:t xml:space="preserve">Securities legislation, National Instrument 23-101 </w:t>
      </w:r>
      <w:r>
        <w:rPr>
          <w:rFonts w:eastAsia="Calibri" w:cs="Times New Roman"/>
          <w:i/>
          <w:iCs/>
          <w:szCs w:val="24"/>
        </w:rPr>
        <w:t xml:space="preserve">Trading Rules </w:t>
      </w:r>
      <w:r>
        <w:rPr>
          <w:rFonts w:eastAsia="Calibri" w:cs="Times New Roman"/>
          <w:szCs w:val="24"/>
        </w:rPr>
        <w:t>and</w:t>
      </w:r>
      <w:r w:rsidRPr="0014362C">
        <w:rPr>
          <w:rFonts w:eastAsia="Calibri" w:cs="Times New Roman"/>
          <w:szCs w:val="24"/>
        </w:rPr>
        <w:t xml:space="preserve"> </w:t>
      </w:r>
      <w:r w:rsidR="00352363" w:rsidRPr="0014362C">
        <w:rPr>
          <w:rFonts w:eastAsia="Calibri" w:cs="Times New Roman"/>
          <w:szCs w:val="24"/>
        </w:rPr>
        <w:t xml:space="preserve">UMIR prohibit activities that are manipulative and/or deceptive. </w:t>
      </w:r>
      <w:r w:rsidR="00C66A40">
        <w:rPr>
          <w:rFonts w:eastAsia="Calibri" w:cs="Times New Roman"/>
          <w:szCs w:val="24"/>
        </w:rPr>
        <w:t xml:space="preserve">In the context of short selling </w:t>
      </w:r>
      <w:r w:rsidR="00352363" w:rsidRPr="0014362C">
        <w:rPr>
          <w:rFonts w:eastAsia="Calibri" w:cs="Times New Roman"/>
          <w:szCs w:val="24"/>
        </w:rPr>
        <w:t xml:space="preserve">activity </w:t>
      </w:r>
      <w:r w:rsidR="00C66A40">
        <w:rPr>
          <w:rFonts w:eastAsia="Calibri" w:cs="Times New Roman"/>
          <w:szCs w:val="24"/>
        </w:rPr>
        <w:t xml:space="preserve">this would </w:t>
      </w:r>
      <w:r w:rsidR="00352363" w:rsidRPr="0014362C">
        <w:rPr>
          <w:rFonts w:eastAsia="Calibri" w:cs="Times New Roman"/>
          <w:szCs w:val="24"/>
        </w:rPr>
        <w:t xml:space="preserve">include the entering of an order for the sale of a security without, at the time of entering </w:t>
      </w:r>
      <w:r w:rsidR="00352363" w:rsidRPr="0014362C">
        <w:rPr>
          <w:rFonts w:cs="Times New Roman"/>
          <w:szCs w:val="24"/>
          <w:lang w:val="en-US"/>
        </w:rPr>
        <w:t>the</w:t>
      </w:r>
      <w:r w:rsidR="00352363" w:rsidRPr="0014362C">
        <w:rPr>
          <w:rFonts w:eastAsia="Calibri" w:cs="Times New Roman"/>
          <w:szCs w:val="24"/>
        </w:rPr>
        <w:t xml:space="preserve"> order, having the reasonable expectation of settling any trade that would result from the execution of the order.</w:t>
      </w:r>
      <w:r w:rsidR="00352363">
        <w:rPr>
          <w:rStyle w:val="FootnoteReference"/>
          <w:rFonts w:eastAsia="Calibri" w:cs="Times New Roman"/>
          <w:szCs w:val="24"/>
        </w:rPr>
        <w:footnoteReference w:id="64"/>
      </w:r>
      <w:r w:rsidR="00352363" w:rsidRPr="0014362C">
        <w:rPr>
          <w:rFonts w:eastAsia="Calibri" w:cs="Times New Roman"/>
          <w:szCs w:val="24"/>
        </w:rPr>
        <w:t xml:space="preserve"> As such, “naked short selling”, as that term is sometimes understood, is not permitted under UMIR.</w:t>
      </w:r>
      <w:r w:rsidR="00352363">
        <w:rPr>
          <w:rStyle w:val="FootnoteReference"/>
          <w:rFonts w:eastAsia="Calibri" w:cs="Times New Roman"/>
          <w:szCs w:val="24"/>
        </w:rPr>
        <w:footnoteReference w:id="65"/>
      </w:r>
    </w:p>
    <w:p w14:paraId="58A2B11C" w14:textId="77777777" w:rsidR="00DB7859" w:rsidRDefault="00DB7859" w:rsidP="00DB7859">
      <w:pPr>
        <w:spacing w:before="0" w:after="0"/>
        <w:rPr>
          <w:rFonts w:eastAsia="Calibri" w:cs="Times New Roman"/>
          <w:szCs w:val="24"/>
        </w:rPr>
      </w:pPr>
    </w:p>
    <w:p w14:paraId="387EF160" w14:textId="3E22BA56" w:rsidR="00A15519" w:rsidRDefault="006601F7" w:rsidP="00DB7859">
      <w:pPr>
        <w:spacing w:before="0" w:after="0"/>
        <w:rPr>
          <w:rFonts w:eastAsia="Calibri" w:cs="Times New Roman"/>
          <w:szCs w:val="24"/>
        </w:rPr>
      </w:pPr>
      <w:r>
        <w:rPr>
          <w:rFonts w:eastAsia="Calibri" w:cs="Times New Roman"/>
          <w:szCs w:val="24"/>
        </w:rPr>
        <w:t xml:space="preserve">IIROC </w:t>
      </w:r>
      <w:r w:rsidR="00605988">
        <w:rPr>
          <w:rFonts w:eastAsia="Calibri" w:cs="Times New Roman"/>
          <w:szCs w:val="24"/>
        </w:rPr>
        <w:t>monitor</w:t>
      </w:r>
      <w:r w:rsidR="00DC4BFD">
        <w:rPr>
          <w:rFonts w:eastAsia="Calibri" w:cs="Times New Roman"/>
          <w:szCs w:val="24"/>
        </w:rPr>
        <w:t>s</w:t>
      </w:r>
      <w:r w:rsidR="00605988">
        <w:rPr>
          <w:rFonts w:eastAsia="Calibri" w:cs="Times New Roman"/>
          <w:szCs w:val="24"/>
        </w:rPr>
        <w:t xml:space="preserve"> for potentially abusive trading activity</w:t>
      </w:r>
      <w:r w:rsidR="00D70B57">
        <w:rPr>
          <w:rFonts w:eastAsia="Calibri" w:cs="Times New Roman"/>
          <w:szCs w:val="24"/>
        </w:rPr>
        <w:t>.  For example,</w:t>
      </w:r>
      <w:r w:rsidR="00605988">
        <w:rPr>
          <w:rFonts w:eastAsia="Calibri" w:cs="Times New Roman"/>
          <w:szCs w:val="24"/>
        </w:rPr>
        <w:t xml:space="preserve"> </w:t>
      </w:r>
      <w:r w:rsidR="00B221FE">
        <w:rPr>
          <w:rFonts w:eastAsia="Calibri" w:cs="Times New Roman"/>
          <w:szCs w:val="24"/>
        </w:rPr>
        <w:t xml:space="preserve">in the context of </w:t>
      </w:r>
      <w:r w:rsidR="00D455DF">
        <w:rPr>
          <w:rFonts w:eastAsia="Calibri" w:cs="Times New Roman"/>
          <w:szCs w:val="24"/>
        </w:rPr>
        <w:t xml:space="preserve">short selling activity, </w:t>
      </w:r>
      <w:r w:rsidR="00745094" w:rsidRPr="00745094">
        <w:rPr>
          <w:rFonts w:eastAsia="Calibri" w:cs="Times New Roman"/>
          <w:szCs w:val="24"/>
        </w:rPr>
        <w:t>IIROC uses algorithm</w:t>
      </w:r>
      <w:r w:rsidR="00FE1AB5">
        <w:rPr>
          <w:rFonts w:eastAsia="Calibri" w:cs="Times New Roman"/>
          <w:szCs w:val="24"/>
        </w:rPr>
        <w:t>s</w:t>
      </w:r>
      <w:r w:rsidR="00745094" w:rsidRPr="00745094">
        <w:rPr>
          <w:rFonts w:eastAsia="Calibri" w:cs="Times New Roman"/>
          <w:szCs w:val="24"/>
        </w:rPr>
        <w:t xml:space="preserve"> </w:t>
      </w:r>
      <w:r w:rsidR="00FE1AB5">
        <w:rPr>
          <w:rFonts w:eastAsia="Calibri" w:cs="Times New Roman"/>
          <w:szCs w:val="24"/>
        </w:rPr>
        <w:t>to</w:t>
      </w:r>
      <w:r w:rsidR="00745094" w:rsidRPr="00745094">
        <w:rPr>
          <w:rFonts w:eastAsia="Calibri" w:cs="Times New Roman"/>
          <w:szCs w:val="24"/>
        </w:rPr>
        <w:t xml:space="preserve"> </w:t>
      </w:r>
      <w:r w:rsidR="00FE1AB5">
        <w:rPr>
          <w:rFonts w:eastAsia="Calibri" w:cs="Times New Roman"/>
          <w:szCs w:val="24"/>
        </w:rPr>
        <w:t xml:space="preserve">monitor for </w:t>
      </w:r>
      <w:r w:rsidR="00745094" w:rsidRPr="00745094">
        <w:rPr>
          <w:rFonts w:eastAsia="Calibri" w:cs="Times New Roman"/>
          <w:szCs w:val="24"/>
        </w:rPr>
        <w:t xml:space="preserve">unusual levels of short selling coupled with significant price movements </w:t>
      </w:r>
      <w:r w:rsidR="00FE1AB5">
        <w:rPr>
          <w:rFonts w:eastAsia="Calibri" w:cs="Times New Roman"/>
          <w:szCs w:val="24"/>
        </w:rPr>
        <w:t xml:space="preserve">and reviews alerts </w:t>
      </w:r>
      <w:r w:rsidR="00316CDF">
        <w:rPr>
          <w:rFonts w:eastAsia="Calibri" w:cs="Times New Roman"/>
          <w:szCs w:val="24"/>
        </w:rPr>
        <w:t>to determine the cause of the price movement</w:t>
      </w:r>
      <w:r w:rsidR="00316CDF" w:rsidRPr="00745094">
        <w:rPr>
          <w:rFonts w:eastAsia="Calibri" w:cs="Times New Roman"/>
          <w:szCs w:val="24"/>
        </w:rPr>
        <w:t xml:space="preserve"> </w:t>
      </w:r>
      <w:r w:rsidR="00316CDF">
        <w:rPr>
          <w:rFonts w:eastAsia="Calibri" w:cs="Times New Roman"/>
          <w:szCs w:val="24"/>
        </w:rPr>
        <w:t>and</w:t>
      </w:r>
      <w:r w:rsidR="00745094" w:rsidRPr="00745094">
        <w:rPr>
          <w:rFonts w:eastAsia="Calibri" w:cs="Times New Roman"/>
          <w:szCs w:val="24"/>
        </w:rPr>
        <w:t xml:space="preserve"> whether there is an indication of manipulative trading activities</w:t>
      </w:r>
      <w:r w:rsidR="00421D8B">
        <w:rPr>
          <w:rFonts w:eastAsia="Calibri" w:cs="Times New Roman"/>
          <w:szCs w:val="24"/>
        </w:rPr>
        <w:t>.</w:t>
      </w:r>
      <w:r w:rsidR="00CC058F">
        <w:rPr>
          <w:rFonts w:eastAsia="Calibri" w:cs="Times New Roman"/>
          <w:szCs w:val="24"/>
        </w:rPr>
        <w:t xml:space="preserve"> </w:t>
      </w:r>
      <w:r w:rsidR="00421D8B">
        <w:rPr>
          <w:rFonts w:eastAsia="Calibri" w:cs="Times New Roman"/>
          <w:szCs w:val="24"/>
        </w:rPr>
        <w:t>Th</w:t>
      </w:r>
      <w:r w:rsidR="00316CDF">
        <w:rPr>
          <w:rFonts w:eastAsia="Calibri" w:cs="Times New Roman"/>
          <w:szCs w:val="24"/>
        </w:rPr>
        <w:t>ese reviews</w:t>
      </w:r>
      <w:r w:rsidR="00421D8B">
        <w:rPr>
          <w:rFonts w:eastAsia="Calibri" w:cs="Times New Roman"/>
          <w:szCs w:val="24"/>
        </w:rPr>
        <w:t xml:space="preserve"> may include a review of social media or chatrooms as well as </w:t>
      </w:r>
      <w:r w:rsidR="0005528B">
        <w:rPr>
          <w:rFonts w:eastAsia="Calibri" w:cs="Times New Roman"/>
          <w:szCs w:val="24"/>
        </w:rPr>
        <w:t>Extended F</w:t>
      </w:r>
      <w:r w:rsidR="00745094" w:rsidRPr="00745094">
        <w:rPr>
          <w:rFonts w:eastAsia="Calibri" w:cs="Times New Roman"/>
          <w:szCs w:val="24"/>
        </w:rPr>
        <w:t xml:space="preserve">ailed </w:t>
      </w:r>
      <w:r w:rsidR="0005528B">
        <w:rPr>
          <w:rFonts w:eastAsia="Calibri" w:cs="Times New Roman"/>
          <w:szCs w:val="24"/>
        </w:rPr>
        <w:t>T</w:t>
      </w:r>
      <w:r w:rsidR="00745094" w:rsidRPr="00745094">
        <w:rPr>
          <w:rFonts w:eastAsia="Calibri" w:cs="Times New Roman"/>
          <w:szCs w:val="24"/>
        </w:rPr>
        <w:t xml:space="preserve">rades reports for indications of </w:t>
      </w:r>
      <w:r w:rsidR="0039103B">
        <w:rPr>
          <w:rFonts w:eastAsia="Calibri" w:cs="Times New Roman"/>
          <w:szCs w:val="24"/>
        </w:rPr>
        <w:t>settlement issues</w:t>
      </w:r>
      <w:r w:rsidR="009D2CEE">
        <w:rPr>
          <w:rFonts w:eastAsia="Calibri" w:cs="Times New Roman"/>
          <w:szCs w:val="24"/>
        </w:rPr>
        <w:t xml:space="preserve">.  </w:t>
      </w:r>
      <w:r w:rsidR="00CE60CF">
        <w:rPr>
          <w:rFonts w:eastAsia="Calibri" w:cs="Times New Roman"/>
          <w:szCs w:val="24"/>
        </w:rPr>
        <w:t xml:space="preserve">If appropriate, referral to </w:t>
      </w:r>
      <w:r w:rsidR="00F35214">
        <w:rPr>
          <w:rFonts w:eastAsia="Calibri" w:cs="Times New Roman"/>
          <w:szCs w:val="24"/>
        </w:rPr>
        <w:t xml:space="preserve">the </w:t>
      </w:r>
      <w:r w:rsidR="00CE60CF">
        <w:rPr>
          <w:rFonts w:eastAsia="Calibri" w:cs="Times New Roman"/>
          <w:szCs w:val="24"/>
        </w:rPr>
        <w:t>enforcem</w:t>
      </w:r>
      <w:r w:rsidR="00F35214">
        <w:rPr>
          <w:rFonts w:eastAsia="Calibri" w:cs="Times New Roman"/>
          <w:szCs w:val="24"/>
        </w:rPr>
        <w:t xml:space="preserve">ent </w:t>
      </w:r>
      <w:r w:rsidR="00DC4BFD">
        <w:rPr>
          <w:rFonts w:eastAsia="Calibri" w:cs="Times New Roman"/>
          <w:szCs w:val="24"/>
        </w:rPr>
        <w:t xml:space="preserve">branch of </w:t>
      </w:r>
      <w:r w:rsidR="00F35214">
        <w:rPr>
          <w:rFonts w:eastAsia="Calibri" w:cs="Times New Roman"/>
          <w:szCs w:val="24"/>
        </w:rPr>
        <w:t>the appropriate CSA jurisdiction</w:t>
      </w:r>
      <w:r w:rsidR="00DC4BFD">
        <w:rPr>
          <w:rFonts w:eastAsia="Calibri" w:cs="Times New Roman"/>
          <w:szCs w:val="24"/>
        </w:rPr>
        <w:t xml:space="preserve"> for investigation may also occur.</w:t>
      </w:r>
    </w:p>
    <w:p w14:paraId="55535B38" w14:textId="77777777" w:rsidR="00DB7859" w:rsidRDefault="00DB7859" w:rsidP="00DB7859">
      <w:pPr>
        <w:spacing w:before="0" w:after="0"/>
        <w:rPr>
          <w:rFonts w:eastAsia="Calibri" w:cs="Times New Roman"/>
          <w:szCs w:val="24"/>
        </w:rPr>
      </w:pPr>
    </w:p>
    <w:p w14:paraId="6FBEEAAA" w14:textId="77777777" w:rsidR="00DB7859" w:rsidRDefault="00C31B47" w:rsidP="00DB7859">
      <w:pPr>
        <w:tabs>
          <w:tab w:val="left" w:pos="432"/>
          <w:tab w:val="left" w:pos="4320"/>
        </w:tabs>
        <w:spacing w:before="0" w:after="0"/>
        <w:rPr>
          <w:rFonts w:eastAsia="Calibri" w:cs="Times New Roman"/>
          <w:szCs w:val="24"/>
        </w:rPr>
      </w:pPr>
      <w:r>
        <w:rPr>
          <w:rFonts w:eastAsia="Calibri" w:cs="Times New Roman"/>
          <w:szCs w:val="24"/>
        </w:rPr>
        <w:t xml:space="preserve">As </w:t>
      </w:r>
      <w:r w:rsidR="002B59A8">
        <w:rPr>
          <w:rFonts w:eastAsia="Calibri" w:cs="Times New Roman"/>
          <w:szCs w:val="24"/>
        </w:rPr>
        <w:t xml:space="preserve">set out </w:t>
      </w:r>
      <w:r>
        <w:rPr>
          <w:rFonts w:eastAsia="Calibri" w:cs="Times New Roman"/>
          <w:szCs w:val="24"/>
        </w:rPr>
        <w:t xml:space="preserve">in </w:t>
      </w:r>
      <w:r w:rsidR="00DB65AE">
        <w:rPr>
          <w:rFonts w:eastAsia="Calibri" w:cs="Times New Roman"/>
          <w:szCs w:val="24"/>
        </w:rPr>
        <w:t>Part I</w:t>
      </w:r>
      <w:r>
        <w:rPr>
          <w:rFonts w:eastAsia="Calibri" w:cs="Times New Roman"/>
          <w:szCs w:val="24"/>
        </w:rPr>
        <w:t>, securities legislation also contains provisions which address prohibitions on manipulative activity</w:t>
      </w:r>
      <w:r w:rsidR="006E64AE">
        <w:rPr>
          <w:rFonts w:eastAsia="Calibri" w:cs="Times New Roman"/>
          <w:szCs w:val="24"/>
        </w:rPr>
        <w:t xml:space="preserve"> that apply to </w:t>
      </w:r>
      <w:r w:rsidR="004C7953">
        <w:rPr>
          <w:rFonts w:eastAsia="Calibri" w:cs="Times New Roman"/>
          <w:szCs w:val="24"/>
        </w:rPr>
        <w:t xml:space="preserve">all market participants, including </w:t>
      </w:r>
      <w:r w:rsidR="006E64AE">
        <w:rPr>
          <w:rFonts w:eastAsia="Calibri" w:cs="Times New Roman"/>
          <w:szCs w:val="24"/>
        </w:rPr>
        <w:t>activist short sell</w:t>
      </w:r>
      <w:r w:rsidR="00C66A40">
        <w:rPr>
          <w:rFonts w:eastAsia="Calibri" w:cs="Times New Roman"/>
          <w:szCs w:val="24"/>
        </w:rPr>
        <w:t>ers</w:t>
      </w:r>
      <w:r w:rsidR="006E64AE">
        <w:rPr>
          <w:rFonts w:eastAsia="Calibri" w:cs="Times New Roman"/>
          <w:szCs w:val="24"/>
        </w:rPr>
        <w:t>.</w:t>
      </w:r>
    </w:p>
    <w:p w14:paraId="78FED1A7" w14:textId="33F5976C" w:rsidR="00A17672" w:rsidRPr="002C7102" w:rsidRDefault="00C31B47" w:rsidP="00DB7859">
      <w:pPr>
        <w:tabs>
          <w:tab w:val="left" w:pos="432"/>
          <w:tab w:val="left" w:pos="4320"/>
        </w:tabs>
        <w:spacing w:before="0" w:after="0"/>
        <w:rPr>
          <w:rFonts w:eastAsia="Calibri" w:cs="Times New Roman"/>
          <w:szCs w:val="24"/>
        </w:rPr>
      </w:pPr>
      <w:r>
        <w:rPr>
          <w:rFonts w:eastAsia="Calibri" w:cs="Times New Roman"/>
          <w:szCs w:val="24"/>
        </w:rPr>
        <w:t xml:space="preserve"> </w:t>
      </w:r>
    </w:p>
    <w:p w14:paraId="62BDF571" w14:textId="34E932C7" w:rsidR="00A80873" w:rsidRDefault="00A80873" w:rsidP="00DB7859">
      <w:pPr>
        <w:pStyle w:val="SUB-SECTION"/>
        <w:spacing w:before="0" w:after="0"/>
        <w:jc w:val="left"/>
      </w:pPr>
      <w:r w:rsidRPr="00056234">
        <w:t>International</w:t>
      </w:r>
      <w:r w:rsidR="00740AE6">
        <w:t xml:space="preserve"> Regulatory Frameworks</w:t>
      </w:r>
      <w:r w:rsidR="00AE7B9F">
        <w:t xml:space="preserve"> </w:t>
      </w:r>
    </w:p>
    <w:p w14:paraId="714DBEC0" w14:textId="77777777" w:rsidR="00BC37D8" w:rsidRDefault="00BC37D8" w:rsidP="00BC37D8">
      <w:pPr>
        <w:pStyle w:val="SUB-SECTION"/>
        <w:numPr>
          <w:ilvl w:val="0"/>
          <w:numId w:val="0"/>
        </w:numPr>
        <w:spacing w:before="0" w:after="0"/>
        <w:ind w:left="1440"/>
        <w:jc w:val="left"/>
      </w:pPr>
    </w:p>
    <w:p w14:paraId="7EA0B016" w14:textId="77777777" w:rsidR="00DB7859" w:rsidRDefault="004368F7" w:rsidP="00DB7859">
      <w:pPr>
        <w:spacing w:before="0" w:after="0"/>
        <w:rPr>
          <w:rFonts w:cs="Times New Roman"/>
          <w:szCs w:val="24"/>
        </w:rPr>
      </w:pPr>
      <w:r>
        <w:rPr>
          <w:rFonts w:eastAsia="Calibri" w:cs="Times New Roman"/>
          <w:szCs w:val="24"/>
        </w:rPr>
        <w:t>T</w:t>
      </w:r>
      <w:r w:rsidR="002E6D71">
        <w:rPr>
          <w:rFonts w:eastAsia="Calibri" w:cs="Times New Roman"/>
          <w:szCs w:val="24"/>
        </w:rPr>
        <w:t>he</w:t>
      </w:r>
      <w:r w:rsidR="002A515E">
        <w:rPr>
          <w:rFonts w:eastAsia="Calibri" w:cs="Times New Roman"/>
          <w:szCs w:val="24"/>
        </w:rPr>
        <w:t xml:space="preserve"> most notable difference among the</w:t>
      </w:r>
      <w:r w:rsidR="002E6D71">
        <w:rPr>
          <w:rFonts w:eastAsia="Calibri" w:cs="Times New Roman"/>
          <w:szCs w:val="24"/>
        </w:rPr>
        <w:t xml:space="preserve"> </w:t>
      </w:r>
      <w:r w:rsidR="00FB0038" w:rsidRPr="002C7102">
        <w:rPr>
          <w:rFonts w:eastAsia="Calibri" w:cs="Times New Roman"/>
          <w:szCs w:val="24"/>
        </w:rPr>
        <w:t xml:space="preserve">regulatory frameworks </w:t>
      </w:r>
      <w:r w:rsidR="00002BAD">
        <w:rPr>
          <w:rFonts w:eastAsia="Calibri" w:cs="Times New Roman"/>
          <w:szCs w:val="24"/>
        </w:rPr>
        <w:t>that apply to activist short selling</w:t>
      </w:r>
      <w:r w:rsidR="00002BAD" w:rsidRPr="002C7102">
        <w:rPr>
          <w:rFonts w:eastAsia="Calibri" w:cs="Times New Roman"/>
          <w:szCs w:val="24"/>
        </w:rPr>
        <w:t xml:space="preserve"> </w:t>
      </w:r>
      <w:r w:rsidR="00FB0038" w:rsidRPr="002C7102">
        <w:rPr>
          <w:rFonts w:eastAsia="Calibri" w:cs="Times New Roman"/>
          <w:szCs w:val="24"/>
        </w:rPr>
        <w:t xml:space="preserve">in the European Union </w:t>
      </w:r>
      <w:r w:rsidR="00EA5DBC">
        <w:rPr>
          <w:rFonts w:eastAsia="Calibri" w:cs="Times New Roman"/>
          <w:szCs w:val="24"/>
        </w:rPr>
        <w:t>(</w:t>
      </w:r>
      <w:r w:rsidR="00EA5DBC" w:rsidRPr="000C1B8A">
        <w:rPr>
          <w:rFonts w:eastAsia="Calibri" w:cs="Times New Roman"/>
          <w:b/>
          <w:szCs w:val="24"/>
        </w:rPr>
        <w:t>EU</w:t>
      </w:r>
      <w:r w:rsidR="00EA5DBC">
        <w:rPr>
          <w:rFonts w:eastAsia="Calibri" w:cs="Times New Roman"/>
          <w:szCs w:val="24"/>
        </w:rPr>
        <w:t xml:space="preserve">) </w:t>
      </w:r>
      <w:r w:rsidR="00FB0038" w:rsidRPr="002C7102">
        <w:rPr>
          <w:rFonts w:eastAsia="Calibri" w:cs="Times New Roman"/>
          <w:szCs w:val="24"/>
        </w:rPr>
        <w:t>and Australia</w:t>
      </w:r>
      <w:r w:rsidR="00544B94">
        <w:rPr>
          <w:rFonts w:eastAsia="Calibri" w:cs="Times New Roman"/>
          <w:szCs w:val="24"/>
        </w:rPr>
        <w:t xml:space="preserve"> </w:t>
      </w:r>
      <w:r w:rsidR="00EF5A2A">
        <w:rPr>
          <w:rFonts w:eastAsia="Calibri" w:cs="Times New Roman"/>
          <w:szCs w:val="24"/>
        </w:rPr>
        <w:t xml:space="preserve">relates to </w:t>
      </w:r>
      <w:r w:rsidR="00544B94">
        <w:rPr>
          <w:rFonts w:eastAsia="Calibri" w:cs="Times New Roman"/>
          <w:szCs w:val="24"/>
        </w:rPr>
        <w:t>the</w:t>
      </w:r>
      <w:r w:rsidR="00056234">
        <w:rPr>
          <w:rFonts w:eastAsia="Calibri" w:cs="Times New Roman"/>
          <w:szCs w:val="24"/>
        </w:rPr>
        <w:t xml:space="preserve"> </w:t>
      </w:r>
      <w:r w:rsidR="00DF7613">
        <w:rPr>
          <w:rFonts w:eastAsia="Calibri" w:cs="Times New Roman"/>
          <w:szCs w:val="24"/>
        </w:rPr>
        <w:t xml:space="preserve">reporting and </w:t>
      </w:r>
      <w:r w:rsidR="005574D7">
        <w:rPr>
          <w:rFonts w:eastAsia="Calibri" w:cs="Times New Roman"/>
          <w:szCs w:val="24"/>
        </w:rPr>
        <w:t xml:space="preserve">disclosure of </w:t>
      </w:r>
      <w:r w:rsidR="00FB0038" w:rsidRPr="00056234">
        <w:rPr>
          <w:rFonts w:cs="Times New Roman"/>
          <w:szCs w:val="24"/>
        </w:rPr>
        <w:t xml:space="preserve">position size and </w:t>
      </w:r>
      <w:r w:rsidR="00DF7613">
        <w:rPr>
          <w:rFonts w:cs="Times New Roman"/>
          <w:szCs w:val="24"/>
        </w:rPr>
        <w:t xml:space="preserve">the </w:t>
      </w:r>
      <w:r w:rsidR="00FB0038" w:rsidRPr="00056234">
        <w:rPr>
          <w:rFonts w:cs="Times New Roman"/>
          <w:szCs w:val="24"/>
        </w:rPr>
        <w:t>identity of short sellers</w:t>
      </w:r>
      <w:r w:rsidR="003F7E95">
        <w:rPr>
          <w:rFonts w:cs="Times New Roman"/>
          <w:szCs w:val="24"/>
        </w:rPr>
        <w:t xml:space="preserve"> generally</w:t>
      </w:r>
      <w:r w:rsidR="00072A25">
        <w:rPr>
          <w:rFonts w:cs="Times New Roman"/>
          <w:szCs w:val="24"/>
        </w:rPr>
        <w:t>.</w:t>
      </w:r>
      <w:r w:rsidR="00C66A40">
        <w:rPr>
          <w:rStyle w:val="FootnoteReference"/>
          <w:rFonts w:eastAsia="Calibri" w:cs="Times New Roman"/>
          <w:szCs w:val="24"/>
        </w:rPr>
        <w:footnoteReference w:id="66"/>
      </w:r>
      <w:r w:rsidR="00C66A40" w:rsidRPr="002C7102">
        <w:rPr>
          <w:rFonts w:eastAsia="Calibri" w:cs="Times New Roman"/>
          <w:szCs w:val="24"/>
        </w:rPr>
        <w:t xml:space="preserve"> </w:t>
      </w:r>
      <w:r w:rsidR="00256C0D">
        <w:rPr>
          <w:rFonts w:cs="Times New Roman"/>
          <w:szCs w:val="24"/>
        </w:rPr>
        <w:t xml:space="preserve"> </w:t>
      </w:r>
    </w:p>
    <w:p w14:paraId="2C7DE0F8" w14:textId="079873D7" w:rsidR="00B51EC6" w:rsidRPr="00056234" w:rsidRDefault="00256C0D" w:rsidP="00DB7859">
      <w:pPr>
        <w:spacing w:before="0" w:after="0"/>
        <w:rPr>
          <w:rFonts w:eastAsia="Calibri" w:cs="Times New Roman"/>
          <w:szCs w:val="24"/>
        </w:rPr>
      </w:pPr>
      <w:r>
        <w:rPr>
          <w:rFonts w:cs="Times New Roman"/>
          <w:szCs w:val="24"/>
        </w:rPr>
        <w:t xml:space="preserve"> </w:t>
      </w:r>
    </w:p>
    <w:p w14:paraId="742C59AA" w14:textId="5D0203CE" w:rsidR="00CE61DF" w:rsidRDefault="00CE61DF" w:rsidP="00DB7859">
      <w:pPr>
        <w:spacing w:before="0" w:after="0"/>
        <w:rPr>
          <w:rFonts w:eastAsia="Calibri" w:cs="Times New Roman"/>
          <w:szCs w:val="24"/>
        </w:rPr>
      </w:pPr>
      <w:r>
        <w:rPr>
          <w:rFonts w:eastAsia="Calibri" w:cs="Times New Roman"/>
          <w:szCs w:val="24"/>
        </w:rPr>
        <w:t xml:space="preserve">The </w:t>
      </w:r>
      <w:r w:rsidR="004B5A66" w:rsidRPr="00703962">
        <w:rPr>
          <w:rFonts w:eastAsia="Calibri" w:cs="Times New Roman"/>
          <w:szCs w:val="24"/>
        </w:rPr>
        <w:t>European Securities and Markets Authority (</w:t>
      </w:r>
      <w:r w:rsidR="004B5A66" w:rsidRPr="00EE799A">
        <w:rPr>
          <w:rFonts w:eastAsia="Calibri" w:cs="Times New Roman"/>
          <w:b/>
          <w:szCs w:val="24"/>
        </w:rPr>
        <w:t>ESMA</w:t>
      </w:r>
      <w:r w:rsidR="004B5A66" w:rsidRPr="00703962">
        <w:rPr>
          <w:rFonts w:eastAsia="Calibri" w:cs="Times New Roman"/>
          <w:szCs w:val="24"/>
        </w:rPr>
        <w:t>)</w:t>
      </w:r>
      <w:r w:rsidR="004B5A66">
        <w:rPr>
          <w:rFonts w:eastAsia="Calibri" w:cs="Times New Roman"/>
          <w:szCs w:val="24"/>
        </w:rPr>
        <w:t xml:space="preserve"> requires </w:t>
      </w:r>
      <w:r w:rsidR="00704FE4" w:rsidRPr="002C7102">
        <w:rPr>
          <w:rFonts w:eastAsia="Calibri" w:cs="Times New Roman"/>
          <w:szCs w:val="24"/>
        </w:rPr>
        <w:t xml:space="preserve">that net short positions (including direct and synthetic shorts) of “natural or legal persons” be made first to the regulator at 0.2% and that the position be publicly disclosed if the position reaches 0.5% of the issued </w:t>
      </w:r>
      <w:r w:rsidR="00704FE4" w:rsidRPr="002C7102">
        <w:rPr>
          <w:rFonts w:eastAsia="Calibri" w:cs="Times New Roman"/>
          <w:szCs w:val="24"/>
        </w:rPr>
        <w:lastRenderedPageBreak/>
        <w:t>share capital of the company concerned, and each 0.1% above that.</w:t>
      </w:r>
      <w:r w:rsidR="00704FE4" w:rsidRPr="002C7102">
        <w:rPr>
          <w:rStyle w:val="FootnoteReference"/>
          <w:rFonts w:eastAsia="Calibri" w:cs="Times New Roman"/>
          <w:szCs w:val="24"/>
        </w:rPr>
        <w:footnoteReference w:id="67"/>
      </w:r>
      <w:r w:rsidR="007C5594">
        <w:rPr>
          <w:rFonts w:eastAsia="Calibri" w:cs="Times New Roman"/>
          <w:szCs w:val="24"/>
        </w:rPr>
        <w:t xml:space="preserve">  </w:t>
      </w:r>
      <w:r w:rsidRPr="00CE61DF">
        <w:rPr>
          <w:rFonts w:eastAsia="Calibri" w:cs="Times New Roman"/>
          <w:szCs w:val="24"/>
        </w:rPr>
        <w:t>Anyone can therefore view the identity of holders of short positions that meet these position-level thresholds for an EU security.</w:t>
      </w:r>
      <w:r w:rsidR="00E83F88">
        <w:rPr>
          <w:rStyle w:val="FootnoteReference"/>
          <w:rFonts w:eastAsia="Calibri" w:cs="Times New Roman"/>
          <w:szCs w:val="24"/>
        </w:rPr>
        <w:footnoteReference w:id="68"/>
      </w:r>
      <w:r w:rsidRPr="00CE61DF">
        <w:rPr>
          <w:rFonts w:eastAsia="Calibri" w:cs="Times New Roman"/>
          <w:szCs w:val="24"/>
        </w:rPr>
        <w:t xml:space="preserve"> This is more granular public transparency compared to aggregated data that is publicly available in Canada</w:t>
      </w:r>
      <w:r w:rsidRPr="00EF546C">
        <w:rPr>
          <w:rFonts w:eastAsia="Calibri" w:cs="Times New Roman"/>
          <w:szCs w:val="24"/>
        </w:rPr>
        <w:t xml:space="preserve">.  </w:t>
      </w:r>
      <w:r w:rsidR="00E83F88" w:rsidRPr="00EF546C">
        <w:rPr>
          <w:rFonts w:eastAsia="Calibri" w:cs="Times New Roman"/>
          <w:szCs w:val="24"/>
        </w:rPr>
        <w:t>R</w:t>
      </w:r>
      <w:r w:rsidR="00E83F88" w:rsidRPr="001C5102">
        <w:rPr>
          <w:rFonts w:eastAsia="Calibri" w:cs="Times New Roman"/>
          <w:szCs w:val="24"/>
        </w:rPr>
        <w:t xml:space="preserve">equiring disclosure </w:t>
      </w:r>
      <w:r w:rsidR="00E73359">
        <w:rPr>
          <w:rFonts w:eastAsia="Calibri" w:cs="Times New Roman"/>
          <w:szCs w:val="24"/>
        </w:rPr>
        <w:t>of this nature was</w:t>
      </w:r>
      <w:r w:rsidR="00E83F88" w:rsidRPr="001C5102">
        <w:rPr>
          <w:rFonts w:eastAsia="Calibri" w:cs="Times New Roman"/>
          <w:szCs w:val="24"/>
        </w:rPr>
        <w:t xml:space="preserve"> seen as an alternative policy tool to short</w:t>
      </w:r>
      <w:r w:rsidR="000C1B8A">
        <w:rPr>
          <w:rFonts w:eastAsia="Calibri" w:cs="Times New Roman"/>
          <w:szCs w:val="24"/>
        </w:rPr>
        <w:t xml:space="preserve"> </w:t>
      </w:r>
      <w:r w:rsidR="00E83F88" w:rsidRPr="001C5102">
        <w:rPr>
          <w:rFonts w:eastAsia="Calibri" w:cs="Times New Roman"/>
          <w:szCs w:val="24"/>
        </w:rPr>
        <w:t>selling bans, with the similar aim of introducing a constraint on short</w:t>
      </w:r>
      <w:r w:rsidR="000C1B8A">
        <w:rPr>
          <w:rFonts w:eastAsia="Calibri" w:cs="Times New Roman"/>
          <w:szCs w:val="24"/>
        </w:rPr>
        <w:t xml:space="preserve"> </w:t>
      </w:r>
      <w:r w:rsidR="00E83F88" w:rsidRPr="001C5102">
        <w:rPr>
          <w:rFonts w:eastAsia="Calibri" w:cs="Times New Roman"/>
          <w:szCs w:val="24"/>
        </w:rPr>
        <w:t>selling activity. Indeed, the relevant EU regulation was created primarily in response to the financial crises and the sovereign debt crisis, with the goal of promoting market stability.</w:t>
      </w:r>
      <w:r w:rsidR="00E73359">
        <w:rPr>
          <w:rStyle w:val="FootnoteReference"/>
          <w:rFonts w:eastAsia="Calibri" w:cs="Times New Roman"/>
          <w:szCs w:val="24"/>
        </w:rPr>
        <w:footnoteReference w:id="69"/>
      </w:r>
      <w:r w:rsidR="00E83F88" w:rsidRPr="001C5102">
        <w:rPr>
          <w:rFonts w:eastAsia="Calibri" w:cs="Times New Roman"/>
          <w:szCs w:val="24"/>
        </w:rPr>
        <w:t xml:space="preserve">  </w:t>
      </w:r>
    </w:p>
    <w:p w14:paraId="3158D5F8" w14:textId="77777777" w:rsidR="00DB7859" w:rsidRDefault="00DB7859" w:rsidP="00DB7859">
      <w:pPr>
        <w:spacing w:before="0" w:after="0"/>
        <w:rPr>
          <w:rFonts w:eastAsia="Calibri" w:cs="Times New Roman"/>
          <w:szCs w:val="24"/>
        </w:rPr>
      </w:pPr>
    </w:p>
    <w:p w14:paraId="743AD470" w14:textId="77777777" w:rsidR="00DB7859" w:rsidRDefault="00D5763A" w:rsidP="00DB7859">
      <w:pPr>
        <w:pStyle w:val="NormalWeb"/>
        <w:spacing w:before="0" w:after="0"/>
        <w:rPr>
          <w:rFonts w:eastAsia="Calibri"/>
          <w:lang w:val="en-CA"/>
        </w:rPr>
      </w:pPr>
      <w:r w:rsidRPr="00616161">
        <w:rPr>
          <w:rFonts w:eastAsia="Calibri"/>
          <w:lang w:val="en-CA"/>
        </w:rPr>
        <w:t>I</w:t>
      </w:r>
      <w:r w:rsidR="00973FD7" w:rsidRPr="00616161">
        <w:rPr>
          <w:rFonts w:eastAsia="Calibri"/>
          <w:lang w:val="en-CA"/>
        </w:rPr>
        <w:t xml:space="preserve">n Australia, </w:t>
      </w:r>
      <w:r w:rsidR="00BD187F" w:rsidRPr="00616161">
        <w:rPr>
          <w:rFonts w:eastAsia="Calibri"/>
          <w:lang w:val="en-CA"/>
        </w:rPr>
        <w:t xml:space="preserve">there are short selling </w:t>
      </w:r>
      <w:r w:rsidR="006200E9" w:rsidRPr="00616161">
        <w:rPr>
          <w:rFonts w:eastAsia="Calibri"/>
          <w:lang w:val="en-CA"/>
        </w:rPr>
        <w:t>reporting requirements for both transactions</w:t>
      </w:r>
      <w:r w:rsidR="00E375EA" w:rsidRPr="00616161">
        <w:rPr>
          <w:rStyle w:val="FootnoteReference"/>
          <w:rFonts w:eastAsia="Calibri"/>
          <w:lang w:val="en-CA"/>
        </w:rPr>
        <w:footnoteReference w:id="70"/>
      </w:r>
      <w:r w:rsidR="006200E9" w:rsidRPr="00616161">
        <w:rPr>
          <w:rFonts w:eastAsia="Calibri"/>
          <w:lang w:val="en-CA"/>
        </w:rPr>
        <w:t xml:space="preserve"> and positions</w:t>
      </w:r>
      <w:r w:rsidR="000D3D81" w:rsidRPr="00616161">
        <w:rPr>
          <w:rFonts w:eastAsia="Calibri"/>
          <w:lang w:val="en-CA"/>
        </w:rPr>
        <w:t xml:space="preserve"> above a certain threshold</w:t>
      </w:r>
      <w:r w:rsidR="00991123" w:rsidRPr="00616161">
        <w:rPr>
          <w:rFonts w:eastAsia="Calibri"/>
          <w:lang w:val="en-CA"/>
        </w:rPr>
        <w:t>.</w:t>
      </w:r>
      <w:r w:rsidR="002360DB" w:rsidRPr="00616161">
        <w:rPr>
          <w:rStyle w:val="FootnoteReference"/>
          <w:rFonts w:eastAsia="Calibri"/>
          <w:lang w:val="en-CA"/>
        </w:rPr>
        <w:footnoteReference w:id="71"/>
      </w:r>
      <w:r w:rsidR="006200E9" w:rsidRPr="00616161">
        <w:rPr>
          <w:rFonts w:eastAsia="Calibri"/>
          <w:lang w:val="en-CA"/>
        </w:rPr>
        <w:t xml:space="preserve">  </w:t>
      </w:r>
      <w:r w:rsidR="00824AB6" w:rsidRPr="00616161">
        <w:rPr>
          <w:rFonts w:eastAsia="Calibri"/>
          <w:lang w:val="en-CA"/>
        </w:rPr>
        <w:t>Based on th</w:t>
      </w:r>
      <w:r w:rsidR="00C4792A" w:rsidRPr="00616161">
        <w:rPr>
          <w:rFonts w:eastAsia="Calibri"/>
          <w:lang w:val="en-CA"/>
        </w:rPr>
        <w:t>is information</w:t>
      </w:r>
      <w:r w:rsidR="00824AB6" w:rsidRPr="00616161">
        <w:rPr>
          <w:rFonts w:eastAsia="Calibri"/>
          <w:lang w:val="en-CA"/>
        </w:rPr>
        <w:t>, t</w:t>
      </w:r>
      <w:r w:rsidRPr="00616161">
        <w:rPr>
          <w:rFonts w:eastAsia="Calibri"/>
          <w:lang w:val="en-CA"/>
        </w:rPr>
        <w:t>he total of short positions for financial products on a given reporting day will be published on the</w:t>
      </w:r>
      <w:r w:rsidR="00C66A40" w:rsidRPr="00616161">
        <w:rPr>
          <w:rFonts w:eastAsia="Calibri"/>
          <w:lang w:val="en-CA"/>
        </w:rPr>
        <w:t xml:space="preserve"> Australian Securities and Investments Commission’s website, and the</w:t>
      </w:r>
      <w:r w:rsidRPr="00616161">
        <w:rPr>
          <w:rFonts w:eastAsia="Calibri"/>
          <w:lang w:val="en-CA"/>
        </w:rPr>
        <w:t xml:space="preserve"> Australian Securities </w:t>
      </w:r>
      <w:r w:rsidR="001C2860" w:rsidRPr="00616161">
        <w:rPr>
          <w:rFonts w:eastAsia="Calibri"/>
          <w:lang w:val="en-CA"/>
        </w:rPr>
        <w:t>Exchange</w:t>
      </w:r>
      <w:r w:rsidR="00066C9A" w:rsidRPr="00616161">
        <w:rPr>
          <w:rFonts w:eastAsia="Calibri"/>
          <w:lang w:val="en-CA"/>
        </w:rPr>
        <w:t xml:space="preserve"> website</w:t>
      </w:r>
      <w:r w:rsidR="00C66A40" w:rsidRPr="00616161">
        <w:rPr>
          <w:rFonts w:eastAsia="Calibri"/>
          <w:lang w:val="en-CA"/>
        </w:rPr>
        <w:t xml:space="preserve"> will publish the transaction reports</w:t>
      </w:r>
      <w:r w:rsidRPr="00616161">
        <w:rPr>
          <w:rFonts w:eastAsia="Calibri"/>
          <w:lang w:val="en-CA"/>
        </w:rPr>
        <w:t xml:space="preserve">. </w:t>
      </w:r>
      <w:r w:rsidR="00E30416">
        <w:rPr>
          <w:rFonts w:eastAsia="Calibri"/>
          <w:lang w:val="en-CA"/>
        </w:rPr>
        <w:t xml:space="preserve"> </w:t>
      </w:r>
      <w:r w:rsidRPr="00616161">
        <w:rPr>
          <w:rFonts w:eastAsia="Calibri"/>
          <w:lang w:val="en-CA"/>
        </w:rPr>
        <w:t>These reports will not contain short seller details</w:t>
      </w:r>
      <w:r w:rsidR="002A5BA0" w:rsidRPr="00616161">
        <w:rPr>
          <w:rFonts w:eastAsia="Calibri"/>
          <w:lang w:val="en-CA"/>
        </w:rPr>
        <w:t xml:space="preserve"> bu</w:t>
      </w:r>
      <w:r w:rsidR="00824AB6" w:rsidRPr="00616161">
        <w:rPr>
          <w:rFonts w:eastAsia="Calibri"/>
          <w:lang w:val="en-CA"/>
        </w:rPr>
        <w:t xml:space="preserve">t will provide an indication of the proportion of trades in a particular security that are short sales and the </w:t>
      </w:r>
      <w:r w:rsidR="00BC4749" w:rsidRPr="00616161">
        <w:rPr>
          <w:rFonts w:eastAsia="Calibri"/>
          <w:lang w:val="en-CA"/>
        </w:rPr>
        <w:t>aggregate</w:t>
      </w:r>
      <w:r w:rsidR="00BA0B3A" w:rsidRPr="00616161">
        <w:rPr>
          <w:rFonts w:eastAsia="Calibri"/>
          <w:lang w:val="en-CA"/>
        </w:rPr>
        <w:t xml:space="preserve"> level of short </w:t>
      </w:r>
      <w:r w:rsidR="00BC4749" w:rsidRPr="00616161">
        <w:rPr>
          <w:rFonts w:eastAsia="Calibri"/>
          <w:lang w:val="en-CA"/>
        </w:rPr>
        <w:t>positions for each security</w:t>
      </w:r>
      <w:r w:rsidR="00BA0B3A" w:rsidRPr="00616161">
        <w:rPr>
          <w:rFonts w:eastAsia="Calibri"/>
          <w:lang w:val="en-CA"/>
        </w:rPr>
        <w:t>.</w:t>
      </w:r>
      <w:r w:rsidR="007F2AD2" w:rsidRPr="00616161">
        <w:rPr>
          <w:rStyle w:val="FootnoteReference"/>
          <w:rFonts w:eastAsia="Calibri"/>
          <w:lang w:val="en-CA"/>
        </w:rPr>
        <w:footnoteReference w:id="72"/>
      </w:r>
      <w:r w:rsidR="002541A1" w:rsidRPr="00616161">
        <w:rPr>
          <w:rFonts w:eastAsia="Calibri"/>
          <w:lang w:val="en-CA"/>
        </w:rPr>
        <w:t xml:space="preserve"> </w:t>
      </w:r>
    </w:p>
    <w:p w14:paraId="6478CB36" w14:textId="1EEFE542" w:rsidR="00CA149B" w:rsidRPr="001557CA" w:rsidRDefault="002541A1" w:rsidP="00DB7859">
      <w:pPr>
        <w:pStyle w:val="NormalWeb"/>
        <w:spacing w:before="0" w:after="0"/>
        <w:rPr>
          <w:lang w:val="en-CA"/>
        </w:rPr>
      </w:pPr>
      <w:r w:rsidRPr="00616161">
        <w:rPr>
          <w:rFonts w:eastAsia="Calibri"/>
          <w:lang w:val="en-CA"/>
        </w:rPr>
        <w:t xml:space="preserve"> </w:t>
      </w:r>
    </w:p>
    <w:p w14:paraId="0918CB95" w14:textId="7AD6C1E8" w:rsidR="0016329E" w:rsidRDefault="00CA149B" w:rsidP="00DB7859">
      <w:pPr>
        <w:pStyle w:val="SUB-SECTION"/>
        <w:spacing w:before="0" w:after="0"/>
        <w:jc w:val="left"/>
      </w:pPr>
      <w:bookmarkStart w:id="10" w:name="_Ref35271582"/>
      <w:r>
        <w:t>Analysis and Consultation Questions</w:t>
      </w:r>
      <w:bookmarkEnd w:id="10"/>
    </w:p>
    <w:p w14:paraId="1BD9D160" w14:textId="77777777" w:rsidR="00BC37D8" w:rsidRPr="008F7635" w:rsidRDefault="00BC37D8" w:rsidP="00BC37D8">
      <w:pPr>
        <w:pStyle w:val="SUB-SECTION"/>
        <w:numPr>
          <w:ilvl w:val="0"/>
          <w:numId w:val="0"/>
        </w:numPr>
        <w:spacing w:before="0" w:after="0"/>
        <w:ind w:left="1440"/>
        <w:jc w:val="left"/>
      </w:pPr>
    </w:p>
    <w:p w14:paraId="1746DB5D" w14:textId="77777777" w:rsidR="00305D10" w:rsidRPr="00305D10" w:rsidRDefault="00305D10" w:rsidP="00DB7859">
      <w:pPr>
        <w:spacing w:before="0" w:after="0"/>
        <w:rPr>
          <w:rFonts w:eastAsia="Calibri" w:cs="Times New Roman"/>
          <w:szCs w:val="24"/>
        </w:rPr>
      </w:pPr>
      <w:r w:rsidRPr="00305D10">
        <w:rPr>
          <w:rFonts w:eastAsia="Calibri" w:cs="Times New Roman"/>
          <w:szCs w:val="24"/>
        </w:rPr>
        <w:t>Concerns have been raised that Canadian</w:t>
      </w:r>
      <w:r w:rsidR="00DD6944">
        <w:rPr>
          <w:rFonts w:eastAsia="Calibri" w:cs="Times New Roman"/>
          <w:szCs w:val="24"/>
        </w:rPr>
        <w:t xml:space="preserve"> issuers</w:t>
      </w:r>
      <w:r w:rsidRPr="00305D10">
        <w:rPr>
          <w:rFonts w:eastAsia="Calibri" w:cs="Times New Roman"/>
          <w:szCs w:val="24"/>
        </w:rPr>
        <w:t xml:space="preserve"> are vulnerable to abusive short selling based on the perception that the Canadian regulatory framework for short selling is</w:t>
      </w:r>
      <w:r w:rsidR="00C45258">
        <w:rPr>
          <w:rFonts w:eastAsia="Calibri" w:cs="Times New Roman"/>
          <w:szCs w:val="24"/>
        </w:rPr>
        <w:t xml:space="preserve"> </w:t>
      </w:r>
      <w:r w:rsidR="0068105F">
        <w:rPr>
          <w:rFonts w:eastAsia="Calibri" w:cs="Times New Roman"/>
          <w:szCs w:val="24"/>
        </w:rPr>
        <w:t>“</w:t>
      </w:r>
      <w:r w:rsidR="00C45258">
        <w:rPr>
          <w:rFonts w:eastAsia="Calibri" w:cs="Times New Roman"/>
          <w:szCs w:val="24"/>
        </w:rPr>
        <w:t>permissive and</w:t>
      </w:r>
      <w:r w:rsidRPr="00305D10">
        <w:rPr>
          <w:rFonts w:eastAsia="Calibri" w:cs="Times New Roman"/>
          <w:szCs w:val="24"/>
        </w:rPr>
        <w:t xml:space="preserve"> lax.</w:t>
      </w:r>
      <w:r w:rsidR="0068105F">
        <w:rPr>
          <w:rFonts w:eastAsia="Calibri" w:cs="Times New Roman"/>
          <w:szCs w:val="24"/>
        </w:rPr>
        <w:t>”</w:t>
      </w:r>
      <w:r w:rsidRPr="00305D10">
        <w:rPr>
          <w:rFonts w:eastAsia="Calibri" w:cs="Times New Roman"/>
          <w:szCs w:val="24"/>
          <w:vertAlign w:val="superscript"/>
        </w:rPr>
        <w:footnoteReference w:id="73"/>
      </w:r>
      <w:r w:rsidRPr="00305D10">
        <w:rPr>
          <w:rFonts w:eastAsia="Calibri" w:cs="Times New Roman"/>
          <w:szCs w:val="24"/>
        </w:rPr>
        <w:t xml:space="preserve">  We note</w:t>
      </w:r>
      <w:r w:rsidR="0045690F">
        <w:rPr>
          <w:rFonts w:eastAsia="Calibri" w:cs="Times New Roman"/>
          <w:szCs w:val="24"/>
        </w:rPr>
        <w:t xml:space="preserve"> that</w:t>
      </w:r>
      <w:r w:rsidRPr="00305D10">
        <w:rPr>
          <w:rFonts w:eastAsia="Calibri" w:cs="Times New Roman"/>
          <w:szCs w:val="24"/>
        </w:rPr>
        <w:t xml:space="preserve"> while the regulatory framework in Canada differs in some ways from other jurisdictions, it is consistent with the four IOSCO principles for the effective regulation of short selling</w:t>
      </w:r>
      <w:r w:rsidR="00C66A40">
        <w:rPr>
          <w:rFonts w:eastAsia="Calibri" w:cs="Times New Roman"/>
          <w:szCs w:val="24"/>
        </w:rPr>
        <w:t>.</w:t>
      </w:r>
      <w:r w:rsidR="00C66A40" w:rsidRPr="00305D10">
        <w:rPr>
          <w:rFonts w:eastAsia="Calibri" w:cs="Times New Roman"/>
          <w:szCs w:val="24"/>
          <w:vertAlign w:val="superscript"/>
        </w:rPr>
        <w:footnoteReference w:id="74"/>
      </w:r>
      <w:r w:rsidR="00C66A40" w:rsidRPr="00305D10">
        <w:rPr>
          <w:rFonts w:eastAsia="Calibri" w:cs="Times New Roman"/>
          <w:szCs w:val="24"/>
        </w:rPr>
        <w:t xml:space="preserve"> </w:t>
      </w:r>
      <w:r w:rsidR="001E7747">
        <w:rPr>
          <w:rFonts w:eastAsia="Calibri" w:cs="Times New Roman"/>
          <w:szCs w:val="24"/>
        </w:rPr>
        <w:t xml:space="preserve"> </w:t>
      </w:r>
    </w:p>
    <w:p w14:paraId="145A3629" w14:textId="1F03F4EC" w:rsidR="00305D10" w:rsidRDefault="00EE3C76" w:rsidP="00317BC5">
      <w:pPr>
        <w:spacing w:before="0" w:after="0"/>
        <w:rPr>
          <w:rFonts w:eastAsia="Calibri" w:cs="Times New Roman"/>
          <w:szCs w:val="24"/>
        </w:rPr>
      </w:pPr>
      <w:r>
        <w:rPr>
          <w:rFonts w:eastAsia="Calibri" w:cs="Times New Roman"/>
          <w:szCs w:val="24"/>
        </w:rPr>
        <w:lastRenderedPageBreak/>
        <w:t>Over the years, IIROC has reviewed t</w:t>
      </w:r>
      <w:r w:rsidR="00305D10" w:rsidRPr="00305D10">
        <w:rPr>
          <w:rFonts w:eastAsia="Calibri" w:cs="Times New Roman"/>
          <w:szCs w:val="24"/>
        </w:rPr>
        <w:t>he regulatory regime governing short sales</w:t>
      </w:r>
      <w:r w:rsidR="00FA57CC">
        <w:rPr>
          <w:rFonts w:eastAsia="Calibri" w:cs="Times New Roman"/>
          <w:szCs w:val="24"/>
        </w:rPr>
        <w:t xml:space="preserve"> </w:t>
      </w:r>
      <w:r w:rsidR="00305D10" w:rsidRPr="00305D10">
        <w:rPr>
          <w:rFonts w:eastAsia="Calibri" w:cs="Times New Roman"/>
          <w:szCs w:val="24"/>
        </w:rPr>
        <w:t>to determine whether it continues to be appropriate. In 2012, a number of amendments to UMIR regarding short sales and failed trades were approved by the CSA and implemented.</w:t>
      </w:r>
      <w:r w:rsidR="00305D10" w:rsidRPr="00305D10">
        <w:rPr>
          <w:rFonts w:eastAsia="Calibri" w:cs="Times New Roman"/>
          <w:szCs w:val="24"/>
          <w:vertAlign w:val="superscript"/>
        </w:rPr>
        <w:footnoteReference w:id="75"/>
      </w:r>
      <w:r w:rsidR="00305D10" w:rsidRPr="00305D10">
        <w:rPr>
          <w:rFonts w:eastAsia="Calibri" w:cs="Times New Roman"/>
          <w:szCs w:val="24"/>
        </w:rPr>
        <w:t xml:space="preserve"> These amendments included:</w:t>
      </w:r>
    </w:p>
    <w:p w14:paraId="75D7C5EB" w14:textId="77777777" w:rsidR="00317BC5" w:rsidRPr="00305D10" w:rsidRDefault="00317BC5" w:rsidP="00317BC5">
      <w:pPr>
        <w:spacing w:before="0" w:after="0"/>
        <w:rPr>
          <w:rFonts w:eastAsia="Calibri" w:cs="Times New Roman"/>
          <w:szCs w:val="24"/>
        </w:rPr>
      </w:pPr>
    </w:p>
    <w:p w14:paraId="63DC7F49" w14:textId="77777777" w:rsidR="00305D10" w:rsidRPr="00305D10" w:rsidRDefault="00305D10" w:rsidP="00317BC5">
      <w:pPr>
        <w:pStyle w:val="ListParagraph"/>
        <w:numPr>
          <w:ilvl w:val="0"/>
          <w:numId w:val="12"/>
        </w:numPr>
        <w:spacing w:before="0" w:after="0"/>
        <w:ind w:left="720"/>
        <w:rPr>
          <w:rFonts w:eastAsia="Calibri" w:cs="Times New Roman"/>
          <w:szCs w:val="24"/>
        </w:rPr>
      </w:pPr>
      <w:r w:rsidRPr="00305D10">
        <w:rPr>
          <w:rFonts w:eastAsia="Calibri" w:cs="Times New Roman"/>
          <w:szCs w:val="24"/>
        </w:rPr>
        <w:t>repealing the “tick test”;</w:t>
      </w:r>
      <w:r w:rsidRPr="00305D10">
        <w:rPr>
          <w:rFonts w:eastAsia="Calibri" w:cs="Times New Roman"/>
          <w:szCs w:val="24"/>
          <w:vertAlign w:val="superscript"/>
        </w:rPr>
        <w:footnoteReference w:id="76"/>
      </w:r>
    </w:p>
    <w:p w14:paraId="1D0BFCCC" w14:textId="77777777" w:rsidR="00305D10" w:rsidRPr="00305D10" w:rsidRDefault="00305D10" w:rsidP="00317BC5">
      <w:pPr>
        <w:pStyle w:val="ListParagraph"/>
        <w:numPr>
          <w:ilvl w:val="0"/>
          <w:numId w:val="12"/>
        </w:numPr>
        <w:spacing w:before="0" w:after="0"/>
        <w:ind w:left="720"/>
        <w:rPr>
          <w:rFonts w:eastAsia="Calibri" w:cs="Times New Roman"/>
          <w:szCs w:val="24"/>
        </w:rPr>
      </w:pPr>
      <w:r w:rsidRPr="00305D10">
        <w:rPr>
          <w:rFonts w:eastAsia="Calibri" w:cs="Times New Roman"/>
          <w:szCs w:val="24"/>
        </w:rPr>
        <w:t>imposition of pre-borrow requirements for short sales made in certain circumstances; and</w:t>
      </w:r>
    </w:p>
    <w:p w14:paraId="6FEDD973" w14:textId="307C6B6B" w:rsidR="00B377AC" w:rsidRDefault="00305D10" w:rsidP="00317BC5">
      <w:pPr>
        <w:pStyle w:val="ListParagraph"/>
        <w:numPr>
          <w:ilvl w:val="0"/>
          <w:numId w:val="12"/>
        </w:numPr>
        <w:spacing w:before="0" w:after="0"/>
        <w:ind w:left="720"/>
        <w:rPr>
          <w:rFonts w:eastAsia="Calibri" w:cs="Times New Roman"/>
          <w:szCs w:val="24"/>
        </w:rPr>
      </w:pPr>
      <w:r w:rsidRPr="00305D10">
        <w:rPr>
          <w:rFonts w:eastAsia="Calibri" w:cs="Times New Roman"/>
          <w:szCs w:val="24"/>
        </w:rPr>
        <w:t>introduction of the “short-marking exempt” designation.</w:t>
      </w:r>
      <w:r w:rsidR="0095039D">
        <w:rPr>
          <w:rStyle w:val="FootnoteReference"/>
          <w:rFonts w:eastAsia="Calibri" w:cs="Times New Roman"/>
          <w:szCs w:val="24"/>
        </w:rPr>
        <w:footnoteReference w:id="77"/>
      </w:r>
    </w:p>
    <w:p w14:paraId="3031ADB5" w14:textId="77777777" w:rsidR="00317BC5" w:rsidRDefault="00317BC5" w:rsidP="00317BC5">
      <w:pPr>
        <w:pStyle w:val="ListParagraph"/>
        <w:spacing w:before="0" w:after="0"/>
        <w:rPr>
          <w:rFonts w:eastAsia="Calibri" w:cs="Times New Roman"/>
          <w:szCs w:val="24"/>
        </w:rPr>
      </w:pPr>
    </w:p>
    <w:p w14:paraId="12BC0B97" w14:textId="2730A7AA" w:rsidR="00455388" w:rsidRDefault="00455388" w:rsidP="00317BC5">
      <w:pPr>
        <w:spacing w:before="0" w:after="0"/>
        <w:rPr>
          <w:rFonts w:eastAsia="Calibri" w:cs="Times New Roman"/>
          <w:szCs w:val="24"/>
        </w:rPr>
      </w:pPr>
      <w:r>
        <w:rPr>
          <w:rFonts w:eastAsia="Calibri" w:cs="Times New Roman"/>
          <w:szCs w:val="24"/>
        </w:rPr>
        <w:t>The</w:t>
      </w:r>
      <w:r w:rsidR="00DB6CFB">
        <w:rPr>
          <w:rFonts w:eastAsia="Calibri" w:cs="Times New Roman"/>
          <w:szCs w:val="24"/>
        </w:rPr>
        <w:t xml:space="preserve"> </w:t>
      </w:r>
      <w:r>
        <w:rPr>
          <w:rFonts w:eastAsia="Calibri" w:cs="Times New Roman"/>
          <w:szCs w:val="24"/>
        </w:rPr>
        <w:t>amendments were</w:t>
      </w:r>
      <w:r w:rsidR="00456756">
        <w:rPr>
          <w:rFonts w:eastAsia="Calibri" w:cs="Times New Roman"/>
          <w:szCs w:val="24"/>
        </w:rPr>
        <w:t xml:space="preserve"> part of an overall strategy </w:t>
      </w:r>
      <w:r w:rsidR="00C235F7">
        <w:rPr>
          <w:rFonts w:eastAsia="Calibri" w:cs="Times New Roman"/>
          <w:szCs w:val="24"/>
        </w:rPr>
        <w:t xml:space="preserve">on regulation of </w:t>
      </w:r>
      <w:r w:rsidR="00E91BDD">
        <w:rPr>
          <w:rFonts w:eastAsia="Calibri" w:cs="Times New Roman"/>
          <w:szCs w:val="24"/>
        </w:rPr>
        <w:t xml:space="preserve">short sales and </w:t>
      </w:r>
      <w:r w:rsidR="00A16770">
        <w:rPr>
          <w:rFonts w:eastAsia="Calibri" w:cs="Times New Roman"/>
          <w:szCs w:val="24"/>
        </w:rPr>
        <w:t xml:space="preserve">failed </w:t>
      </w:r>
      <w:r w:rsidR="00E91BDD">
        <w:rPr>
          <w:rFonts w:eastAsia="Calibri" w:cs="Times New Roman"/>
          <w:szCs w:val="24"/>
        </w:rPr>
        <w:t>trades</w:t>
      </w:r>
      <w:r w:rsidR="00DC60CB">
        <w:rPr>
          <w:rFonts w:eastAsia="Calibri" w:cs="Times New Roman"/>
          <w:szCs w:val="24"/>
        </w:rPr>
        <w:t xml:space="preserve"> that included </w:t>
      </w:r>
      <w:r w:rsidRPr="00455388">
        <w:rPr>
          <w:rFonts w:eastAsia="Calibri" w:cs="Times New Roman"/>
          <w:szCs w:val="24"/>
        </w:rPr>
        <w:t>increas</w:t>
      </w:r>
      <w:r w:rsidR="00DC60CB">
        <w:rPr>
          <w:rFonts w:eastAsia="Calibri" w:cs="Times New Roman"/>
          <w:szCs w:val="24"/>
        </w:rPr>
        <w:t>ing</w:t>
      </w:r>
      <w:r w:rsidRPr="00455388">
        <w:rPr>
          <w:rFonts w:eastAsia="Calibri" w:cs="Times New Roman"/>
          <w:szCs w:val="24"/>
        </w:rPr>
        <w:t xml:space="preserve"> transparency </w:t>
      </w:r>
      <w:r w:rsidR="00DB6CFB">
        <w:rPr>
          <w:rFonts w:eastAsia="Calibri" w:cs="Times New Roman"/>
          <w:szCs w:val="24"/>
        </w:rPr>
        <w:t xml:space="preserve">around </w:t>
      </w:r>
      <w:r w:rsidRPr="00455388">
        <w:rPr>
          <w:rFonts w:eastAsia="Calibri" w:cs="Times New Roman"/>
          <w:szCs w:val="24"/>
        </w:rPr>
        <w:t>information regarding short sale activity and failed trades</w:t>
      </w:r>
      <w:r w:rsidR="0005725E">
        <w:rPr>
          <w:rFonts w:eastAsia="Calibri" w:cs="Times New Roman"/>
          <w:szCs w:val="24"/>
        </w:rPr>
        <w:t xml:space="preserve">, </w:t>
      </w:r>
      <w:r w:rsidRPr="00455388">
        <w:rPr>
          <w:rFonts w:eastAsia="Calibri" w:cs="Times New Roman"/>
          <w:szCs w:val="24"/>
        </w:rPr>
        <w:t>monitor</w:t>
      </w:r>
      <w:r w:rsidR="00BD0405">
        <w:rPr>
          <w:rFonts w:eastAsia="Calibri" w:cs="Times New Roman"/>
          <w:szCs w:val="24"/>
        </w:rPr>
        <w:t>ing</w:t>
      </w:r>
      <w:r w:rsidRPr="00455388">
        <w:rPr>
          <w:rFonts w:eastAsia="Calibri" w:cs="Times New Roman"/>
          <w:szCs w:val="24"/>
        </w:rPr>
        <w:t xml:space="preserve"> regulatory arbitrage opportunities related to short sales</w:t>
      </w:r>
      <w:r w:rsidR="0005725E">
        <w:rPr>
          <w:rFonts w:eastAsia="Calibri" w:cs="Times New Roman"/>
          <w:szCs w:val="24"/>
        </w:rPr>
        <w:t xml:space="preserve"> and </w:t>
      </w:r>
      <w:r w:rsidR="00AB3F41">
        <w:rPr>
          <w:rFonts w:eastAsia="Calibri" w:cs="Times New Roman"/>
          <w:szCs w:val="24"/>
        </w:rPr>
        <w:t>enhanc</w:t>
      </w:r>
      <w:r w:rsidR="00BD0405">
        <w:rPr>
          <w:rFonts w:eastAsia="Calibri" w:cs="Times New Roman"/>
          <w:szCs w:val="24"/>
        </w:rPr>
        <w:t>ing</w:t>
      </w:r>
      <w:r w:rsidR="00AB3F41">
        <w:rPr>
          <w:rFonts w:eastAsia="Calibri" w:cs="Times New Roman"/>
          <w:szCs w:val="24"/>
        </w:rPr>
        <w:t xml:space="preserve"> monitoring of short sales and failed trades.  It was also at this time that the pre-borrow requirements for </w:t>
      </w:r>
      <w:r w:rsidR="002D51C5">
        <w:rPr>
          <w:rFonts w:eastAsia="Calibri" w:cs="Times New Roman"/>
          <w:szCs w:val="24"/>
        </w:rPr>
        <w:t xml:space="preserve">short sales in </w:t>
      </w:r>
      <w:r w:rsidR="00AB3F41">
        <w:rPr>
          <w:rFonts w:eastAsia="Calibri" w:cs="Times New Roman"/>
          <w:szCs w:val="24"/>
        </w:rPr>
        <w:t>certain circumstances</w:t>
      </w:r>
      <w:r w:rsidR="002D51C5">
        <w:rPr>
          <w:rFonts w:eastAsia="Calibri" w:cs="Times New Roman"/>
          <w:szCs w:val="24"/>
        </w:rPr>
        <w:t xml:space="preserve"> were introduced as another mechanism </w:t>
      </w:r>
      <w:r w:rsidR="000121A4">
        <w:rPr>
          <w:rFonts w:eastAsia="Calibri" w:cs="Times New Roman"/>
          <w:szCs w:val="24"/>
        </w:rPr>
        <w:t>to monitor and address potentially problematic short s</w:t>
      </w:r>
      <w:r w:rsidR="00DB6CFB">
        <w:rPr>
          <w:rFonts w:eastAsia="Calibri" w:cs="Times New Roman"/>
          <w:szCs w:val="24"/>
        </w:rPr>
        <w:t>elling</w:t>
      </w:r>
      <w:r w:rsidR="000121A4">
        <w:rPr>
          <w:rFonts w:eastAsia="Calibri" w:cs="Times New Roman"/>
          <w:szCs w:val="24"/>
        </w:rPr>
        <w:t>.</w:t>
      </w:r>
    </w:p>
    <w:p w14:paraId="109CEBB8" w14:textId="77777777" w:rsidR="00317BC5" w:rsidRDefault="00317BC5" w:rsidP="00317BC5">
      <w:pPr>
        <w:spacing w:before="0" w:after="0"/>
        <w:rPr>
          <w:rFonts w:eastAsia="Calibri" w:cs="Times New Roman"/>
          <w:szCs w:val="24"/>
        </w:rPr>
      </w:pPr>
    </w:p>
    <w:p w14:paraId="5315483E" w14:textId="77777777" w:rsidR="00305D10" w:rsidRPr="00B377AC" w:rsidRDefault="003F4942" w:rsidP="00317BC5">
      <w:pPr>
        <w:spacing w:before="0" w:after="0"/>
        <w:rPr>
          <w:rFonts w:eastAsia="Calibri" w:cs="Times New Roman"/>
        </w:rPr>
      </w:pPr>
      <w:r w:rsidRPr="2E96ABE4">
        <w:rPr>
          <w:rFonts w:eastAsia="Calibri" w:cs="Times New Roman"/>
        </w:rPr>
        <w:t>Also at the time of these amendments</w:t>
      </w:r>
      <w:r w:rsidR="00305D10" w:rsidRPr="2E96ABE4">
        <w:rPr>
          <w:rFonts w:eastAsia="Calibri" w:cs="Times New Roman"/>
        </w:rPr>
        <w:t>, the CSA and IIROC published a request for comment to solicit feedback on aspects of disclosure and transparency measures regarding short sales and failed trades.</w:t>
      </w:r>
      <w:r w:rsidR="00305D10" w:rsidRPr="00305D10">
        <w:rPr>
          <w:vertAlign w:val="superscript"/>
        </w:rPr>
        <w:footnoteReference w:id="78"/>
      </w:r>
      <w:r w:rsidR="00305D10" w:rsidRPr="2E96ABE4">
        <w:rPr>
          <w:rFonts w:eastAsia="Calibri" w:cs="Times New Roman"/>
        </w:rPr>
        <w:t xml:space="preserve"> </w:t>
      </w:r>
      <w:r w:rsidR="00E30416" w:rsidRPr="2E96ABE4">
        <w:rPr>
          <w:rFonts w:eastAsia="Calibri" w:cs="Times New Roman"/>
        </w:rPr>
        <w:t xml:space="preserve"> </w:t>
      </w:r>
      <w:r w:rsidR="0003706E" w:rsidRPr="2E96ABE4">
        <w:rPr>
          <w:rFonts w:eastAsia="Calibri" w:cs="Times New Roman"/>
        </w:rPr>
        <w:t xml:space="preserve">After consideration of </w:t>
      </w:r>
      <w:r w:rsidR="00305D10" w:rsidRPr="2E96ABE4">
        <w:rPr>
          <w:rFonts w:eastAsia="Calibri" w:cs="Times New Roman"/>
        </w:rPr>
        <w:t>comments received</w:t>
      </w:r>
      <w:r w:rsidR="0003706E" w:rsidRPr="2E96ABE4">
        <w:rPr>
          <w:rFonts w:eastAsia="Calibri" w:cs="Times New Roman"/>
        </w:rPr>
        <w:t xml:space="preserve"> and of the </w:t>
      </w:r>
      <w:r w:rsidR="00305D10" w:rsidRPr="2E96ABE4">
        <w:rPr>
          <w:rFonts w:eastAsia="Calibri" w:cs="Times New Roman"/>
        </w:rPr>
        <w:t>data on short sales and failed trades,</w:t>
      </w:r>
      <w:r w:rsidR="00305D10" w:rsidRPr="00305D10">
        <w:rPr>
          <w:vertAlign w:val="superscript"/>
        </w:rPr>
        <w:footnoteReference w:id="79"/>
      </w:r>
      <w:r w:rsidR="00305D10" w:rsidRPr="2E96ABE4">
        <w:rPr>
          <w:rFonts w:eastAsia="Calibri" w:cs="Times New Roman"/>
        </w:rPr>
        <w:t xml:space="preserve"> </w:t>
      </w:r>
      <w:r w:rsidR="0003706E" w:rsidRPr="2E96ABE4">
        <w:rPr>
          <w:rFonts w:eastAsia="Calibri" w:cs="Times New Roman"/>
        </w:rPr>
        <w:t>it was</w:t>
      </w:r>
      <w:r w:rsidR="00C20D3A" w:rsidRPr="2E96ABE4">
        <w:rPr>
          <w:rFonts w:eastAsia="Calibri" w:cs="Times New Roman"/>
        </w:rPr>
        <w:t xml:space="preserve"> determined </w:t>
      </w:r>
      <w:r w:rsidR="0003706E" w:rsidRPr="2E96ABE4">
        <w:rPr>
          <w:rFonts w:eastAsia="Calibri" w:cs="Times New Roman"/>
        </w:rPr>
        <w:t>that</w:t>
      </w:r>
      <w:r w:rsidR="00305D10" w:rsidRPr="2E96ABE4">
        <w:rPr>
          <w:rFonts w:eastAsia="Calibri" w:cs="Times New Roman"/>
        </w:rPr>
        <w:t xml:space="preserve"> no additional regulatory requirements were needed at that time.</w:t>
      </w:r>
      <w:r w:rsidR="00305D10" w:rsidRPr="00305D10">
        <w:rPr>
          <w:vertAlign w:val="superscript"/>
        </w:rPr>
        <w:footnoteReference w:id="80"/>
      </w:r>
      <w:r w:rsidR="00305D10" w:rsidRPr="2E96ABE4">
        <w:rPr>
          <w:rFonts w:eastAsia="Calibri" w:cs="Times New Roman"/>
        </w:rPr>
        <w:t xml:space="preserve"> </w:t>
      </w:r>
      <w:r w:rsidR="00BC6525" w:rsidRPr="2E96ABE4">
        <w:rPr>
          <w:rFonts w:eastAsia="Calibri" w:cs="Times New Roman"/>
        </w:rPr>
        <w:t xml:space="preserve">It is important to note that </w:t>
      </w:r>
      <w:r w:rsidR="0003706E" w:rsidRPr="2E96ABE4">
        <w:rPr>
          <w:rFonts w:eastAsia="Calibri" w:cs="Times New Roman"/>
        </w:rPr>
        <w:t>failed trades</w:t>
      </w:r>
      <w:r w:rsidR="00BC6525" w:rsidRPr="2E96ABE4">
        <w:rPr>
          <w:rFonts w:eastAsia="Calibri" w:cs="Times New Roman"/>
        </w:rPr>
        <w:t xml:space="preserve"> occur in both long and short sales for a variety of reasons.  Failed trades are not always evidence of abusive or naked short selling. </w:t>
      </w:r>
      <w:r w:rsidR="006A7A62" w:rsidRPr="2E96ABE4">
        <w:rPr>
          <w:rFonts w:eastAsia="Calibri" w:cs="Times New Roman"/>
        </w:rPr>
        <w:t xml:space="preserve"> </w:t>
      </w:r>
      <w:r w:rsidR="00BC6525" w:rsidRPr="2E96ABE4">
        <w:rPr>
          <w:rFonts w:eastAsia="Calibri" w:cs="Times New Roman"/>
        </w:rPr>
        <w:t xml:space="preserve">There are </w:t>
      </w:r>
      <w:r w:rsidR="00E4387C" w:rsidRPr="2E96ABE4">
        <w:rPr>
          <w:rFonts w:eastAsia="Calibri" w:cs="Times New Roman"/>
        </w:rPr>
        <w:t xml:space="preserve">many </w:t>
      </w:r>
      <w:r w:rsidR="008A20A1" w:rsidRPr="2E96ABE4">
        <w:rPr>
          <w:rFonts w:eastAsia="Calibri" w:cs="Times New Roman"/>
        </w:rPr>
        <w:t>justifiable</w:t>
      </w:r>
      <w:r w:rsidR="00BC6525" w:rsidRPr="2E96ABE4">
        <w:rPr>
          <w:rFonts w:eastAsia="Calibri" w:cs="Times New Roman"/>
        </w:rPr>
        <w:t xml:space="preserve"> reasons why a trade fail</w:t>
      </w:r>
      <w:r w:rsidR="00FF6CCB" w:rsidRPr="2E96ABE4">
        <w:rPr>
          <w:rFonts w:eastAsia="Calibri" w:cs="Times New Roman"/>
        </w:rPr>
        <w:t>s</w:t>
      </w:r>
      <w:r w:rsidR="005D193E" w:rsidRPr="2E96ABE4">
        <w:rPr>
          <w:rFonts w:eastAsia="Calibri" w:cs="Times New Roman"/>
        </w:rPr>
        <w:t>,</w:t>
      </w:r>
      <w:r w:rsidR="00BC6525" w:rsidRPr="2E96ABE4">
        <w:rPr>
          <w:rFonts w:eastAsia="Calibri" w:cs="Times New Roman"/>
        </w:rPr>
        <w:t xml:space="preserve"> and </w:t>
      </w:r>
      <w:r w:rsidR="008A20A1" w:rsidRPr="2E96ABE4">
        <w:rPr>
          <w:rFonts w:eastAsia="Calibri" w:cs="Times New Roman"/>
        </w:rPr>
        <w:t>failures</w:t>
      </w:r>
      <w:r w:rsidR="00BC6525" w:rsidRPr="2E96ABE4">
        <w:rPr>
          <w:rFonts w:eastAsia="Calibri" w:cs="Times New Roman"/>
        </w:rPr>
        <w:t xml:space="preserve"> may be more common for thinly traded or illiquid stocks.</w:t>
      </w:r>
      <w:r w:rsidR="00BC6525" w:rsidRPr="2E96ABE4">
        <w:rPr>
          <w:rFonts w:eastAsia="Calibri" w:cs="Times New Roman"/>
          <w:vertAlign w:val="superscript"/>
        </w:rPr>
        <w:footnoteReference w:id="81"/>
      </w:r>
      <w:r w:rsidR="00BC6525" w:rsidRPr="2E96ABE4">
        <w:rPr>
          <w:rFonts w:eastAsia="Calibri" w:cs="Times New Roman"/>
        </w:rPr>
        <w:t xml:space="preserve"> </w:t>
      </w:r>
      <w:r w:rsidR="008B578E" w:rsidRPr="2E96ABE4">
        <w:rPr>
          <w:rFonts w:eastAsia="Calibri" w:cs="Times New Roman"/>
        </w:rPr>
        <w:t>IIROC indicated that it would continue to monitor international developments in the regulation of short sellin</w:t>
      </w:r>
      <w:r w:rsidR="008B578E" w:rsidRPr="2E96ABE4">
        <w:rPr>
          <w:rFonts w:eastAsia="Calibri" w:cs="Times New Roman"/>
          <w:color w:val="000000" w:themeColor="text1"/>
        </w:rPr>
        <w:t xml:space="preserve">g and failed trades related issues. </w:t>
      </w:r>
      <w:r w:rsidR="00E30416" w:rsidRPr="2E96ABE4">
        <w:rPr>
          <w:rFonts w:eastAsia="Calibri" w:cs="Times New Roman"/>
          <w:color w:val="000000" w:themeColor="text1"/>
        </w:rPr>
        <w:t xml:space="preserve"> </w:t>
      </w:r>
      <w:r w:rsidR="00443C44" w:rsidRPr="2E96ABE4">
        <w:rPr>
          <w:rFonts w:eastAsia="Calibri" w:cs="Times New Roman"/>
          <w:color w:val="000000" w:themeColor="text1"/>
        </w:rPr>
        <w:t>It has</w:t>
      </w:r>
      <w:r w:rsidR="00305D10" w:rsidRPr="2E96ABE4">
        <w:rPr>
          <w:rFonts w:eastAsia="Calibri" w:cs="Times New Roman"/>
          <w:color w:val="000000" w:themeColor="text1"/>
        </w:rPr>
        <w:t xml:space="preserve"> recently commenced </w:t>
      </w:r>
      <w:r w:rsidR="00A422AD" w:rsidRPr="00A422AD">
        <w:rPr>
          <w:color w:val="000000" w:themeColor="text1"/>
          <w:lang w:val="en-US"/>
        </w:rPr>
        <w:t>looking into required data sources to initiate its work on a new broader and more granular failed trade study.</w:t>
      </w:r>
      <w:r w:rsidR="00305D10" w:rsidRPr="00305D10">
        <w:rPr>
          <w:vertAlign w:val="superscript"/>
        </w:rPr>
        <w:footnoteReference w:id="82"/>
      </w:r>
      <w:r w:rsidR="00305D10" w:rsidRPr="2E96ABE4">
        <w:rPr>
          <w:rFonts w:eastAsia="Calibri" w:cs="Times New Roman"/>
        </w:rPr>
        <w:t xml:space="preserve"> </w:t>
      </w:r>
    </w:p>
    <w:p w14:paraId="728148B0" w14:textId="003D12EE" w:rsidR="00EF5234" w:rsidRDefault="00DA3550" w:rsidP="00317BC5">
      <w:pPr>
        <w:spacing w:before="0" w:after="0"/>
      </w:pPr>
      <w:r w:rsidRPr="2E96ABE4">
        <w:rPr>
          <w:rFonts w:eastAsia="Calibri" w:cs="Times New Roman"/>
        </w:rPr>
        <w:lastRenderedPageBreak/>
        <w:t xml:space="preserve">Concerns around </w:t>
      </w:r>
      <w:r w:rsidR="00305D10" w:rsidRPr="2E96ABE4">
        <w:rPr>
          <w:rFonts w:eastAsia="Calibri" w:cs="Times New Roman"/>
        </w:rPr>
        <w:t>short selling regulation have</w:t>
      </w:r>
      <w:r w:rsidRPr="2E96ABE4">
        <w:rPr>
          <w:rFonts w:eastAsia="Calibri" w:cs="Times New Roman"/>
        </w:rPr>
        <w:t xml:space="preserve"> seen a resurgence both in Canada and abroad</w:t>
      </w:r>
      <w:r w:rsidR="00E940DE" w:rsidRPr="2E96ABE4">
        <w:rPr>
          <w:rFonts w:eastAsia="Calibri" w:cs="Times New Roman"/>
        </w:rPr>
        <w:t>.</w:t>
      </w:r>
      <w:r w:rsidR="00806820" w:rsidRPr="2E96ABE4">
        <w:rPr>
          <w:rStyle w:val="FootnoteReference"/>
          <w:rFonts w:eastAsia="Calibri" w:cs="Times New Roman"/>
        </w:rPr>
        <w:footnoteReference w:id="83"/>
      </w:r>
      <w:r w:rsidR="00E940DE" w:rsidRPr="2E96ABE4">
        <w:rPr>
          <w:rFonts w:eastAsia="Calibri" w:cs="Times New Roman"/>
        </w:rPr>
        <w:t xml:space="preserve"> </w:t>
      </w:r>
      <w:r w:rsidR="0079588E" w:rsidRPr="2E96ABE4">
        <w:rPr>
          <w:rFonts w:eastAsia="Calibri" w:cs="Times New Roman"/>
        </w:rPr>
        <w:t xml:space="preserve">Internationally, </w:t>
      </w:r>
      <w:r w:rsidR="00650B3D" w:rsidRPr="2E96ABE4">
        <w:rPr>
          <w:rFonts w:eastAsia="Calibri" w:cs="Times New Roman"/>
        </w:rPr>
        <w:t xml:space="preserve">we have also seen </w:t>
      </w:r>
      <w:r w:rsidR="008C209C" w:rsidRPr="2E96ABE4">
        <w:rPr>
          <w:rFonts w:eastAsia="Calibri" w:cs="Times New Roman"/>
        </w:rPr>
        <w:t xml:space="preserve">that </w:t>
      </w:r>
      <w:r w:rsidR="00650B3D" w:rsidRPr="2E96ABE4">
        <w:rPr>
          <w:rFonts w:eastAsia="Calibri" w:cs="Times New Roman"/>
        </w:rPr>
        <w:t xml:space="preserve">heightened </w:t>
      </w:r>
      <w:r w:rsidR="0079588E" w:rsidRPr="2E96ABE4">
        <w:rPr>
          <w:rFonts w:eastAsia="Calibri" w:cs="Times New Roman"/>
        </w:rPr>
        <w:t>concerns around short selling activities</w:t>
      </w:r>
      <w:r w:rsidR="008C209C" w:rsidRPr="2E96ABE4">
        <w:rPr>
          <w:rFonts w:eastAsia="Calibri" w:cs="Times New Roman"/>
        </w:rPr>
        <w:t xml:space="preserve"> have</w:t>
      </w:r>
      <w:r w:rsidR="004B5472" w:rsidRPr="2E96ABE4">
        <w:rPr>
          <w:rFonts w:eastAsia="Calibri" w:cs="Times New Roman"/>
        </w:rPr>
        <w:t xml:space="preserve"> </w:t>
      </w:r>
      <w:r w:rsidR="0079588E" w:rsidRPr="2E96ABE4">
        <w:rPr>
          <w:rFonts w:eastAsia="Calibri" w:cs="Times New Roman"/>
        </w:rPr>
        <w:t>led some foreign public and private actors to impose restrictions or ban</w:t>
      </w:r>
      <w:r w:rsidR="00046AF9" w:rsidRPr="2E96ABE4">
        <w:rPr>
          <w:rFonts w:eastAsia="Calibri" w:cs="Times New Roman"/>
        </w:rPr>
        <w:t>s on</w:t>
      </w:r>
      <w:r w:rsidR="0079588E" w:rsidRPr="2E96ABE4">
        <w:rPr>
          <w:rFonts w:eastAsia="Calibri" w:cs="Times New Roman"/>
        </w:rPr>
        <w:t xml:space="preserve"> short selling</w:t>
      </w:r>
      <w:r w:rsidR="006A5CAE" w:rsidRPr="2E96ABE4">
        <w:rPr>
          <w:rFonts w:eastAsia="Calibri" w:cs="Times New Roman"/>
        </w:rPr>
        <w:t xml:space="preserve"> and related</w:t>
      </w:r>
      <w:r w:rsidR="0079588E" w:rsidRPr="2E96ABE4">
        <w:rPr>
          <w:rFonts w:eastAsia="Calibri" w:cs="Times New Roman"/>
        </w:rPr>
        <w:t xml:space="preserve"> activities.</w:t>
      </w:r>
      <w:r w:rsidR="00E2080D">
        <w:rPr>
          <w:rStyle w:val="FootnoteReference"/>
          <w:rFonts w:eastAsia="Calibri" w:cs="Times New Roman"/>
        </w:rPr>
        <w:footnoteReference w:id="84"/>
      </w:r>
      <w:r w:rsidR="0079588E" w:rsidRPr="2E96ABE4">
        <w:rPr>
          <w:rFonts w:eastAsia="Calibri" w:cs="Times New Roman"/>
        </w:rPr>
        <w:t xml:space="preserve">  For example, in December 2019, the world’s largest pension fund, the Japanese Government Pension Investment Fund announced that it had suspended stock lending activities relating to its portfolio of non-Japanese equity securities ‘until further notice.’</w:t>
      </w:r>
      <w:r w:rsidR="0079588E" w:rsidRPr="2E96ABE4">
        <w:rPr>
          <w:rStyle w:val="FootnoteReference"/>
          <w:rFonts w:eastAsia="Calibri" w:cs="Times New Roman"/>
        </w:rPr>
        <w:footnoteReference w:id="85"/>
      </w:r>
      <w:r w:rsidR="0079588E" w:rsidRPr="2E96ABE4">
        <w:rPr>
          <w:rFonts w:eastAsia="Calibri" w:cs="Times New Roman"/>
        </w:rPr>
        <w:t xml:space="preserve">  Earlier in 2019, ESMA</w:t>
      </w:r>
      <w:r w:rsidR="0079588E" w:rsidRPr="00703962">
        <w:t xml:space="preserve"> </w:t>
      </w:r>
      <w:r w:rsidR="0079588E" w:rsidRPr="2E96ABE4">
        <w:rPr>
          <w:rFonts w:eastAsia="Calibri" w:cs="Times New Roman"/>
        </w:rPr>
        <w:t xml:space="preserve">backed Germany’s two-month short sale ban on payment firm Wirecard following a report of financial irregularities by </w:t>
      </w:r>
      <w:r w:rsidR="00B42D42">
        <w:rPr>
          <w:rFonts w:eastAsia="Calibri" w:cs="Times New Roman"/>
        </w:rPr>
        <w:t>certain Wirecard critics</w:t>
      </w:r>
      <w:r w:rsidR="0079588E" w:rsidRPr="2E96ABE4">
        <w:rPr>
          <w:rFonts w:eastAsia="Calibri" w:cs="Times New Roman"/>
        </w:rPr>
        <w:t>.</w:t>
      </w:r>
      <w:r w:rsidR="0079588E" w:rsidRPr="2E96ABE4">
        <w:rPr>
          <w:rStyle w:val="FootnoteReference"/>
          <w:rFonts w:eastAsia="Calibri" w:cs="Times New Roman"/>
        </w:rPr>
        <w:footnoteReference w:id="86"/>
      </w:r>
      <w:r w:rsidR="0079588E" w:rsidRPr="2E96ABE4">
        <w:rPr>
          <w:rFonts w:eastAsia="Calibri" w:cs="Times New Roman"/>
        </w:rPr>
        <w:t xml:space="preserve"> </w:t>
      </w:r>
      <w:r w:rsidR="00616A3B" w:rsidRPr="2E96ABE4">
        <w:rPr>
          <w:rFonts w:eastAsia="Calibri" w:cs="Times New Roman"/>
        </w:rPr>
        <w:t xml:space="preserve">Other jurisdictions have called for increased transparency and disclosure.  </w:t>
      </w:r>
      <w:r w:rsidR="001B3DFB" w:rsidRPr="2E96ABE4">
        <w:rPr>
          <w:rFonts w:eastAsia="Calibri" w:cs="Times New Roman"/>
        </w:rPr>
        <w:t xml:space="preserve">In October 2019, </w:t>
      </w:r>
      <w:r w:rsidR="001B3DFB">
        <w:t>the National Assembl</w:t>
      </w:r>
      <w:r w:rsidR="002C71B2">
        <w:t>y</w:t>
      </w:r>
      <w:r w:rsidR="001B3DFB">
        <w:t xml:space="preserve"> in France released a report on activist investors recommending that </w:t>
      </w:r>
      <w:r w:rsidR="001B3DFB" w:rsidRPr="008959F2">
        <w:t xml:space="preserve">France should </w:t>
      </w:r>
      <w:r w:rsidR="001B3DFB">
        <w:t xml:space="preserve">increase </w:t>
      </w:r>
      <w:r w:rsidR="001B3DFB" w:rsidRPr="008959F2">
        <w:t>disclosure requirements when activist investors and short</w:t>
      </w:r>
      <w:r w:rsidR="00EA5DBC">
        <w:t xml:space="preserve"> </w:t>
      </w:r>
      <w:r w:rsidR="001B3DFB" w:rsidRPr="008959F2">
        <w:t xml:space="preserve">sellers take </w:t>
      </w:r>
      <w:r w:rsidR="00616A3B">
        <w:t>large</w:t>
      </w:r>
      <w:r w:rsidR="001B3DFB" w:rsidRPr="008959F2">
        <w:t xml:space="preserve"> positions in French companies</w:t>
      </w:r>
      <w:r w:rsidR="001B3DFB">
        <w:t>.</w:t>
      </w:r>
      <w:r w:rsidR="001B3DFB">
        <w:rPr>
          <w:rStyle w:val="FootnoteReference"/>
        </w:rPr>
        <w:footnoteReference w:id="87"/>
      </w:r>
    </w:p>
    <w:p w14:paraId="420BD787" w14:textId="77777777" w:rsidR="00317BC5" w:rsidRDefault="00317BC5" w:rsidP="00317BC5">
      <w:pPr>
        <w:spacing w:before="0" w:after="0"/>
        <w:rPr>
          <w:rFonts w:eastAsia="Calibri" w:cs="Times New Roman"/>
        </w:rPr>
      </w:pPr>
    </w:p>
    <w:p w14:paraId="64CE83CB" w14:textId="3EB8DF81" w:rsidR="00305D10" w:rsidRDefault="004820C8" w:rsidP="00317BC5">
      <w:pPr>
        <w:spacing w:before="0" w:after="0"/>
        <w:rPr>
          <w:rFonts w:eastAsia="Calibri" w:cs="Times New Roman"/>
        </w:rPr>
      </w:pPr>
      <w:r w:rsidRPr="2E96ABE4">
        <w:rPr>
          <w:rFonts w:eastAsia="Calibri" w:cs="Times New Roman"/>
        </w:rPr>
        <w:t xml:space="preserve">In Canada, </w:t>
      </w:r>
      <w:r w:rsidR="00311C72" w:rsidRPr="2E96ABE4">
        <w:rPr>
          <w:rFonts w:eastAsia="Calibri" w:cs="Times New Roman"/>
        </w:rPr>
        <w:t xml:space="preserve">there </w:t>
      </w:r>
      <w:r w:rsidR="003405EC" w:rsidRPr="2E96ABE4">
        <w:rPr>
          <w:rFonts w:eastAsia="Calibri" w:cs="Times New Roman"/>
        </w:rPr>
        <w:t xml:space="preserve">appears to be </w:t>
      </w:r>
      <w:r w:rsidR="00311C72" w:rsidRPr="2E96ABE4">
        <w:rPr>
          <w:rFonts w:eastAsia="Calibri" w:cs="Times New Roman"/>
        </w:rPr>
        <w:t>perception</w:t>
      </w:r>
      <w:r w:rsidR="00D14A5F" w:rsidRPr="2E96ABE4">
        <w:rPr>
          <w:rFonts w:eastAsia="Calibri" w:cs="Times New Roman"/>
        </w:rPr>
        <w:t xml:space="preserve"> by some</w:t>
      </w:r>
      <w:r w:rsidR="00311C72" w:rsidRPr="2E96ABE4">
        <w:rPr>
          <w:rFonts w:eastAsia="Calibri" w:cs="Times New Roman"/>
        </w:rPr>
        <w:t xml:space="preserve"> that </w:t>
      </w:r>
      <w:r w:rsidR="00A85318" w:rsidRPr="2E96ABE4">
        <w:rPr>
          <w:rFonts w:eastAsia="Calibri" w:cs="Times New Roman"/>
        </w:rPr>
        <w:t xml:space="preserve">the </w:t>
      </w:r>
      <w:r w:rsidR="001E1C99" w:rsidRPr="2E96ABE4">
        <w:rPr>
          <w:rFonts w:eastAsia="Calibri" w:cs="Times New Roman"/>
        </w:rPr>
        <w:t xml:space="preserve">current </w:t>
      </w:r>
      <w:r w:rsidR="00305D10" w:rsidRPr="2E96ABE4">
        <w:rPr>
          <w:rFonts w:eastAsia="Calibri" w:cs="Times New Roman"/>
        </w:rPr>
        <w:t xml:space="preserve">regulatory environment is disproportionately conducive to </w:t>
      </w:r>
      <w:r w:rsidR="00130056" w:rsidRPr="2E96ABE4">
        <w:rPr>
          <w:rFonts w:eastAsia="Calibri" w:cs="Times New Roman"/>
        </w:rPr>
        <w:t>problematic</w:t>
      </w:r>
      <w:r w:rsidR="00305D10" w:rsidRPr="2E96ABE4">
        <w:rPr>
          <w:rFonts w:eastAsia="Calibri" w:cs="Times New Roman"/>
        </w:rPr>
        <w:t xml:space="preserve"> activist short selling.  </w:t>
      </w:r>
      <w:r w:rsidR="00311C72" w:rsidRPr="2E96ABE4">
        <w:rPr>
          <w:rFonts w:eastAsia="Calibri" w:cs="Times New Roman"/>
        </w:rPr>
        <w:t xml:space="preserve">Some </w:t>
      </w:r>
      <w:r w:rsidR="00D14A5F" w:rsidRPr="2E96ABE4">
        <w:rPr>
          <w:rFonts w:eastAsia="Calibri" w:cs="Times New Roman"/>
        </w:rPr>
        <w:t>who have</w:t>
      </w:r>
      <w:r w:rsidR="00311C72" w:rsidRPr="2E96ABE4">
        <w:rPr>
          <w:rFonts w:eastAsia="Calibri" w:cs="Times New Roman"/>
        </w:rPr>
        <w:t xml:space="preserve"> raised concerns </w:t>
      </w:r>
      <w:r w:rsidR="00305D10" w:rsidRPr="2E96ABE4">
        <w:rPr>
          <w:rFonts w:eastAsia="Calibri" w:cs="Times New Roman"/>
        </w:rPr>
        <w:t>have suggested increased transparency around short selling as a response to these concerns,</w:t>
      </w:r>
      <w:r w:rsidR="00311C72" w:rsidRPr="2E96ABE4">
        <w:rPr>
          <w:rFonts w:eastAsia="Calibri" w:cs="Times New Roman"/>
        </w:rPr>
        <w:t xml:space="preserve"> similar to </w:t>
      </w:r>
      <w:r w:rsidR="00305D10" w:rsidRPr="2E96ABE4">
        <w:rPr>
          <w:rFonts w:eastAsia="Calibri" w:cs="Times New Roman"/>
        </w:rPr>
        <w:t xml:space="preserve">the approach </w:t>
      </w:r>
      <w:r w:rsidR="00874D7B" w:rsidRPr="2E96ABE4">
        <w:rPr>
          <w:rFonts w:eastAsia="Calibri" w:cs="Times New Roman"/>
        </w:rPr>
        <w:t>that currently exists</w:t>
      </w:r>
      <w:r w:rsidR="00305D10" w:rsidRPr="2E96ABE4">
        <w:rPr>
          <w:rFonts w:eastAsia="Calibri" w:cs="Times New Roman"/>
        </w:rPr>
        <w:t xml:space="preserve"> in the EU</w:t>
      </w:r>
      <w:r w:rsidR="00874D7B" w:rsidRPr="2E96ABE4">
        <w:rPr>
          <w:rFonts w:eastAsia="Calibri" w:cs="Times New Roman"/>
        </w:rPr>
        <w:t>.</w:t>
      </w:r>
      <w:r w:rsidR="00394528">
        <w:rPr>
          <w:rFonts w:eastAsia="Calibri" w:cs="Times New Roman"/>
        </w:rPr>
        <w:t xml:space="preserve"> </w:t>
      </w:r>
      <w:r w:rsidR="00311C72" w:rsidRPr="2E96ABE4">
        <w:rPr>
          <w:rFonts w:eastAsia="Calibri" w:cs="Times New Roman"/>
        </w:rPr>
        <w:t>In their view, t</w:t>
      </w:r>
      <w:r w:rsidR="00305D10" w:rsidRPr="2E96ABE4">
        <w:rPr>
          <w:rFonts w:eastAsia="Calibri" w:cs="Times New Roman"/>
        </w:rPr>
        <w:t xml:space="preserve">his type of disclosure can equip issuers and investors with additional information </w:t>
      </w:r>
      <w:r w:rsidR="00605EA9" w:rsidRPr="2E96ABE4">
        <w:rPr>
          <w:rFonts w:eastAsia="Calibri" w:cs="Times New Roman"/>
        </w:rPr>
        <w:t xml:space="preserve">upon which to trade, as well as act as a constraint on </w:t>
      </w:r>
      <w:r w:rsidR="00D10BB1" w:rsidRPr="2E96ABE4">
        <w:rPr>
          <w:rFonts w:eastAsia="Calibri" w:cs="Times New Roman"/>
        </w:rPr>
        <w:t>inappropriate short selling.</w:t>
      </w:r>
      <w:r w:rsidR="00305D10" w:rsidRPr="2E96ABE4">
        <w:rPr>
          <w:rFonts w:eastAsia="Calibri" w:cs="Times New Roman"/>
        </w:rPr>
        <w:t xml:space="preserve">  However, some studies have noted that such disclosure obligations may have undesirable effects, such as compromising the strategies short sellers use, which would inevitably lead to decreased market liquidity or price discovery.</w:t>
      </w:r>
      <w:r w:rsidR="00305D10" w:rsidRPr="2E96ABE4">
        <w:rPr>
          <w:rFonts w:eastAsia="Calibri" w:cs="Times New Roman"/>
          <w:vertAlign w:val="superscript"/>
        </w:rPr>
        <w:footnoteReference w:id="88"/>
      </w:r>
      <w:r w:rsidR="00305D10" w:rsidRPr="2E96ABE4">
        <w:rPr>
          <w:rFonts w:eastAsia="Calibri" w:cs="Times New Roman"/>
        </w:rPr>
        <w:t xml:space="preserve"> </w:t>
      </w:r>
      <w:r w:rsidR="002B08B5" w:rsidRPr="2E96ABE4">
        <w:rPr>
          <w:rFonts w:eastAsia="Calibri" w:cs="Times New Roman"/>
        </w:rPr>
        <w:t xml:space="preserve"> </w:t>
      </w:r>
      <w:r w:rsidR="00305D10" w:rsidRPr="2E96ABE4">
        <w:rPr>
          <w:rFonts w:eastAsia="Calibri" w:cs="Times New Roman"/>
        </w:rPr>
        <w:t>Increased transparency on the identity of a short seller may also expose them to litigation and regulatory action</w:t>
      </w:r>
      <w:r w:rsidR="00782C47" w:rsidRPr="2E96ABE4">
        <w:rPr>
          <w:rFonts w:eastAsia="Calibri" w:cs="Times New Roman"/>
        </w:rPr>
        <w:t xml:space="preserve">, </w:t>
      </w:r>
      <w:r w:rsidR="00A97EE6" w:rsidRPr="2E96ABE4">
        <w:rPr>
          <w:rFonts w:eastAsia="Calibri" w:cs="Times New Roman"/>
        </w:rPr>
        <w:t>potentially</w:t>
      </w:r>
      <w:r w:rsidR="00782C47" w:rsidRPr="2E96ABE4">
        <w:rPr>
          <w:rFonts w:eastAsia="Calibri" w:cs="Times New Roman"/>
        </w:rPr>
        <w:t xml:space="preserve"> stifling legitimate short selling activity</w:t>
      </w:r>
      <w:r w:rsidR="00305D10" w:rsidRPr="2E96ABE4">
        <w:rPr>
          <w:rFonts w:eastAsia="Calibri" w:cs="Times New Roman"/>
        </w:rPr>
        <w:t>.</w:t>
      </w:r>
      <w:r w:rsidR="00305D10" w:rsidRPr="2E96ABE4">
        <w:rPr>
          <w:rFonts w:eastAsia="Calibri" w:cs="Times New Roman"/>
          <w:vertAlign w:val="superscript"/>
        </w:rPr>
        <w:footnoteReference w:id="89"/>
      </w:r>
      <w:r w:rsidR="00305D10" w:rsidRPr="2E96ABE4">
        <w:rPr>
          <w:rFonts w:eastAsia="Calibri" w:cs="Times New Roman"/>
        </w:rPr>
        <w:t xml:space="preserve">  </w:t>
      </w:r>
      <w:r w:rsidR="00C61D58" w:rsidRPr="2E96ABE4">
        <w:rPr>
          <w:rFonts w:eastAsia="Calibri" w:cs="Times New Roman"/>
        </w:rPr>
        <w:t>One study found that</w:t>
      </w:r>
      <w:r w:rsidR="00124C74" w:rsidRPr="2E96ABE4">
        <w:rPr>
          <w:rFonts w:eastAsia="Calibri" w:cs="Times New Roman"/>
        </w:rPr>
        <w:t xml:space="preserve"> when required to disclose their positions</w:t>
      </w:r>
      <w:r w:rsidR="00C61D58" w:rsidRPr="2E96ABE4">
        <w:rPr>
          <w:rFonts w:eastAsia="Calibri" w:cs="Times New Roman"/>
        </w:rPr>
        <w:t xml:space="preserve"> short sellers simply remain below the public disclosure </w:t>
      </w:r>
      <w:r w:rsidR="00C61D58" w:rsidRPr="2E96ABE4">
        <w:rPr>
          <w:rFonts w:eastAsia="Calibri" w:cs="Times New Roman"/>
        </w:rPr>
        <w:lastRenderedPageBreak/>
        <w:t>threshold (0.5%) deliberately to protect their private information.</w:t>
      </w:r>
      <w:r w:rsidR="00C61D58" w:rsidRPr="2E96ABE4">
        <w:rPr>
          <w:rFonts w:eastAsia="Calibri" w:cs="Times New Roman"/>
          <w:vertAlign w:val="superscript"/>
        </w:rPr>
        <w:footnoteReference w:id="90"/>
      </w:r>
      <w:r w:rsidR="00C61D58" w:rsidRPr="2E96ABE4">
        <w:rPr>
          <w:rFonts w:eastAsia="Calibri" w:cs="Times New Roman"/>
        </w:rPr>
        <w:t xml:space="preserve">  </w:t>
      </w:r>
      <w:r w:rsidR="007058E6" w:rsidRPr="2E96ABE4">
        <w:rPr>
          <w:rFonts w:eastAsia="Calibri" w:cs="Times New Roman"/>
        </w:rPr>
        <w:t>The impact of additional disclosure</w:t>
      </w:r>
      <w:r w:rsidR="0034410E" w:rsidRPr="2E96ABE4">
        <w:rPr>
          <w:rFonts w:eastAsia="Calibri" w:cs="Times New Roman"/>
        </w:rPr>
        <w:t xml:space="preserve"> around short selling</w:t>
      </w:r>
      <w:r w:rsidR="007058E6" w:rsidRPr="2E96ABE4">
        <w:rPr>
          <w:rFonts w:eastAsia="Calibri" w:cs="Times New Roman"/>
        </w:rPr>
        <w:t xml:space="preserve"> must be considered</w:t>
      </w:r>
      <w:r w:rsidR="0034410E" w:rsidRPr="2E96ABE4">
        <w:rPr>
          <w:rFonts w:eastAsia="Calibri" w:cs="Times New Roman"/>
        </w:rPr>
        <w:t xml:space="preserve"> in light of these issues </w:t>
      </w:r>
      <w:r w:rsidR="007058E6" w:rsidRPr="2E96ABE4">
        <w:rPr>
          <w:rFonts w:eastAsia="Calibri" w:cs="Times New Roman"/>
        </w:rPr>
        <w:t>to determine whether this tool meets the policy outcome desired without introducing undue constraints on</w:t>
      </w:r>
      <w:r w:rsidR="006B5FFD" w:rsidRPr="2E96ABE4">
        <w:rPr>
          <w:rFonts w:eastAsia="Calibri" w:cs="Times New Roman"/>
        </w:rPr>
        <w:t xml:space="preserve"> legitimate</w:t>
      </w:r>
      <w:r w:rsidR="007058E6" w:rsidRPr="2E96ABE4">
        <w:rPr>
          <w:rFonts w:eastAsia="Calibri" w:cs="Times New Roman"/>
        </w:rPr>
        <w:t xml:space="preserve"> short selling and activist short selling activity. </w:t>
      </w:r>
    </w:p>
    <w:p w14:paraId="5563390B" w14:textId="77777777" w:rsidR="00317BC5" w:rsidRPr="00305D10" w:rsidRDefault="00317BC5" w:rsidP="00317BC5">
      <w:pPr>
        <w:spacing w:before="0" w:after="0"/>
        <w:rPr>
          <w:rFonts w:eastAsia="Calibri" w:cs="Times New Roman"/>
        </w:rPr>
      </w:pPr>
    </w:p>
    <w:p w14:paraId="61A2E653" w14:textId="4E03F68C" w:rsidR="008959F2" w:rsidRDefault="00305D10" w:rsidP="00DA310A">
      <w:pPr>
        <w:spacing w:before="0" w:after="0"/>
        <w:rPr>
          <w:rFonts w:eastAsia="Calibri" w:cs="Times New Roman"/>
        </w:rPr>
      </w:pPr>
      <w:r w:rsidRPr="2E96ABE4">
        <w:rPr>
          <w:rFonts w:eastAsia="Calibri" w:cs="Times New Roman"/>
        </w:rPr>
        <w:t xml:space="preserve">As discussed in </w:t>
      </w:r>
      <w:r w:rsidR="006972CD" w:rsidRPr="2E96ABE4">
        <w:rPr>
          <w:rFonts w:eastAsia="Calibri" w:cs="Times New Roman"/>
        </w:rPr>
        <w:t>Part I</w:t>
      </w:r>
      <w:r w:rsidRPr="2E96ABE4">
        <w:rPr>
          <w:rFonts w:eastAsia="Calibri" w:cs="Times New Roman"/>
        </w:rPr>
        <w:t xml:space="preserve">, short sellers </w:t>
      </w:r>
      <w:r w:rsidR="00E113B4" w:rsidRPr="2E96ABE4">
        <w:rPr>
          <w:rFonts w:eastAsia="Calibri" w:cs="Times New Roman"/>
        </w:rPr>
        <w:t xml:space="preserve">already </w:t>
      </w:r>
      <w:r w:rsidRPr="2E96ABE4">
        <w:rPr>
          <w:rFonts w:eastAsia="Calibri" w:cs="Times New Roman"/>
        </w:rPr>
        <w:t xml:space="preserve">face significant risks and costs in taking such positions and these risks are amplified for activist short sellers.  Some academics have suggested that policy makers should consider efforts to reduce the difficulties and costs associated with </w:t>
      </w:r>
      <w:r w:rsidR="001557CA" w:rsidRPr="2E96ABE4">
        <w:rPr>
          <w:rFonts w:eastAsia="Calibri" w:cs="Times New Roman"/>
        </w:rPr>
        <w:t xml:space="preserve">short selling </w:t>
      </w:r>
      <w:r w:rsidRPr="2E96ABE4">
        <w:rPr>
          <w:rFonts w:eastAsia="Calibri" w:cs="Times New Roman"/>
        </w:rPr>
        <w:t xml:space="preserve">given the potential for improvements in market efficiencies introduced by </w:t>
      </w:r>
      <w:r w:rsidR="000C1B8A" w:rsidRPr="2E96ABE4">
        <w:rPr>
          <w:rFonts w:eastAsia="Calibri" w:cs="Times New Roman"/>
        </w:rPr>
        <w:t>c</w:t>
      </w:r>
      <w:r w:rsidRPr="2E96ABE4">
        <w:rPr>
          <w:rFonts w:eastAsia="Calibri" w:cs="Times New Roman"/>
        </w:rPr>
        <w:t>ampaigns.</w:t>
      </w:r>
      <w:r w:rsidRPr="2E96ABE4">
        <w:rPr>
          <w:rFonts w:eastAsia="Calibri" w:cs="Times New Roman"/>
          <w:vertAlign w:val="superscript"/>
        </w:rPr>
        <w:footnoteReference w:id="91"/>
      </w:r>
      <w:r w:rsidRPr="2E96ABE4">
        <w:rPr>
          <w:rFonts w:eastAsia="Calibri" w:cs="Times New Roman"/>
        </w:rPr>
        <w:t xml:space="preserve"> </w:t>
      </w:r>
      <w:r w:rsidR="00A8476F" w:rsidRPr="2E96ABE4">
        <w:rPr>
          <w:rFonts w:eastAsia="Calibri" w:cs="Times New Roman"/>
        </w:rPr>
        <w:t xml:space="preserve"> Others have suggested </w:t>
      </w:r>
      <w:r w:rsidR="00E113B4" w:rsidRPr="2E96ABE4">
        <w:rPr>
          <w:rFonts w:eastAsia="Calibri" w:cs="Times New Roman"/>
        </w:rPr>
        <w:t>alternative</w:t>
      </w:r>
      <w:r w:rsidR="00A8476F" w:rsidRPr="2E96ABE4">
        <w:rPr>
          <w:rFonts w:eastAsia="Calibri" w:cs="Times New Roman"/>
        </w:rPr>
        <w:t xml:space="preserve"> approaches</w:t>
      </w:r>
      <w:r w:rsidR="00E113B4" w:rsidRPr="2E96ABE4">
        <w:rPr>
          <w:rFonts w:eastAsia="Calibri" w:cs="Times New Roman"/>
        </w:rPr>
        <w:t xml:space="preserve"> to the E</w:t>
      </w:r>
      <w:r w:rsidR="00430236" w:rsidRPr="2E96ABE4">
        <w:rPr>
          <w:rFonts w:eastAsia="Calibri" w:cs="Times New Roman"/>
        </w:rPr>
        <w:t>U</w:t>
      </w:r>
      <w:r w:rsidR="00E113B4" w:rsidRPr="2E96ABE4">
        <w:rPr>
          <w:rFonts w:eastAsia="Calibri" w:cs="Times New Roman"/>
        </w:rPr>
        <w:t xml:space="preserve"> model</w:t>
      </w:r>
      <w:r w:rsidR="00A8476F" w:rsidRPr="2E96ABE4">
        <w:rPr>
          <w:rFonts w:eastAsia="Calibri" w:cs="Times New Roman"/>
        </w:rPr>
        <w:t xml:space="preserve"> of disclosure </w:t>
      </w:r>
      <w:r w:rsidR="001524FF" w:rsidRPr="2E96ABE4">
        <w:rPr>
          <w:rFonts w:eastAsia="Calibri" w:cs="Times New Roman"/>
        </w:rPr>
        <w:t>that</w:t>
      </w:r>
      <w:r w:rsidR="00A8476F" w:rsidRPr="2E96ABE4">
        <w:rPr>
          <w:rFonts w:eastAsia="Calibri" w:cs="Times New Roman"/>
        </w:rPr>
        <w:t xml:space="preserve"> more directly address</w:t>
      </w:r>
      <w:r w:rsidR="00430236" w:rsidRPr="2E96ABE4">
        <w:rPr>
          <w:rFonts w:eastAsia="Calibri" w:cs="Times New Roman"/>
        </w:rPr>
        <w:t>es</w:t>
      </w:r>
      <w:r w:rsidR="00A8476F" w:rsidRPr="2E96ABE4">
        <w:rPr>
          <w:rFonts w:eastAsia="Calibri" w:cs="Times New Roman"/>
        </w:rPr>
        <w:t xml:space="preserve"> </w:t>
      </w:r>
      <w:r w:rsidR="00050B08" w:rsidRPr="2E96ABE4">
        <w:rPr>
          <w:rFonts w:eastAsia="Calibri" w:cs="Times New Roman"/>
        </w:rPr>
        <w:t>concerns raised around</w:t>
      </w:r>
      <w:r w:rsidR="00A64BDB" w:rsidRPr="2E96ABE4">
        <w:rPr>
          <w:rFonts w:eastAsia="Calibri" w:cs="Times New Roman"/>
        </w:rPr>
        <w:t xml:space="preserve"> problematic conduct by</w:t>
      </w:r>
      <w:r w:rsidR="00E113B4" w:rsidRPr="2E96ABE4">
        <w:rPr>
          <w:rFonts w:eastAsia="Calibri" w:cs="Times New Roman"/>
        </w:rPr>
        <w:t xml:space="preserve"> activist short sellers</w:t>
      </w:r>
      <w:r w:rsidR="00E80415" w:rsidRPr="2E96ABE4">
        <w:rPr>
          <w:rFonts w:eastAsia="Calibri" w:cs="Times New Roman"/>
        </w:rPr>
        <w:t xml:space="preserve"> a</w:t>
      </w:r>
      <w:r w:rsidR="006E3090" w:rsidRPr="2E96ABE4">
        <w:rPr>
          <w:rFonts w:eastAsia="Calibri" w:cs="Times New Roman"/>
        </w:rPr>
        <w:t xml:space="preserve">s well as the </w:t>
      </w:r>
      <w:r w:rsidR="00E80415" w:rsidRPr="2E96ABE4">
        <w:rPr>
          <w:rFonts w:eastAsia="Calibri" w:cs="Times New Roman"/>
        </w:rPr>
        <w:t>implications of social media</w:t>
      </w:r>
      <w:r w:rsidR="00FE2545" w:rsidRPr="2E96ABE4">
        <w:rPr>
          <w:rFonts w:eastAsia="Calibri" w:cs="Times New Roman"/>
        </w:rPr>
        <w:t xml:space="preserve"> on promotional </w:t>
      </w:r>
      <w:r w:rsidR="006E3090" w:rsidRPr="2E96ABE4">
        <w:rPr>
          <w:rFonts w:eastAsia="Calibri" w:cs="Times New Roman"/>
        </w:rPr>
        <w:t>activities</w:t>
      </w:r>
      <w:r w:rsidR="00FE2545" w:rsidRPr="2E96ABE4">
        <w:rPr>
          <w:rFonts w:eastAsia="Calibri" w:cs="Times New Roman"/>
        </w:rPr>
        <w:t>, whether short or long</w:t>
      </w:r>
      <w:r w:rsidR="00A8476F" w:rsidRPr="2E96ABE4">
        <w:rPr>
          <w:rFonts w:eastAsia="Calibri" w:cs="Times New Roman"/>
        </w:rPr>
        <w:t>.  For example</w:t>
      </w:r>
      <w:r w:rsidR="00E113B4" w:rsidRPr="2E96ABE4">
        <w:rPr>
          <w:rFonts w:eastAsia="Calibri" w:cs="Times New Roman"/>
        </w:rPr>
        <w:t>, a group of U</w:t>
      </w:r>
      <w:r w:rsidR="00EA5DBC" w:rsidRPr="2E96ABE4">
        <w:rPr>
          <w:rFonts w:eastAsia="Calibri" w:cs="Times New Roman"/>
        </w:rPr>
        <w:t>.</w:t>
      </w:r>
      <w:r w:rsidR="00E113B4" w:rsidRPr="2E96ABE4">
        <w:rPr>
          <w:rFonts w:eastAsia="Calibri" w:cs="Times New Roman"/>
        </w:rPr>
        <w:t>S</w:t>
      </w:r>
      <w:r w:rsidR="00EA5DBC" w:rsidRPr="2E96ABE4">
        <w:rPr>
          <w:rFonts w:eastAsia="Calibri" w:cs="Times New Roman"/>
        </w:rPr>
        <w:t>.</w:t>
      </w:r>
      <w:r w:rsidR="00E113B4" w:rsidRPr="2E96ABE4">
        <w:rPr>
          <w:rFonts w:eastAsia="Calibri" w:cs="Times New Roman"/>
        </w:rPr>
        <w:t xml:space="preserve"> academics </w:t>
      </w:r>
      <w:r w:rsidR="00CF0BA8" w:rsidRPr="2E96ABE4">
        <w:rPr>
          <w:rFonts w:eastAsia="Calibri" w:cs="Times New Roman"/>
        </w:rPr>
        <w:t xml:space="preserve">recently </w:t>
      </w:r>
      <w:r w:rsidR="00E113B4" w:rsidRPr="2E96ABE4">
        <w:rPr>
          <w:rFonts w:eastAsia="Calibri" w:cs="Times New Roman"/>
        </w:rPr>
        <w:t>petitioned the S</w:t>
      </w:r>
      <w:r w:rsidR="008F2C13" w:rsidRPr="2E96ABE4">
        <w:rPr>
          <w:rFonts w:eastAsia="Calibri" w:cs="Times New Roman"/>
        </w:rPr>
        <w:t>EC</w:t>
      </w:r>
      <w:r w:rsidR="00E113B4" w:rsidRPr="2E96ABE4">
        <w:rPr>
          <w:rFonts w:eastAsia="Calibri" w:cs="Times New Roman"/>
        </w:rPr>
        <w:t xml:space="preserve"> to impose a “duty to update” </w:t>
      </w:r>
      <w:r w:rsidR="008F2C13" w:rsidRPr="2E96ABE4">
        <w:rPr>
          <w:rFonts w:eastAsia="Calibri" w:cs="Times New Roman"/>
        </w:rPr>
        <w:t xml:space="preserve">a short position when there has been a </w:t>
      </w:r>
      <w:r w:rsidR="00E113B4" w:rsidRPr="2E96ABE4">
        <w:rPr>
          <w:rFonts w:eastAsia="Calibri" w:cs="Times New Roman"/>
        </w:rPr>
        <w:t>voluntary</w:t>
      </w:r>
      <w:r w:rsidR="004377EA" w:rsidRPr="2E96ABE4">
        <w:rPr>
          <w:rFonts w:eastAsia="Calibri" w:cs="Times New Roman"/>
        </w:rPr>
        <w:t xml:space="preserve"> disclosure of </w:t>
      </w:r>
      <w:r w:rsidR="008F2C13" w:rsidRPr="2E96ABE4">
        <w:rPr>
          <w:rFonts w:eastAsia="Calibri" w:cs="Times New Roman"/>
        </w:rPr>
        <w:t>that</w:t>
      </w:r>
      <w:r w:rsidR="00E113B4" w:rsidRPr="2E96ABE4">
        <w:rPr>
          <w:rFonts w:eastAsia="Calibri" w:cs="Times New Roman"/>
        </w:rPr>
        <w:t xml:space="preserve"> short position.</w:t>
      </w:r>
      <w:r w:rsidR="00E113B4" w:rsidRPr="2E96ABE4">
        <w:rPr>
          <w:rStyle w:val="FootnoteReference"/>
          <w:rFonts w:eastAsia="Calibri" w:cs="Times New Roman"/>
        </w:rPr>
        <w:footnoteReference w:id="92"/>
      </w:r>
      <w:r w:rsidR="00CD4DC5" w:rsidRPr="2E96ABE4">
        <w:rPr>
          <w:rFonts w:eastAsia="Calibri" w:cs="Times New Roman"/>
        </w:rPr>
        <w:t xml:space="preserve">  </w:t>
      </w:r>
      <w:r w:rsidR="004377EA" w:rsidRPr="2E96ABE4">
        <w:rPr>
          <w:rFonts w:eastAsia="Calibri" w:cs="Times New Roman"/>
        </w:rPr>
        <w:t xml:space="preserve">The </w:t>
      </w:r>
      <w:r w:rsidR="0031053C" w:rsidRPr="2E96ABE4">
        <w:rPr>
          <w:rFonts w:eastAsia="Calibri" w:cs="Times New Roman"/>
        </w:rPr>
        <w:t xml:space="preserve">rationale for such a requirement </w:t>
      </w:r>
      <w:r w:rsidR="00C32601" w:rsidRPr="2E96ABE4">
        <w:rPr>
          <w:rFonts w:eastAsia="Calibri" w:cs="Times New Roman"/>
        </w:rPr>
        <w:t xml:space="preserve">being </w:t>
      </w:r>
      <w:r w:rsidR="00380C88" w:rsidRPr="2E96ABE4">
        <w:rPr>
          <w:rFonts w:eastAsia="Calibri" w:cs="Times New Roman"/>
        </w:rPr>
        <w:t xml:space="preserve">that when a short seller voluntary discloses </w:t>
      </w:r>
      <w:r w:rsidR="00461B22" w:rsidRPr="2E96ABE4">
        <w:rPr>
          <w:rFonts w:eastAsia="Calibri" w:cs="Times New Roman"/>
        </w:rPr>
        <w:t>a</w:t>
      </w:r>
      <w:r w:rsidR="00380C88" w:rsidRPr="2E96ABE4">
        <w:rPr>
          <w:rFonts w:eastAsia="Calibri" w:cs="Times New Roman"/>
        </w:rPr>
        <w:t xml:space="preserve"> short position, </w:t>
      </w:r>
      <w:r w:rsidR="00B604C0" w:rsidRPr="2E96ABE4">
        <w:rPr>
          <w:rFonts w:eastAsia="Calibri" w:cs="Times New Roman"/>
        </w:rPr>
        <w:t>failure to disclose the position closed is “doubly misleading”</w:t>
      </w:r>
      <w:r w:rsidR="00F72909" w:rsidRPr="2E96ABE4">
        <w:rPr>
          <w:rFonts w:eastAsia="Calibri" w:cs="Times New Roman"/>
        </w:rPr>
        <w:t xml:space="preserve"> because their original disclosure of being short is no longer accurate</w:t>
      </w:r>
      <w:r w:rsidR="008D4131" w:rsidRPr="2E96ABE4">
        <w:rPr>
          <w:rFonts w:eastAsia="Calibri" w:cs="Times New Roman"/>
        </w:rPr>
        <w:t xml:space="preserve"> and the short seller’s “negative opinion lacks the skin in the game element that gives market participants reason to believe the underlying claims are true.”</w:t>
      </w:r>
      <w:r w:rsidR="008D4131" w:rsidRPr="2E96ABE4">
        <w:rPr>
          <w:rStyle w:val="FootnoteReference"/>
          <w:rFonts w:eastAsia="Calibri" w:cs="Times New Roman"/>
        </w:rPr>
        <w:footnoteReference w:id="93"/>
      </w:r>
      <w:r w:rsidR="009803A5" w:rsidRPr="2E96ABE4">
        <w:rPr>
          <w:rFonts w:eastAsia="Calibri" w:cs="Times New Roman"/>
        </w:rPr>
        <w:t xml:space="preserve">  Another example</w:t>
      </w:r>
      <w:r w:rsidR="003B6952" w:rsidRPr="2E96ABE4">
        <w:rPr>
          <w:rFonts w:eastAsia="Calibri" w:cs="Times New Roman"/>
        </w:rPr>
        <w:t xml:space="preserve"> is a proposal </w:t>
      </w:r>
      <w:r w:rsidR="00DE3DF0" w:rsidRPr="2E96ABE4">
        <w:rPr>
          <w:rFonts w:eastAsia="Calibri" w:cs="Times New Roman"/>
        </w:rPr>
        <w:t xml:space="preserve">for a </w:t>
      </w:r>
      <w:r w:rsidR="003B6952" w:rsidRPr="2E96ABE4">
        <w:rPr>
          <w:rFonts w:eastAsia="Calibri" w:cs="Times New Roman"/>
        </w:rPr>
        <w:t xml:space="preserve">ten-day minimum holding period that would apply to any stock promoter or short seller who opens a large position and disseminates market-moving information, </w:t>
      </w:r>
      <w:r w:rsidR="0046394E" w:rsidRPr="2E96ABE4">
        <w:rPr>
          <w:rFonts w:eastAsia="Calibri" w:cs="Times New Roman"/>
        </w:rPr>
        <w:t>irrespective of the medium</w:t>
      </w:r>
      <w:r w:rsidR="003B6952" w:rsidRPr="2E96ABE4">
        <w:rPr>
          <w:rFonts w:eastAsia="Calibri" w:cs="Times New Roman"/>
        </w:rPr>
        <w:t>.</w:t>
      </w:r>
      <w:r w:rsidR="004D0862" w:rsidRPr="2E96ABE4">
        <w:rPr>
          <w:rFonts w:eastAsia="Calibri" w:cs="Times New Roman"/>
        </w:rPr>
        <w:t xml:space="preserve">  Th</w:t>
      </w:r>
      <w:r w:rsidR="00F154F1" w:rsidRPr="2E96ABE4">
        <w:rPr>
          <w:rFonts w:eastAsia="Calibri" w:cs="Times New Roman"/>
        </w:rPr>
        <w:t>e</w:t>
      </w:r>
      <w:r w:rsidR="005026E7" w:rsidRPr="2E96ABE4">
        <w:rPr>
          <w:rFonts w:eastAsia="Calibri" w:cs="Times New Roman"/>
        </w:rPr>
        <w:t xml:space="preserve"> theory behind t</w:t>
      </w:r>
      <w:r w:rsidR="00F154F1" w:rsidRPr="2E96ABE4">
        <w:rPr>
          <w:rFonts w:eastAsia="Calibri" w:cs="Times New Roman"/>
        </w:rPr>
        <w:t xml:space="preserve">his proposal </w:t>
      </w:r>
      <w:r w:rsidR="004D0862" w:rsidRPr="2E96ABE4">
        <w:rPr>
          <w:rFonts w:eastAsia="Calibri" w:cs="Times New Roman"/>
        </w:rPr>
        <w:t xml:space="preserve">is </w:t>
      </w:r>
      <w:r w:rsidR="005026E7" w:rsidRPr="2E96ABE4">
        <w:rPr>
          <w:rFonts w:eastAsia="Calibri" w:cs="Times New Roman"/>
        </w:rPr>
        <w:t xml:space="preserve">that a </w:t>
      </w:r>
      <w:r w:rsidR="004D0862" w:rsidRPr="2E96ABE4">
        <w:rPr>
          <w:rFonts w:eastAsia="Calibri" w:cs="Times New Roman"/>
        </w:rPr>
        <w:t>ho</w:t>
      </w:r>
      <w:r w:rsidR="001A10B6" w:rsidRPr="2E96ABE4">
        <w:rPr>
          <w:rFonts w:eastAsia="Calibri" w:cs="Times New Roman"/>
        </w:rPr>
        <w:t xml:space="preserve">lding period </w:t>
      </w:r>
      <w:r w:rsidR="005026E7" w:rsidRPr="2E96ABE4">
        <w:rPr>
          <w:rFonts w:eastAsia="Calibri" w:cs="Times New Roman"/>
        </w:rPr>
        <w:t>c</w:t>
      </w:r>
      <w:r w:rsidR="001A10B6" w:rsidRPr="2E96ABE4">
        <w:rPr>
          <w:rFonts w:eastAsia="Calibri" w:cs="Times New Roman"/>
        </w:rPr>
        <w:t>ould</w:t>
      </w:r>
      <w:r w:rsidR="00925E89" w:rsidRPr="2E96ABE4">
        <w:rPr>
          <w:rFonts w:eastAsia="Calibri" w:cs="Times New Roman"/>
        </w:rPr>
        <w:t xml:space="preserve"> provide the market with an opportunity to </w:t>
      </w:r>
      <w:r w:rsidR="003B6952" w:rsidRPr="2E96ABE4">
        <w:rPr>
          <w:rFonts w:eastAsia="Calibri" w:cs="Times New Roman"/>
        </w:rPr>
        <w:t>evaluate the quality and credibility of the information</w:t>
      </w:r>
      <w:r w:rsidR="003E7EED" w:rsidRPr="2E96ABE4">
        <w:rPr>
          <w:rFonts w:eastAsia="Calibri" w:cs="Times New Roman"/>
        </w:rPr>
        <w:t>.</w:t>
      </w:r>
      <w:r w:rsidR="00394FF7" w:rsidRPr="2E96ABE4">
        <w:rPr>
          <w:rStyle w:val="FootnoteReference"/>
          <w:rFonts w:eastAsia="Calibri" w:cs="Times New Roman"/>
        </w:rPr>
        <w:footnoteReference w:id="94"/>
      </w:r>
      <w:r w:rsidR="009803A5" w:rsidRPr="2E96ABE4">
        <w:rPr>
          <w:rFonts w:eastAsia="Calibri" w:cs="Times New Roman"/>
        </w:rPr>
        <w:t xml:space="preserve"> </w:t>
      </w:r>
    </w:p>
    <w:p w14:paraId="09163D31" w14:textId="77777777" w:rsidR="00DA310A" w:rsidRPr="00E26A2A" w:rsidRDefault="00DA310A" w:rsidP="00DA310A">
      <w:pPr>
        <w:spacing w:before="0" w:after="0"/>
        <w:rPr>
          <w:rFonts w:eastAsia="Calibri" w:cs="Times New Roman"/>
          <w:szCs w:val="24"/>
        </w:rPr>
      </w:pPr>
    </w:p>
    <w:p w14:paraId="416AE75A" w14:textId="6BB7DFC6" w:rsidR="008D5ED8" w:rsidRDefault="00305D10" w:rsidP="00BC37D8">
      <w:pPr>
        <w:pStyle w:val="Heading3"/>
        <w:spacing w:before="0" w:after="0"/>
      </w:pPr>
      <w:r w:rsidRPr="00305D10">
        <w:t>Consultation Questions</w:t>
      </w:r>
    </w:p>
    <w:p w14:paraId="0810A16D" w14:textId="77777777" w:rsidR="00BC37D8" w:rsidRPr="00BC37D8" w:rsidRDefault="00BC37D8" w:rsidP="00BC37D8">
      <w:pPr>
        <w:spacing w:before="0" w:after="0"/>
      </w:pPr>
    </w:p>
    <w:p w14:paraId="3D3A426F" w14:textId="2C56315B" w:rsidR="00305D10" w:rsidRDefault="00305D10" w:rsidP="00BC37D8">
      <w:pPr>
        <w:pStyle w:val="ListParagraph"/>
        <w:numPr>
          <w:ilvl w:val="0"/>
          <w:numId w:val="25"/>
        </w:numPr>
        <w:spacing w:before="0" w:after="0"/>
        <w:contextualSpacing w:val="0"/>
        <w:rPr>
          <w:rFonts w:eastAsia="Calibri" w:cs="Times New Roman"/>
          <w:szCs w:val="24"/>
        </w:rPr>
      </w:pPr>
      <w:bookmarkStart w:id="11" w:name="_Hlk34407899"/>
      <w:r w:rsidRPr="00305D10">
        <w:rPr>
          <w:rFonts w:eastAsia="Calibri" w:cs="Times New Roman"/>
          <w:szCs w:val="24"/>
        </w:rPr>
        <w:t xml:space="preserve">Is the existing regulatory framework adequate to address the risks associated with </w:t>
      </w:r>
      <w:r w:rsidR="00924E20">
        <w:rPr>
          <w:rFonts w:eastAsia="Calibri" w:cs="Times New Roman"/>
          <w:szCs w:val="24"/>
        </w:rPr>
        <w:t xml:space="preserve">problematic </w:t>
      </w:r>
      <w:r w:rsidRPr="00305D10">
        <w:rPr>
          <w:rFonts w:eastAsia="Calibri" w:cs="Times New Roman"/>
          <w:szCs w:val="24"/>
        </w:rPr>
        <w:t>activist short selling? Please explain why or why not and provide specific examples of concerns and areas where, in your view, the regulatory framework may not be adequate.</w:t>
      </w:r>
    </w:p>
    <w:p w14:paraId="01B02CFB" w14:textId="77777777" w:rsidR="00DA310A" w:rsidRPr="00305D10" w:rsidRDefault="00DA310A" w:rsidP="00DA310A">
      <w:pPr>
        <w:pStyle w:val="ListParagraph"/>
        <w:spacing w:before="0" w:after="0"/>
        <w:ind w:left="360"/>
        <w:contextualSpacing w:val="0"/>
        <w:rPr>
          <w:rFonts w:eastAsia="Calibri" w:cs="Times New Roman"/>
          <w:szCs w:val="24"/>
        </w:rPr>
      </w:pPr>
    </w:p>
    <w:p w14:paraId="7F1374E3" w14:textId="1F426C08" w:rsidR="00305D10" w:rsidRDefault="00305D10" w:rsidP="00DA310A">
      <w:pPr>
        <w:pStyle w:val="ListParagraph"/>
        <w:numPr>
          <w:ilvl w:val="0"/>
          <w:numId w:val="25"/>
        </w:numPr>
        <w:spacing w:before="0" w:after="0"/>
        <w:contextualSpacing w:val="0"/>
        <w:rPr>
          <w:rFonts w:eastAsia="Calibri" w:cs="Times New Roman"/>
          <w:szCs w:val="24"/>
        </w:rPr>
      </w:pPr>
      <w:r w:rsidRPr="00305D10">
        <w:rPr>
          <w:rFonts w:eastAsia="Calibri" w:cs="Times New Roman"/>
          <w:szCs w:val="24"/>
        </w:rPr>
        <w:t>Have there been market developments or new information since 2012, when UMIR amendments regarding short selling and failed trades were implemented</w:t>
      </w:r>
      <w:r w:rsidR="00704CDB">
        <w:rPr>
          <w:rFonts w:eastAsia="Calibri" w:cs="Times New Roman"/>
          <w:szCs w:val="24"/>
        </w:rPr>
        <w:t>,</w:t>
      </w:r>
      <w:r w:rsidRPr="00305D10">
        <w:rPr>
          <w:rFonts w:eastAsia="Calibri" w:cs="Times New Roman"/>
          <w:szCs w:val="24"/>
        </w:rPr>
        <w:t xml:space="preserve"> that would warrant revisiting the existing regulatory framework for short selling? If so, please </w:t>
      </w:r>
      <w:r w:rsidR="00311C72">
        <w:rPr>
          <w:rFonts w:eastAsia="Calibri" w:cs="Times New Roman"/>
          <w:szCs w:val="24"/>
        </w:rPr>
        <w:t xml:space="preserve">describe these new developments or information and </w:t>
      </w:r>
      <w:r w:rsidRPr="00305D10">
        <w:rPr>
          <w:rFonts w:eastAsia="Calibri" w:cs="Times New Roman"/>
          <w:szCs w:val="24"/>
        </w:rPr>
        <w:t>indicate</w:t>
      </w:r>
      <w:r w:rsidR="00311C72">
        <w:rPr>
          <w:rFonts w:eastAsia="Calibri" w:cs="Times New Roman"/>
          <w:szCs w:val="24"/>
        </w:rPr>
        <w:t>, providing evidence to support your views</w:t>
      </w:r>
      <w:r w:rsidRPr="00305D10">
        <w:rPr>
          <w:rFonts w:eastAsia="Calibri" w:cs="Times New Roman"/>
          <w:szCs w:val="24"/>
        </w:rPr>
        <w:t>:</w:t>
      </w:r>
    </w:p>
    <w:p w14:paraId="5237424D" w14:textId="1A3BE97C" w:rsidR="00C36466" w:rsidRPr="00C36466" w:rsidRDefault="00C36466" w:rsidP="00C36466">
      <w:pPr>
        <w:spacing w:before="0" w:after="0"/>
        <w:rPr>
          <w:rFonts w:eastAsia="Calibri" w:cs="Times New Roman"/>
          <w:szCs w:val="24"/>
        </w:rPr>
      </w:pPr>
    </w:p>
    <w:p w14:paraId="28781D21" w14:textId="77777777" w:rsidR="00805B44" w:rsidRPr="00624C0A" w:rsidRDefault="00805B44" w:rsidP="00C36466">
      <w:pPr>
        <w:pStyle w:val="ListParagraph"/>
        <w:numPr>
          <w:ilvl w:val="1"/>
          <w:numId w:val="18"/>
        </w:numPr>
        <w:spacing w:before="0" w:after="0"/>
        <w:contextualSpacing w:val="0"/>
        <w:rPr>
          <w:rFonts w:eastAsia="Calibri" w:cs="Times New Roman"/>
          <w:szCs w:val="24"/>
        </w:rPr>
      </w:pPr>
      <w:r>
        <w:rPr>
          <w:rFonts w:eastAsia="Calibri" w:cs="Times New Roman"/>
          <w:szCs w:val="24"/>
        </w:rPr>
        <w:t xml:space="preserve">whether, in your view, there is a connection between failed trades and activist short selling; </w:t>
      </w:r>
    </w:p>
    <w:p w14:paraId="23024DC9" w14:textId="503055D7" w:rsidR="00305D10" w:rsidRDefault="00305D10" w:rsidP="00C36466">
      <w:pPr>
        <w:pStyle w:val="ListParagraph"/>
        <w:numPr>
          <w:ilvl w:val="1"/>
          <w:numId w:val="18"/>
        </w:numPr>
        <w:spacing w:before="0" w:after="0"/>
        <w:contextualSpacing w:val="0"/>
        <w:rPr>
          <w:rFonts w:eastAsia="Calibri" w:cs="Times New Roman"/>
          <w:szCs w:val="24"/>
        </w:rPr>
      </w:pPr>
      <w:r w:rsidRPr="00305D10">
        <w:rPr>
          <w:rFonts w:eastAsia="Calibri" w:cs="Times New Roman"/>
          <w:szCs w:val="24"/>
        </w:rPr>
        <w:lastRenderedPageBreak/>
        <w:t xml:space="preserve">what changes should be considered and why, and specifically with respect to potentially </w:t>
      </w:r>
      <w:r w:rsidR="00924E20">
        <w:rPr>
          <w:rFonts w:eastAsia="Calibri" w:cs="Times New Roman"/>
          <w:szCs w:val="24"/>
        </w:rPr>
        <w:t>problematic</w:t>
      </w:r>
      <w:r w:rsidRPr="00305D10">
        <w:rPr>
          <w:rFonts w:eastAsia="Calibri" w:cs="Times New Roman"/>
          <w:szCs w:val="24"/>
        </w:rPr>
        <w:t xml:space="preserve"> activist short selling activities; and</w:t>
      </w:r>
    </w:p>
    <w:p w14:paraId="6959F544" w14:textId="77777777" w:rsidR="00C36466" w:rsidRPr="00305D10" w:rsidRDefault="00C36466" w:rsidP="00C36466">
      <w:pPr>
        <w:pStyle w:val="ListParagraph"/>
        <w:spacing w:before="0" w:after="0"/>
        <w:ind w:left="1440"/>
        <w:contextualSpacing w:val="0"/>
        <w:rPr>
          <w:rFonts w:eastAsia="Calibri" w:cs="Times New Roman"/>
          <w:szCs w:val="24"/>
        </w:rPr>
      </w:pPr>
    </w:p>
    <w:p w14:paraId="2A6EE6D9" w14:textId="6A059307" w:rsidR="00305D10" w:rsidRDefault="00305D10" w:rsidP="00C36466">
      <w:pPr>
        <w:pStyle w:val="ListParagraph"/>
        <w:numPr>
          <w:ilvl w:val="1"/>
          <w:numId w:val="18"/>
        </w:numPr>
        <w:spacing w:before="0" w:after="0"/>
        <w:contextualSpacing w:val="0"/>
        <w:rPr>
          <w:rFonts w:eastAsia="Calibri" w:cs="Times New Roman"/>
          <w:szCs w:val="24"/>
        </w:rPr>
      </w:pPr>
      <w:r w:rsidRPr="00305D10">
        <w:rPr>
          <w:rFonts w:eastAsia="Calibri" w:cs="Times New Roman"/>
          <w:szCs w:val="24"/>
        </w:rPr>
        <w:t>whether there are relevant regulatory requirements in other jurisdictions that should be considered and why.</w:t>
      </w:r>
    </w:p>
    <w:p w14:paraId="72E66342" w14:textId="77777777" w:rsidR="00DA310A" w:rsidRPr="00305D10" w:rsidRDefault="00DA310A" w:rsidP="00DA310A">
      <w:pPr>
        <w:pStyle w:val="ListParagraph"/>
        <w:spacing w:before="0" w:after="0"/>
        <w:ind w:left="1440"/>
        <w:contextualSpacing w:val="0"/>
        <w:rPr>
          <w:rFonts w:eastAsia="Calibri" w:cs="Times New Roman"/>
          <w:szCs w:val="24"/>
        </w:rPr>
      </w:pPr>
    </w:p>
    <w:p w14:paraId="7B9AC99A" w14:textId="5653E210" w:rsidR="00305D10" w:rsidRDefault="00305D10" w:rsidP="00C36466">
      <w:pPr>
        <w:pStyle w:val="ListParagraph"/>
        <w:numPr>
          <w:ilvl w:val="0"/>
          <w:numId w:val="25"/>
        </w:numPr>
        <w:spacing w:before="0" w:after="0"/>
        <w:contextualSpacing w:val="0"/>
        <w:rPr>
          <w:rFonts w:eastAsia="Calibri" w:cs="Times New Roman"/>
          <w:szCs w:val="24"/>
        </w:rPr>
      </w:pPr>
      <w:r w:rsidRPr="00305D10">
        <w:rPr>
          <w:rFonts w:eastAsia="Calibri" w:cs="Times New Roman"/>
          <w:szCs w:val="24"/>
        </w:rPr>
        <w:t>Is the existing disclosure regime for short selling activities adequate? Please explain why or why not, indicating:</w:t>
      </w:r>
    </w:p>
    <w:p w14:paraId="6B1465A3" w14:textId="77777777" w:rsidR="00C36466" w:rsidRPr="00305D10" w:rsidRDefault="00C36466" w:rsidP="00C36466">
      <w:pPr>
        <w:pStyle w:val="ListParagraph"/>
        <w:spacing w:before="0" w:after="0"/>
        <w:ind w:left="360"/>
        <w:contextualSpacing w:val="0"/>
        <w:rPr>
          <w:rFonts w:eastAsia="Calibri" w:cs="Times New Roman"/>
          <w:szCs w:val="24"/>
        </w:rPr>
      </w:pPr>
    </w:p>
    <w:p w14:paraId="7C3510AD" w14:textId="70A0A9EF" w:rsidR="00305D10" w:rsidRDefault="00305D10" w:rsidP="00C36466">
      <w:pPr>
        <w:pStyle w:val="ListParagraph"/>
        <w:numPr>
          <w:ilvl w:val="0"/>
          <w:numId w:val="31"/>
        </w:numPr>
        <w:spacing w:before="0" w:after="0"/>
        <w:contextualSpacing w:val="0"/>
        <w:rPr>
          <w:rFonts w:eastAsia="Calibri" w:cs="Times New Roman"/>
          <w:szCs w:val="24"/>
        </w:rPr>
      </w:pPr>
      <w:r w:rsidRPr="00305D10">
        <w:rPr>
          <w:rFonts w:eastAsia="Calibri" w:cs="Times New Roman"/>
          <w:szCs w:val="24"/>
        </w:rPr>
        <w:t xml:space="preserve">what disclosure requirements would address risks associated with potentially </w:t>
      </w:r>
      <w:r w:rsidR="00924E20">
        <w:rPr>
          <w:rFonts w:eastAsia="Calibri" w:cs="Times New Roman"/>
          <w:szCs w:val="24"/>
        </w:rPr>
        <w:t>problematic</w:t>
      </w:r>
      <w:r w:rsidRPr="00305D10">
        <w:rPr>
          <w:rFonts w:eastAsia="Calibri" w:cs="Times New Roman"/>
          <w:szCs w:val="24"/>
        </w:rPr>
        <w:t xml:space="preserve"> activist short selling</w:t>
      </w:r>
      <w:r w:rsidR="0054581A">
        <w:rPr>
          <w:rFonts w:eastAsia="Calibri" w:cs="Times New Roman"/>
          <w:szCs w:val="24"/>
        </w:rPr>
        <w:t xml:space="preserve"> and how </w:t>
      </w:r>
      <w:r w:rsidR="00E939DE">
        <w:rPr>
          <w:rFonts w:eastAsia="Calibri" w:cs="Times New Roman"/>
          <w:szCs w:val="24"/>
        </w:rPr>
        <w:t>would such requirements improve deterrence</w:t>
      </w:r>
      <w:r w:rsidR="00704CDB">
        <w:rPr>
          <w:rFonts w:eastAsia="Calibri" w:cs="Times New Roman"/>
          <w:szCs w:val="24"/>
        </w:rPr>
        <w:t>;</w:t>
      </w:r>
    </w:p>
    <w:p w14:paraId="5EA439B2" w14:textId="77777777" w:rsidR="00C36466" w:rsidRPr="00C36466" w:rsidRDefault="00C36466" w:rsidP="00C36466">
      <w:pPr>
        <w:spacing w:before="0" w:after="0"/>
        <w:rPr>
          <w:rFonts w:eastAsia="Calibri" w:cs="Times New Roman"/>
          <w:szCs w:val="24"/>
        </w:rPr>
      </w:pPr>
    </w:p>
    <w:p w14:paraId="1ACDC73E" w14:textId="05C1D3DA" w:rsidR="00DD5E10" w:rsidRDefault="00305D10" w:rsidP="00C36466">
      <w:pPr>
        <w:pStyle w:val="ListParagraph"/>
        <w:numPr>
          <w:ilvl w:val="0"/>
          <w:numId w:val="31"/>
        </w:numPr>
        <w:spacing w:before="0" w:after="0"/>
        <w:contextualSpacing w:val="0"/>
        <w:rPr>
          <w:rFonts w:eastAsia="Calibri" w:cs="Times New Roman"/>
          <w:szCs w:val="24"/>
        </w:rPr>
      </w:pPr>
      <w:r w:rsidRPr="00305D10">
        <w:rPr>
          <w:rFonts w:eastAsia="Calibri" w:cs="Times New Roman"/>
          <w:szCs w:val="24"/>
        </w:rPr>
        <w:t>what should be the trigger and the timing of any additional disclosure</w:t>
      </w:r>
      <w:r w:rsidR="00DD5E10">
        <w:rPr>
          <w:rFonts w:eastAsia="Calibri" w:cs="Times New Roman"/>
          <w:szCs w:val="24"/>
        </w:rPr>
        <w:t>;</w:t>
      </w:r>
    </w:p>
    <w:p w14:paraId="77E8F436" w14:textId="2DBA510F" w:rsidR="00C36466" w:rsidRPr="00C36466" w:rsidRDefault="00C36466" w:rsidP="00C36466">
      <w:pPr>
        <w:spacing w:before="0" w:after="0"/>
        <w:rPr>
          <w:rFonts w:eastAsia="Calibri" w:cs="Times New Roman"/>
          <w:szCs w:val="24"/>
        </w:rPr>
      </w:pPr>
    </w:p>
    <w:p w14:paraId="63615BE1" w14:textId="35162E01" w:rsidR="00C6318A" w:rsidRDefault="00305D10" w:rsidP="00C36466">
      <w:pPr>
        <w:pStyle w:val="ListParagraph"/>
        <w:numPr>
          <w:ilvl w:val="0"/>
          <w:numId w:val="31"/>
        </w:numPr>
        <w:spacing w:before="0" w:after="0"/>
        <w:contextualSpacing w:val="0"/>
        <w:rPr>
          <w:rFonts w:eastAsia="Calibri" w:cs="Times New Roman"/>
          <w:szCs w:val="24"/>
        </w:rPr>
      </w:pPr>
      <w:r w:rsidRPr="00C6318A">
        <w:rPr>
          <w:rFonts w:eastAsia="Calibri" w:cs="Times New Roman"/>
          <w:szCs w:val="24"/>
        </w:rPr>
        <w:t>how can additional disclosure be meaningful without negatively impacting market liquidity</w:t>
      </w:r>
      <w:r w:rsidR="00C6318A">
        <w:rPr>
          <w:rFonts w:eastAsia="Calibri" w:cs="Times New Roman"/>
          <w:szCs w:val="24"/>
        </w:rPr>
        <w:t>; and</w:t>
      </w:r>
    </w:p>
    <w:p w14:paraId="2EEFA8B7" w14:textId="65745BCF" w:rsidR="00C36466" w:rsidRPr="00C36466" w:rsidRDefault="00C36466" w:rsidP="00C36466">
      <w:pPr>
        <w:spacing w:before="0" w:after="0"/>
        <w:rPr>
          <w:rFonts w:eastAsia="Calibri" w:cs="Times New Roman"/>
          <w:szCs w:val="24"/>
        </w:rPr>
      </w:pPr>
    </w:p>
    <w:p w14:paraId="290EB615" w14:textId="77777777" w:rsidR="00305D10" w:rsidRDefault="00C6318A" w:rsidP="00C36466">
      <w:pPr>
        <w:pStyle w:val="ListParagraph"/>
        <w:numPr>
          <w:ilvl w:val="0"/>
          <w:numId w:val="31"/>
        </w:numPr>
        <w:spacing w:before="0" w:after="0"/>
        <w:contextualSpacing w:val="0"/>
        <w:rPr>
          <w:rFonts w:eastAsia="Calibri" w:cs="Times New Roman"/>
          <w:szCs w:val="24"/>
        </w:rPr>
      </w:pPr>
      <w:r w:rsidRPr="00C6318A">
        <w:rPr>
          <w:rFonts w:eastAsia="Calibri" w:cs="Times New Roman"/>
          <w:szCs w:val="24"/>
        </w:rPr>
        <w:t>do you foresee any issues with imposing a duty to update</w:t>
      </w:r>
      <w:r w:rsidR="00F024E2">
        <w:rPr>
          <w:rFonts w:eastAsia="Calibri" w:cs="Times New Roman"/>
          <w:szCs w:val="24"/>
        </w:rPr>
        <w:t xml:space="preserve"> once there has been</w:t>
      </w:r>
      <w:r w:rsidRPr="00C6318A">
        <w:rPr>
          <w:rFonts w:eastAsia="Calibri" w:cs="Times New Roman"/>
          <w:szCs w:val="24"/>
        </w:rPr>
        <w:t xml:space="preserve"> a voluntary disclosure of a short position</w:t>
      </w:r>
      <w:r>
        <w:rPr>
          <w:rFonts w:eastAsia="Calibri" w:cs="Times New Roman"/>
          <w:szCs w:val="24"/>
        </w:rPr>
        <w:t>?</w:t>
      </w:r>
    </w:p>
    <w:bookmarkEnd w:id="11"/>
    <w:p w14:paraId="346C1A52" w14:textId="701FD899" w:rsidR="00000DAB" w:rsidRDefault="00000DAB" w:rsidP="00C36466">
      <w:pPr>
        <w:spacing w:before="0" w:after="0"/>
        <w:rPr>
          <w:rFonts w:eastAsia="Calibri" w:cs="Times New Roman"/>
          <w:szCs w:val="24"/>
          <w:lang w:val="en-US"/>
        </w:rPr>
      </w:pPr>
    </w:p>
    <w:p w14:paraId="323A9BB3" w14:textId="4585E79D" w:rsidR="00BA57E9" w:rsidRDefault="00DB718D" w:rsidP="00020D1D">
      <w:pPr>
        <w:pStyle w:val="SECTION"/>
        <w:spacing w:before="0" w:after="0"/>
        <w:jc w:val="left"/>
      </w:pPr>
      <w:r>
        <w:t xml:space="preserve">Enforcement and </w:t>
      </w:r>
      <w:r w:rsidR="003C1B28" w:rsidRPr="00DB718D">
        <w:t xml:space="preserve">Remedies </w:t>
      </w:r>
    </w:p>
    <w:p w14:paraId="3D134FD9" w14:textId="77777777" w:rsidR="00C36466" w:rsidRPr="00DB718D" w:rsidRDefault="00C36466" w:rsidP="00020D1D">
      <w:pPr>
        <w:pStyle w:val="SECTION"/>
        <w:numPr>
          <w:ilvl w:val="0"/>
          <w:numId w:val="0"/>
        </w:numPr>
        <w:spacing w:before="0" w:after="0"/>
        <w:ind w:left="714"/>
        <w:jc w:val="left"/>
      </w:pPr>
    </w:p>
    <w:p w14:paraId="0D73E8B0" w14:textId="7B514352" w:rsidR="00DB718D" w:rsidRDefault="00DB718D" w:rsidP="00020D1D">
      <w:pPr>
        <w:pStyle w:val="SUB-SECTION"/>
        <w:spacing w:before="0" w:after="0"/>
        <w:jc w:val="left"/>
      </w:pPr>
      <w:r w:rsidRPr="00740AE6">
        <w:t>Oversight of Activist Short Sellers</w:t>
      </w:r>
    </w:p>
    <w:p w14:paraId="779088B6" w14:textId="77777777" w:rsidR="00BC37D8" w:rsidRDefault="00BC37D8" w:rsidP="00BC37D8">
      <w:pPr>
        <w:pStyle w:val="SUB-SECTION"/>
        <w:numPr>
          <w:ilvl w:val="0"/>
          <w:numId w:val="0"/>
        </w:numPr>
        <w:spacing w:before="0" w:after="0"/>
        <w:ind w:left="1440"/>
        <w:jc w:val="left"/>
      </w:pPr>
    </w:p>
    <w:p w14:paraId="32B2666E" w14:textId="39711EF8" w:rsidR="00447C8D" w:rsidRDefault="00746119" w:rsidP="00020D1D">
      <w:pPr>
        <w:tabs>
          <w:tab w:val="left" w:pos="432"/>
          <w:tab w:val="left" w:pos="4320"/>
        </w:tabs>
        <w:spacing w:before="0" w:after="0"/>
        <w:rPr>
          <w:rFonts w:eastAsia="Calibri" w:cs="Times New Roman"/>
        </w:rPr>
      </w:pPr>
      <w:r w:rsidRPr="2E96ABE4">
        <w:rPr>
          <w:rFonts w:cs="Times New Roman"/>
          <w:lang w:val="en-US"/>
        </w:rPr>
        <w:t>I</w:t>
      </w:r>
      <w:r w:rsidR="00432F45" w:rsidRPr="2E96ABE4">
        <w:rPr>
          <w:rFonts w:eastAsia="Calibri" w:cs="Times New Roman"/>
        </w:rPr>
        <w:t>n most CSA jurisdictions, t</w:t>
      </w:r>
      <w:r w:rsidR="00DB718D" w:rsidRPr="2E96ABE4">
        <w:rPr>
          <w:rFonts w:eastAsia="Calibri" w:cs="Times New Roman"/>
        </w:rPr>
        <w:t xml:space="preserve">here is no mechanism under securities law </w:t>
      </w:r>
      <w:r w:rsidR="00B5638A" w:rsidRPr="2E96ABE4">
        <w:rPr>
          <w:rFonts w:eastAsia="Calibri" w:cs="Times New Roman"/>
        </w:rPr>
        <w:t>that</w:t>
      </w:r>
      <w:r w:rsidR="00DB718D" w:rsidRPr="2E96ABE4">
        <w:rPr>
          <w:rFonts w:eastAsia="Calibri" w:cs="Times New Roman"/>
        </w:rPr>
        <w:t xml:space="preserve"> explicitly regulates the activities of activist short sellers or the </w:t>
      </w:r>
      <w:r w:rsidR="002743F1" w:rsidRPr="2E96ABE4">
        <w:rPr>
          <w:rFonts w:eastAsia="Calibri" w:cs="Times New Roman"/>
        </w:rPr>
        <w:t xml:space="preserve">form or </w:t>
      </w:r>
      <w:r w:rsidR="00DB718D" w:rsidRPr="2E96ABE4">
        <w:rPr>
          <w:rFonts w:eastAsia="Calibri" w:cs="Times New Roman"/>
        </w:rPr>
        <w:t>content of their public statements.</w:t>
      </w:r>
      <w:r w:rsidR="00DB718D" w:rsidRPr="2E96ABE4">
        <w:rPr>
          <w:rStyle w:val="FootnoteReference"/>
          <w:rFonts w:eastAsia="Calibri" w:cs="Times New Roman"/>
        </w:rPr>
        <w:footnoteReference w:id="95"/>
      </w:r>
      <w:r w:rsidR="00DB718D" w:rsidRPr="2E96ABE4">
        <w:rPr>
          <w:rFonts w:eastAsia="Calibri" w:cs="Times New Roman"/>
        </w:rPr>
        <w:t xml:space="preserve"> </w:t>
      </w:r>
      <w:r w:rsidR="00E30416" w:rsidRPr="2E96ABE4">
        <w:rPr>
          <w:rFonts w:eastAsia="Calibri" w:cs="Times New Roman"/>
        </w:rPr>
        <w:t xml:space="preserve"> </w:t>
      </w:r>
      <w:r w:rsidR="00DD3697" w:rsidRPr="2E96ABE4">
        <w:rPr>
          <w:rFonts w:eastAsia="Calibri" w:cs="Times New Roman"/>
        </w:rPr>
        <w:t>However</w:t>
      </w:r>
      <w:r w:rsidR="00447C8D" w:rsidRPr="2E96ABE4">
        <w:rPr>
          <w:rFonts w:eastAsia="Calibri" w:cs="Times New Roman"/>
        </w:rPr>
        <w:t>,</w:t>
      </w:r>
      <w:r w:rsidR="00DB718D" w:rsidRPr="2E96ABE4">
        <w:rPr>
          <w:rFonts w:eastAsia="Calibri" w:cs="Times New Roman"/>
        </w:rPr>
        <w:t xml:space="preserve"> </w:t>
      </w:r>
      <w:r w:rsidR="00447C8D" w:rsidRPr="2E96ABE4">
        <w:rPr>
          <w:rFonts w:eastAsia="Calibri" w:cs="Times New Roman"/>
        </w:rPr>
        <w:t xml:space="preserve">there is potential for the conduct </w:t>
      </w:r>
      <w:r w:rsidR="00DD3697" w:rsidRPr="2E96ABE4">
        <w:rPr>
          <w:rFonts w:eastAsia="Calibri" w:cs="Times New Roman"/>
        </w:rPr>
        <w:t xml:space="preserve">and statement </w:t>
      </w:r>
      <w:r w:rsidR="00447C8D" w:rsidRPr="2E96ABE4">
        <w:rPr>
          <w:rFonts w:eastAsia="Calibri" w:cs="Times New Roman"/>
        </w:rPr>
        <w:t xml:space="preserve">of an activist short seller to fall </w:t>
      </w:r>
      <w:r w:rsidR="004C7953" w:rsidRPr="2E96ABE4">
        <w:rPr>
          <w:rFonts w:eastAsia="Calibri" w:cs="Times New Roman"/>
        </w:rPr>
        <w:t xml:space="preserve">offside </w:t>
      </w:r>
      <w:r w:rsidR="00447C8D" w:rsidRPr="2E96ABE4">
        <w:rPr>
          <w:rFonts w:eastAsia="Calibri" w:cs="Times New Roman"/>
        </w:rPr>
        <w:t>of securities legislation if it involves making materially</w:t>
      </w:r>
      <w:r w:rsidR="00447C8D" w:rsidRPr="2E96ABE4">
        <w:rPr>
          <w:rFonts w:eastAsia="Calibri" w:cs="Times New Roman"/>
          <w:i/>
          <w:iCs/>
        </w:rPr>
        <w:t xml:space="preserve"> </w:t>
      </w:r>
      <w:r w:rsidR="00447C8D" w:rsidRPr="2E96ABE4">
        <w:rPr>
          <w:rFonts w:eastAsia="Calibri" w:cs="Times New Roman"/>
        </w:rPr>
        <w:t>misleading or untrue statements</w:t>
      </w:r>
      <w:r w:rsidR="000E52C8" w:rsidRPr="2E96ABE4">
        <w:rPr>
          <w:rFonts w:eastAsia="Calibri" w:cs="Times New Roman"/>
        </w:rPr>
        <w:t xml:space="preserve"> to the market</w:t>
      </w:r>
      <w:r w:rsidR="00447C8D" w:rsidRPr="2E96ABE4">
        <w:rPr>
          <w:rFonts w:eastAsia="Calibri" w:cs="Times New Roman"/>
        </w:rPr>
        <w:t>.</w:t>
      </w:r>
      <w:r w:rsidR="00447C8D" w:rsidRPr="2E96ABE4">
        <w:rPr>
          <w:rStyle w:val="FootnoteReference"/>
          <w:rFonts w:eastAsia="Calibri" w:cs="Times New Roman"/>
        </w:rPr>
        <w:footnoteReference w:id="96"/>
      </w:r>
      <w:r w:rsidR="00447C8D" w:rsidRPr="2E96ABE4">
        <w:rPr>
          <w:rFonts w:eastAsia="Calibri" w:cs="Times New Roman"/>
        </w:rPr>
        <w:t xml:space="preserve">  </w:t>
      </w:r>
      <w:r w:rsidR="009B423C" w:rsidRPr="2E96ABE4">
        <w:rPr>
          <w:rFonts w:eastAsia="Calibri" w:cs="Times New Roman"/>
        </w:rPr>
        <w:t>Securities</w:t>
      </w:r>
      <w:r w:rsidR="00447C8D" w:rsidRPr="2E96ABE4">
        <w:rPr>
          <w:rFonts w:eastAsia="Calibri" w:cs="Times New Roman"/>
        </w:rPr>
        <w:t xml:space="preserve"> legislation generally requires that a person or company not make a statement that they know, or reasonably ought to know,</w:t>
      </w:r>
    </w:p>
    <w:p w14:paraId="43BDD6BE" w14:textId="77777777" w:rsidR="00020D1D" w:rsidRPr="00924E20" w:rsidRDefault="00020D1D" w:rsidP="00020D1D">
      <w:pPr>
        <w:tabs>
          <w:tab w:val="left" w:pos="432"/>
          <w:tab w:val="left" w:pos="4320"/>
        </w:tabs>
        <w:spacing w:before="0" w:after="0"/>
        <w:rPr>
          <w:rFonts w:eastAsia="Calibri" w:cs="Times New Roman"/>
        </w:rPr>
      </w:pPr>
    </w:p>
    <w:p w14:paraId="0110502C" w14:textId="62F1A41F" w:rsidR="00447C8D" w:rsidRPr="00020D1D" w:rsidRDefault="00447C8D" w:rsidP="00020D1D">
      <w:pPr>
        <w:pStyle w:val="ListParagraph"/>
        <w:numPr>
          <w:ilvl w:val="0"/>
          <w:numId w:val="43"/>
        </w:numPr>
        <w:tabs>
          <w:tab w:val="left" w:pos="432"/>
          <w:tab w:val="left" w:pos="4320"/>
        </w:tabs>
        <w:spacing w:before="0" w:after="0"/>
        <w:rPr>
          <w:rFonts w:eastAsia="Calibri" w:cs="Times New Roman"/>
          <w:szCs w:val="24"/>
        </w:rPr>
      </w:pPr>
      <w:r w:rsidRPr="00020D1D">
        <w:rPr>
          <w:rFonts w:eastAsia="Calibri" w:cs="Times New Roman"/>
          <w:szCs w:val="24"/>
        </w:rPr>
        <w:t>in a material respect and at the time and in the light of the circumstances under which it is made, is misleading or untrue or does not state a fact that is required to be stated or that is necessary to make the statement not misleading; and</w:t>
      </w:r>
    </w:p>
    <w:p w14:paraId="31E910A8" w14:textId="77777777" w:rsidR="00020D1D" w:rsidRPr="00020D1D" w:rsidRDefault="00020D1D" w:rsidP="00020D1D">
      <w:pPr>
        <w:pStyle w:val="ListParagraph"/>
        <w:tabs>
          <w:tab w:val="left" w:pos="432"/>
          <w:tab w:val="left" w:pos="4320"/>
        </w:tabs>
        <w:spacing w:before="0" w:after="0"/>
        <w:ind w:left="792"/>
        <w:rPr>
          <w:rFonts w:eastAsia="Calibri" w:cs="Times New Roman"/>
          <w:szCs w:val="24"/>
        </w:rPr>
      </w:pPr>
    </w:p>
    <w:p w14:paraId="69E06307" w14:textId="77777777" w:rsidR="00447C8D" w:rsidRDefault="00447C8D" w:rsidP="00020D1D">
      <w:pPr>
        <w:tabs>
          <w:tab w:val="left" w:pos="432"/>
          <w:tab w:val="left" w:pos="4320"/>
        </w:tabs>
        <w:spacing w:before="0" w:after="0"/>
        <w:ind w:left="432"/>
        <w:rPr>
          <w:rFonts w:eastAsia="Calibri" w:cs="Times New Roman"/>
          <w:b/>
          <w:szCs w:val="24"/>
        </w:rPr>
      </w:pPr>
      <w:r w:rsidRPr="00924E20">
        <w:rPr>
          <w:rFonts w:eastAsia="Calibri" w:cs="Times New Roman"/>
          <w:szCs w:val="24"/>
        </w:rPr>
        <w:t>(b) would reasonably be expected to have a significant effect on the market price or value of a security, derivative or underlying interest of a derivative.</w:t>
      </w:r>
      <w:r w:rsidR="00924E20" w:rsidRPr="00924E20">
        <w:rPr>
          <w:rStyle w:val="FootnoteReference"/>
          <w:rFonts w:eastAsia="Calibri" w:cs="Times New Roman"/>
          <w:szCs w:val="24"/>
        </w:rPr>
        <w:footnoteReference w:id="97"/>
      </w:r>
      <w:r>
        <w:rPr>
          <w:rFonts w:eastAsia="Calibri" w:cs="Times New Roman"/>
          <w:b/>
          <w:szCs w:val="24"/>
        </w:rPr>
        <w:t xml:space="preserve">  </w:t>
      </w:r>
    </w:p>
    <w:p w14:paraId="6043E27A" w14:textId="60F36349" w:rsidR="004B68FD" w:rsidRDefault="00447C8D" w:rsidP="00020D1D">
      <w:pPr>
        <w:tabs>
          <w:tab w:val="left" w:pos="432"/>
          <w:tab w:val="left" w:pos="4320"/>
        </w:tabs>
        <w:spacing w:before="0" w:after="0"/>
        <w:rPr>
          <w:rFonts w:eastAsia="Calibri" w:cs="Times New Roman"/>
          <w:szCs w:val="24"/>
        </w:rPr>
      </w:pPr>
      <w:r>
        <w:rPr>
          <w:rFonts w:eastAsia="Calibri" w:cs="Times New Roman"/>
          <w:szCs w:val="24"/>
        </w:rPr>
        <w:lastRenderedPageBreak/>
        <w:t>R</w:t>
      </w:r>
      <w:r w:rsidRPr="00DB5785">
        <w:rPr>
          <w:rFonts w:eastAsia="Calibri" w:cs="Times New Roman"/>
          <w:szCs w:val="24"/>
        </w:rPr>
        <w:t>ecent B.C.</w:t>
      </w:r>
      <w:r>
        <w:rPr>
          <w:rFonts w:eastAsia="Calibri" w:cs="Times New Roman"/>
          <w:szCs w:val="24"/>
        </w:rPr>
        <w:t xml:space="preserve"> </w:t>
      </w:r>
      <w:r w:rsidRPr="00DB5785">
        <w:rPr>
          <w:rFonts w:eastAsia="Calibri" w:cs="Times New Roman"/>
          <w:i/>
          <w:szCs w:val="24"/>
        </w:rPr>
        <w:t>Securities Act</w:t>
      </w:r>
      <w:r w:rsidRPr="00DB5785">
        <w:rPr>
          <w:rFonts w:eastAsia="Calibri" w:cs="Times New Roman"/>
          <w:szCs w:val="24"/>
        </w:rPr>
        <w:t xml:space="preserve"> amendments </w:t>
      </w:r>
      <w:r>
        <w:rPr>
          <w:rFonts w:eastAsia="Calibri" w:cs="Times New Roman"/>
          <w:szCs w:val="24"/>
        </w:rPr>
        <w:t>introduced a</w:t>
      </w:r>
      <w:r w:rsidR="00431972">
        <w:rPr>
          <w:rFonts w:eastAsia="Calibri" w:cs="Times New Roman"/>
          <w:szCs w:val="24"/>
        </w:rPr>
        <w:t>n additional prohibition</w:t>
      </w:r>
      <w:r w:rsidR="007643DC">
        <w:rPr>
          <w:rFonts w:eastAsia="Calibri" w:cs="Times New Roman"/>
          <w:szCs w:val="24"/>
        </w:rPr>
        <w:t xml:space="preserve"> </w:t>
      </w:r>
      <w:r w:rsidR="00D455DF">
        <w:rPr>
          <w:rFonts w:eastAsia="Calibri" w:cs="Times New Roman"/>
          <w:szCs w:val="24"/>
        </w:rPr>
        <w:t xml:space="preserve">for </w:t>
      </w:r>
      <w:r w:rsidRPr="00DB5785">
        <w:rPr>
          <w:rFonts w:eastAsia="Calibri" w:cs="Times New Roman"/>
          <w:szCs w:val="24"/>
        </w:rPr>
        <w:t>those engaged in promotional activities</w:t>
      </w:r>
      <w:r w:rsidR="007643DC">
        <w:rPr>
          <w:rFonts w:eastAsia="Calibri" w:cs="Times New Roman"/>
          <w:szCs w:val="24"/>
        </w:rPr>
        <w:t>.  Under this prohibition, a person engaged in a promotional activity must not make</w:t>
      </w:r>
      <w:r w:rsidR="00623C7E">
        <w:rPr>
          <w:rFonts w:eastAsia="Calibri" w:cs="Times New Roman"/>
          <w:szCs w:val="24"/>
        </w:rPr>
        <w:t xml:space="preserve"> a </w:t>
      </w:r>
      <w:r w:rsidRPr="00DB5785">
        <w:rPr>
          <w:rFonts w:eastAsia="Calibri" w:cs="Times New Roman"/>
          <w:szCs w:val="24"/>
        </w:rPr>
        <w:t xml:space="preserve">statement or </w:t>
      </w:r>
      <w:r w:rsidR="00623C7E">
        <w:rPr>
          <w:rFonts w:eastAsia="Calibri" w:cs="Times New Roman"/>
          <w:szCs w:val="24"/>
        </w:rPr>
        <w:t xml:space="preserve">provide </w:t>
      </w:r>
      <w:r w:rsidRPr="00DB5785">
        <w:rPr>
          <w:rFonts w:eastAsia="Calibri" w:cs="Times New Roman"/>
          <w:szCs w:val="24"/>
        </w:rPr>
        <w:t xml:space="preserve">information that </w:t>
      </w:r>
      <w:r w:rsidR="00623C7E">
        <w:rPr>
          <w:rFonts w:eastAsia="Calibri" w:cs="Times New Roman"/>
          <w:szCs w:val="24"/>
        </w:rPr>
        <w:t xml:space="preserve">is false or misleading in circumstances where a </w:t>
      </w:r>
      <w:bookmarkStart w:id="12" w:name="_Hlk39132332"/>
      <w:r w:rsidR="00623C7E">
        <w:rPr>
          <w:rFonts w:eastAsia="Calibri" w:cs="Times New Roman"/>
          <w:szCs w:val="24"/>
        </w:rPr>
        <w:t xml:space="preserve">reasonable </w:t>
      </w:r>
      <w:r w:rsidRPr="00DB5785">
        <w:rPr>
          <w:rFonts w:eastAsia="Calibri" w:cs="Times New Roman"/>
          <w:szCs w:val="24"/>
        </w:rPr>
        <w:t xml:space="preserve">investor/person would consider </w:t>
      </w:r>
      <w:r w:rsidR="0093017A">
        <w:rPr>
          <w:rFonts w:eastAsia="Calibri" w:cs="Times New Roman"/>
          <w:szCs w:val="24"/>
        </w:rPr>
        <w:t xml:space="preserve">that statement or information </w:t>
      </w:r>
      <w:r w:rsidRPr="00DB5785">
        <w:rPr>
          <w:rFonts w:eastAsia="Calibri" w:cs="Times New Roman"/>
          <w:szCs w:val="24"/>
        </w:rPr>
        <w:t xml:space="preserve">important </w:t>
      </w:r>
      <w:r w:rsidR="00E71626">
        <w:rPr>
          <w:rFonts w:eastAsia="Calibri" w:cs="Times New Roman"/>
          <w:szCs w:val="24"/>
        </w:rPr>
        <w:t>when</w:t>
      </w:r>
      <w:r w:rsidRPr="00DB5785">
        <w:rPr>
          <w:rFonts w:eastAsia="Calibri" w:cs="Times New Roman"/>
          <w:szCs w:val="24"/>
        </w:rPr>
        <w:t xml:space="preserve"> </w:t>
      </w:r>
      <w:r w:rsidR="00E71626">
        <w:rPr>
          <w:rFonts w:eastAsia="Calibri" w:cs="Times New Roman"/>
          <w:szCs w:val="24"/>
        </w:rPr>
        <w:t xml:space="preserve">making </w:t>
      </w:r>
      <w:r w:rsidRPr="00DB5785">
        <w:rPr>
          <w:rFonts w:eastAsia="Calibri" w:cs="Times New Roman"/>
          <w:szCs w:val="24"/>
        </w:rPr>
        <w:t>an investment decision</w:t>
      </w:r>
      <w:bookmarkEnd w:id="12"/>
      <w:r w:rsidR="00132BCD">
        <w:rPr>
          <w:rFonts w:eastAsia="Calibri" w:cs="Times New Roman"/>
          <w:szCs w:val="24"/>
        </w:rPr>
        <w:t>.</w:t>
      </w:r>
      <w:r w:rsidR="00E564C0">
        <w:rPr>
          <w:rFonts w:eastAsia="Calibri" w:cs="Times New Roman"/>
          <w:szCs w:val="24"/>
        </w:rPr>
        <w:t xml:space="preserve"> </w:t>
      </w:r>
      <w:r w:rsidR="00E71626">
        <w:rPr>
          <w:rFonts w:eastAsia="Calibri" w:cs="Times New Roman"/>
          <w:szCs w:val="24"/>
        </w:rPr>
        <w:t xml:space="preserve">Unlike </w:t>
      </w:r>
      <w:r w:rsidR="00616D99">
        <w:rPr>
          <w:rFonts w:eastAsia="Calibri" w:cs="Times New Roman"/>
          <w:szCs w:val="24"/>
        </w:rPr>
        <w:t xml:space="preserve">other securities law </w:t>
      </w:r>
      <w:r w:rsidR="00E71626">
        <w:rPr>
          <w:rFonts w:eastAsia="Calibri" w:cs="Times New Roman"/>
          <w:szCs w:val="24"/>
        </w:rPr>
        <w:t xml:space="preserve">prohibitions against making a </w:t>
      </w:r>
      <w:r w:rsidR="003476CC">
        <w:rPr>
          <w:rFonts w:eastAsia="Calibri" w:cs="Times New Roman"/>
          <w:szCs w:val="24"/>
        </w:rPr>
        <w:t>mis</w:t>
      </w:r>
      <w:r w:rsidR="00E71626">
        <w:rPr>
          <w:rFonts w:eastAsia="Calibri" w:cs="Times New Roman"/>
          <w:szCs w:val="24"/>
        </w:rPr>
        <w:t>representation</w:t>
      </w:r>
      <w:r w:rsidR="003476CC">
        <w:rPr>
          <w:rFonts w:eastAsia="Calibri" w:cs="Times New Roman"/>
          <w:szCs w:val="24"/>
        </w:rPr>
        <w:t>, this prohibition does not require</w:t>
      </w:r>
      <w:r w:rsidR="00D95F33">
        <w:rPr>
          <w:rFonts w:eastAsia="Calibri" w:cs="Times New Roman"/>
          <w:szCs w:val="24"/>
        </w:rPr>
        <w:t xml:space="preserve"> that the statement o</w:t>
      </w:r>
      <w:r w:rsidR="005B2BF6">
        <w:rPr>
          <w:rFonts w:eastAsia="Calibri" w:cs="Times New Roman"/>
          <w:szCs w:val="24"/>
        </w:rPr>
        <w:t xml:space="preserve">r the </w:t>
      </w:r>
      <w:r w:rsidR="00D95F33">
        <w:rPr>
          <w:rFonts w:eastAsia="Calibri" w:cs="Times New Roman"/>
          <w:szCs w:val="24"/>
        </w:rPr>
        <w:t>information</w:t>
      </w:r>
      <w:r w:rsidR="004B68FD">
        <w:rPr>
          <w:rFonts w:eastAsia="Calibri" w:cs="Times New Roman"/>
          <w:szCs w:val="24"/>
        </w:rPr>
        <w:t>:</w:t>
      </w:r>
    </w:p>
    <w:p w14:paraId="7434D955" w14:textId="77777777" w:rsidR="00020D1D" w:rsidRDefault="00020D1D" w:rsidP="00020D1D">
      <w:pPr>
        <w:tabs>
          <w:tab w:val="left" w:pos="432"/>
          <w:tab w:val="left" w:pos="4320"/>
        </w:tabs>
        <w:spacing w:before="0" w:after="0"/>
        <w:rPr>
          <w:rFonts w:eastAsia="Calibri" w:cs="Times New Roman"/>
          <w:szCs w:val="24"/>
        </w:rPr>
      </w:pPr>
    </w:p>
    <w:p w14:paraId="27544CF2" w14:textId="77777777" w:rsidR="004B68FD" w:rsidRPr="00DF520B" w:rsidRDefault="00A3059E" w:rsidP="00020D1D">
      <w:pPr>
        <w:pStyle w:val="ListParagraph"/>
        <w:numPr>
          <w:ilvl w:val="0"/>
          <w:numId w:val="32"/>
        </w:numPr>
        <w:tabs>
          <w:tab w:val="left" w:pos="432"/>
          <w:tab w:val="left" w:pos="4320"/>
        </w:tabs>
        <w:spacing w:before="0" w:after="0"/>
        <w:rPr>
          <w:rFonts w:eastAsia="Calibri" w:cs="Times New Roman"/>
          <w:szCs w:val="24"/>
        </w:rPr>
      </w:pPr>
      <w:r w:rsidRPr="0090126F">
        <w:rPr>
          <w:rFonts w:eastAsia="Calibri" w:cs="Times New Roman"/>
          <w:szCs w:val="24"/>
        </w:rPr>
        <w:t xml:space="preserve">be </w:t>
      </w:r>
      <w:r w:rsidR="00AB2050" w:rsidRPr="0090126F">
        <w:rPr>
          <w:rFonts w:eastAsia="Calibri" w:cs="Times New Roman"/>
          <w:szCs w:val="24"/>
        </w:rPr>
        <w:t>materially misleading or untrue</w:t>
      </w:r>
      <w:r w:rsidR="004B68FD" w:rsidRPr="0090126F">
        <w:rPr>
          <w:rFonts w:eastAsia="Calibri" w:cs="Times New Roman"/>
          <w:szCs w:val="24"/>
        </w:rPr>
        <w:t>;</w:t>
      </w:r>
      <w:r w:rsidR="00AB2050" w:rsidRPr="0090126F">
        <w:rPr>
          <w:rFonts w:eastAsia="Calibri" w:cs="Times New Roman"/>
          <w:szCs w:val="24"/>
        </w:rPr>
        <w:t xml:space="preserve"> </w:t>
      </w:r>
    </w:p>
    <w:p w14:paraId="6818A598" w14:textId="3D558E15" w:rsidR="00447C8D" w:rsidRPr="00020D1D" w:rsidRDefault="004B68FD" w:rsidP="00020D1D">
      <w:pPr>
        <w:pStyle w:val="ListParagraph"/>
        <w:numPr>
          <w:ilvl w:val="0"/>
          <w:numId w:val="32"/>
        </w:numPr>
        <w:tabs>
          <w:tab w:val="left" w:pos="432"/>
          <w:tab w:val="left" w:pos="4320"/>
        </w:tabs>
        <w:spacing w:before="0" w:after="0"/>
        <w:rPr>
          <w:rFonts w:eastAsia="Calibri" w:cs="Times New Roman"/>
          <w:b/>
          <w:szCs w:val="24"/>
        </w:rPr>
      </w:pPr>
      <w:r>
        <w:rPr>
          <w:rFonts w:eastAsia="Calibri" w:cs="Times New Roman"/>
          <w:szCs w:val="24"/>
        </w:rPr>
        <w:t xml:space="preserve">be </w:t>
      </w:r>
      <w:r w:rsidR="00A3059E" w:rsidRPr="0090126F">
        <w:rPr>
          <w:rFonts w:eastAsia="Calibri" w:cs="Times New Roman"/>
          <w:szCs w:val="24"/>
        </w:rPr>
        <w:t>reasonably expected to have</w:t>
      </w:r>
      <w:r w:rsidR="00447C8D" w:rsidRPr="0090126F">
        <w:rPr>
          <w:rFonts w:eastAsia="Calibri" w:cs="Times New Roman"/>
          <w:szCs w:val="24"/>
        </w:rPr>
        <w:t xml:space="preserve"> </w:t>
      </w:r>
      <w:r w:rsidR="000C1B8A">
        <w:rPr>
          <w:rFonts w:eastAsia="Calibri" w:cs="Times New Roman"/>
          <w:szCs w:val="24"/>
        </w:rPr>
        <w:t xml:space="preserve">a significant </w:t>
      </w:r>
      <w:r w:rsidR="00447C8D" w:rsidRPr="0090126F">
        <w:rPr>
          <w:rFonts w:eastAsia="Calibri" w:cs="Times New Roman"/>
          <w:szCs w:val="24"/>
        </w:rPr>
        <w:t>effect on the market price</w:t>
      </w:r>
      <w:r w:rsidR="00042EA0" w:rsidRPr="0090126F">
        <w:rPr>
          <w:rFonts w:eastAsia="Calibri" w:cs="Times New Roman"/>
          <w:szCs w:val="24"/>
        </w:rPr>
        <w:t xml:space="preserve"> or value of a security</w:t>
      </w:r>
      <w:r w:rsidR="00447C8D" w:rsidRPr="0090126F">
        <w:rPr>
          <w:rFonts w:eastAsia="Calibri" w:cs="Times New Roman"/>
          <w:szCs w:val="24"/>
        </w:rPr>
        <w:t>.</w:t>
      </w:r>
      <w:r w:rsidR="00447C8D">
        <w:rPr>
          <w:rStyle w:val="FootnoteReference"/>
          <w:rFonts w:eastAsia="Calibri" w:cs="Times New Roman"/>
          <w:szCs w:val="24"/>
        </w:rPr>
        <w:footnoteReference w:id="98"/>
      </w:r>
      <w:r w:rsidR="00447C8D" w:rsidRPr="0090126F">
        <w:rPr>
          <w:rFonts w:eastAsia="Calibri" w:cs="Times New Roman"/>
          <w:szCs w:val="24"/>
        </w:rPr>
        <w:t xml:space="preserve">  </w:t>
      </w:r>
    </w:p>
    <w:p w14:paraId="16388FC7" w14:textId="77777777" w:rsidR="00020D1D" w:rsidRPr="0090126F" w:rsidRDefault="00020D1D" w:rsidP="00020D1D">
      <w:pPr>
        <w:pStyle w:val="ListParagraph"/>
        <w:tabs>
          <w:tab w:val="left" w:pos="432"/>
          <w:tab w:val="left" w:pos="4320"/>
        </w:tabs>
        <w:spacing w:before="0" w:after="0"/>
        <w:ind w:left="785"/>
        <w:rPr>
          <w:rFonts w:eastAsia="Calibri" w:cs="Times New Roman"/>
          <w:b/>
          <w:szCs w:val="24"/>
        </w:rPr>
      </w:pPr>
    </w:p>
    <w:p w14:paraId="1495B594" w14:textId="2F1394C1" w:rsidR="00447C8D" w:rsidRDefault="00447C8D" w:rsidP="00020D1D">
      <w:pPr>
        <w:tabs>
          <w:tab w:val="left" w:pos="432"/>
          <w:tab w:val="left" w:pos="4320"/>
        </w:tabs>
        <w:spacing w:before="0" w:after="0"/>
        <w:rPr>
          <w:rFonts w:eastAsia="Calibri" w:cs="Times New Roman"/>
        </w:rPr>
      </w:pPr>
      <w:r w:rsidRPr="2E96ABE4">
        <w:rPr>
          <w:rFonts w:eastAsia="Calibri" w:cs="Times New Roman"/>
        </w:rPr>
        <w:t>Canadian securities legislation also contains fraud and market manipulation prohibitions</w:t>
      </w:r>
      <w:r w:rsidRPr="2E96ABE4">
        <w:rPr>
          <w:rFonts w:eastAsia="Calibri" w:cs="Times New Roman"/>
          <w:vertAlign w:val="superscript"/>
        </w:rPr>
        <w:footnoteReference w:id="99"/>
      </w:r>
      <w:r w:rsidRPr="2E96ABE4">
        <w:rPr>
          <w:rFonts w:eastAsia="Calibri" w:cs="Times New Roman"/>
        </w:rPr>
        <w:t xml:space="preserve"> that could, in appropriate circumstances, be used to address misconduct by activist short sellers. </w:t>
      </w:r>
      <w:r w:rsidR="00E30416" w:rsidRPr="2E96ABE4">
        <w:rPr>
          <w:rFonts w:eastAsia="Calibri" w:cs="Times New Roman"/>
        </w:rPr>
        <w:t xml:space="preserve"> </w:t>
      </w:r>
      <w:r w:rsidRPr="2E96ABE4">
        <w:rPr>
          <w:rFonts w:eastAsia="Calibri" w:cs="Times New Roman"/>
        </w:rPr>
        <w:t>In general, these provisions prohibit persons from directly or indirectly engaging in acts relating to securities</w:t>
      </w:r>
      <w:r w:rsidR="00D45E78" w:rsidRPr="2E96ABE4">
        <w:rPr>
          <w:rFonts w:eastAsia="Calibri" w:cs="Times New Roman"/>
        </w:rPr>
        <w:t>, and in some cases derivatives,</w:t>
      </w:r>
      <w:r w:rsidR="00924E20" w:rsidRPr="2E96ABE4">
        <w:rPr>
          <w:rStyle w:val="FootnoteReference"/>
          <w:rFonts w:eastAsia="Calibri" w:cs="Times New Roman"/>
        </w:rPr>
        <w:footnoteReference w:id="100"/>
      </w:r>
      <w:r w:rsidRPr="2E96ABE4">
        <w:rPr>
          <w:rFonts w:eastAsia="Calibri" w:cs="Times New Roman"/>
        </w:rPr>
        <w:t xml:space="preserve"> that:</w:t>
      </w:r>
    </w:p>
    <w:p w14:paraId="1D3E77F9" w14:textId="77777777" w:rsidR="00020D1D" w:rsidRPr="002C7102" w:rsidRDefault="00020D1D" w:rsidP="00020D1D">
      <w:pPr>
        <w:tabs>
          <w:tab w:val="left" w:pos="432"/>
          <w:tab w:val="left" w:pos="4320"/>
        </w:tabs>
        <w:spacing w:before="0" w:after="0"/>
        <w:rPr>
          <w:rFonts w:eastAsia="Calibri" w:cs="Times New Roman"/>
        </w:rPr>
      </w:pPr>
    </w:p>
    <w:p w14:paraId="4E639DD2" w14:textId="77777777" w:rsidR="002F2671" w:rsidRDefault="00447C8D" w:rsidP="000902F5">
      <w:pPr>
        <w:numPr>
          <w:ilvl w:val="0"/>
          <w:numId w:val="8"/>
        </w:numPr>
        <w:spacing w:after="160"/>
        <w:contextualSpacing/>
        <w:rPr>
          <w:rFonts w:cs="Times New Roman"/>
          <w:szCs w:val="24"/>
        </w:rPr>
      </w:pPr>
      <w:r w:rsidRPr="002C7102">
        <w:rPr>
          <w:rFonts w:cs="Times New Roman"/>
          <w:szCs w:val="24"/>
        </w:rPr>
        <w:t xml:space="preserve">the person knows (or reasonably ought to know), results in or contributes to a misleading appearance of trading activity or an artificial price for a security, or </w:t>
      </w:r>
    </w:p>
    <w:p w14:paraId="5EAA5DD3" w14:textId="634E82AB" w:rsidR="00C26FBB" w:rsidRPr="00020D1D" w:rsidRDefault="00447C8D" w:rsidP="00020D1D">
      <w:pPr>
        <w:numPr>
          <w:ilvl w:val="0"/>
          <w:numId w:val="8"/>
        </w:numPr>
        <w:spacing w:before="0" w:after="0"/>
        <w:contextualSpacing/>
        <w:rPr>
          <w:rFonts w:cs="Times New Roman"/>
          <w:szCs w:val="24"/>
        </w:rPr>
      </w:pPr>
      <w:r w:rsidRPr="002F2671">
        <w:rPr>
          <w:rFonts w:cs="Times New Roman"/>
          <w:szCs w:val="24"/>
        </w:rPr>
        <w:t>perpetrates a fraud on any person or company.</w:t>
      </w:r>
      <w:r w:rsidRPr="002C7102">
        <w:rPr>
          <w:rFonts w:cs="Times New Roman"/>
          <w:szCs w:val="24"/>
          <w:vertAlign w:val="superscript"/>
        </w:rPr>
        <w:footnoteReference w:id="101"/>
      </w:r>
      <w:r w:rsidR="002F2671" w:rsidRPr="002F2671">
        <w:rPr>
          <w:rFonts w:eastAsia="Calibri" w:cs="Times New Roman"/>
          <w:szCs w:val="24"/>
        </w:rPr>
        <w:t xml:space="preserve"> </w:t>
      </w:r>
    </w:p>
    <w:p w14:paraId="55F7CCE9" w14:textId="77777777" w:rsidR="00020D1D" w:rsidRPr="00A143CB" w:rsidRDefault="00020D1D" w:rsidP="00020D1D">
      <w:pPr>
        <w:spacing w:before="0" w:after="0"/>
        <w:ind w:left="720"/>
        <w:contextualSpacing/>
        <w:rPr>
          <w:rFonts w:cs="Times New Roman"/>
          <w:szCs w:val="24"/>
        </w:rPr>
      </w:pPr>
    </w:p>
    <w:p w14:paraId="48DE4E01" w14:textId="4CADEC07" w:rsidR="00DB718D" w:rsidRDefault="002F2671" w:rsidP="00020D1D">
      <w:pPr>
        <w:pStyle w:val="CommentText"/>
        <w:spacing w:before="0" w:after="0"/>
        <w:rPr>
          <w:rFonts w:eastAsia="Calibri" w:cs="Times New Roman"/>
          <w:szCs w:val="24"/>
        </w:rPr>
      </w:pPr>
      <w:r w:rsidRPr="00D00F27">
        <w:rPr>
          <w:sz w:val="24"/>
        </w:rPr>
        <w:t xml:space="preserve">In </w:t>
      </w:r>
      <w:r w:rsidR="00F024E2" w:rsidRPr="00D00F27">
        <w:rPr>
          <w:sz w:val="24"/>
        </w:rPr>
        <w:t>Québec</w:t>
      </w:r>
      <w:r w:rsidRPr="00D00F27">
        <w:rPr>
          <w:sz w:val="24"/>
        </w:rPr>
        <w:t>, it is also an offence to influenc</w:t>
      </w:r>
      <w:r w:rsidR="009B7494" w:rsidRPr="00D00F27">
        <w:rPr>
          <w:sz w:val="24"/>
        </w:rPr>
        <w:t>e</w:t>
      </w:r>
      <w:r w:rsidRPr="00D00F27">
        <w:rPr>
          <w:sz w:val="24"/>
        </w:rPr>
        <w:t xml:space="preserve"> or attempt to influence the market price or the value of securities by means of unfair, improper or fraudulent practices</w:t>
      </w:r>
      <w:r w:rsidRPr="004C35C9">
        <w:rPr>
          <w:rFonts w:eastAsia="Calibri" w:cs="Times New Roman"/>
          <w:szCs w:val="24"/>
        </w:rPr>
        <w:t>.</w:t>
      </w:r>
      <w:r w:rsidR="009B7494" w:rsidRPr="004C35C9">
        <w:rPr>
          <w:rStyle w:val="FootnoteReference"/>
          <w:rFonts w:eastAsia="Calibri" w:cs="Times New Roman"/>
          <w:szCs w:val="24"/>
        </w:rPr>
        <w:footnoteReference w:id="102"/>
      </w:r>
    </w:p>
    <w:p w14:paraId="4744B57D" w14:textId="77777777" w:rsidR="00020D1D" w:rsidRPr="00D00F27" w:rsidRDefault="00020D1D" w:rsidP="00020D1D">
      <w:pPr>
        <w:pStyle w:val="CommentText"/>
        <w:spacing w:before="0" w:after="0"/>
      </w:pPr>
    </w:p>
    <w:p w14:paraId="13635ADA" w14:textId="677A915A" w:rsidR="00447C8D" w:rsidRDefault="00DB718D" w:rsidP="00020D1D">
      <w:pPr>
        <w:pStyle w:val="SUB-SECTION"/>
        <w:spacing w:before="0" w:after="0"/>
        <w:jc w:val="left"/>
      </w:pPr>
      <w:r w:rsidRPr="00DB718D">
        <w:t>Remedies</w:t>
      </w:r>
    </w:p>
    <w:p w14:paraId="642707A7" w14:textId="77777777" w:rsidR="00BC37D8" w:rsidRPr="00DB718D" w:rsidRDefault="00BC37D8" w:rsidP="00BC37D8">
      <w:pPr>
        <w:pStyle w:val="SUB-SECTION"/>
        <w:numPr>
          <w:ilvl w:val="0"/>
          <w:numId w:val="0"/>
        </w:numPr>
        <w:spacing w:before="0" w:after="0"/>
        <w:ind w:left="1440"/>
        <w:jc w:val="left"/>
      </w:pPr>
    </w:p>
    <w:p w14:paraId="65A1128B" w14:textId="5DF5B04E" w:rsidR="00211DBD" w:rsidRDefault="00211DBD" w:rsidP="00020D1D">
      <w:pPr>
        <w:spacing w:before="0" w:after="0"/>
        <w:rPr>
          <w:rFonts w:eastAsia="Calibri" w:cs="Times New Roman"/>
          <w:szCs w:val="24"/>
        </w:rPr>
      </w:pPr>
      <w:r>
        <w:rPr>
          <w:rFonts w:eastAsia="Calibri" w:cs="Times New Roman"/>
          <w:szCs w:val="24"/>
        </w:rPr>
        <w:t xml:space="preserve">In Canada, </w:t>
      </w:r>
      <w:r w:rsidR="00A01731">
        <w:rPr>
          <w:rFonts w:eastAsia="Calibri" w:cs="Times New Roman"/>
          <w:szCs w:val="24"/>
        </w:rPr>
        <w:t>there is no mechanism under securities law</w:t>
      </w:r>
      <w:r w:rsidR="00B87CBF">
        <w:rPr>
          <w:rFonts w:eastAsia="Calibri" w:cs="Times New Roman"/>
          <w:szCs w:val="24"/>
        </w:rPr>
        <w:t xml:space="preserve"> for issuers or investors</w:t>
      </w:r>
      <w:r w:rsidR="00A01731">
        <w:rPr>
          <w:rFonts w:eastAsia="Calibri" w:cs="Times New Roman"/>
          <w:szCs w:val="24"/>
        </w:rPr>
        <w:t xml:space="preserve"> to seek damages against activist short sellers for statements </w:t>
      </w:r>
      <w:r w:rsidR="00346CF4">
        <w:rPr>
          <w:rFonts w:eastAsia="Calibri" w:cs="Times New Roman"/>
          <w:szCs w:val="24"/>
        </w:rPr>
        <w:t>made</w:t>
      </w:r>
      <w:r w:rsidR="00A01731">
        <w:rPr>
          <w:rFonts w:eastAsia="Calibri" w:cs="Times New Roman"/>
          <w:szCs w:val="24"/>
        </w:rPr>
        <w:t xml:space="preserve"> in the context of campaigns</w:t>
      </w:r>
      <w:r>
        <w:rPr>
          <w:rFonts w:eastAsia="Calibri" w:cs="Times New Roman"/>
          <w:szCs w:val="24"/>
        </w:rPr>
        <w:t>.</w:t>
      </w:r>
      <w:r w:rsidR="00B87CBF">
        <w:rPr>
          <w:rStyle w:val="FootnoteReference"/>
          <w:rFonts w:eastAsia="Calibri" w:cs="Times New Roman"/>
          <w:szCs w:val="24"/>
        </w:rPr>
        <w:footnoteReference w:id="103"/>
      </w:r>
      <w:r>
        <w:rPr>
          <w:rFonts w:eastAsia="Calibri" w:cs="Times New Roman"/>
          <w:szCs w:val="24"/>
        </w:rPr>
        <w:t xml:space="preserve">  </w:t>
      </w:r>
      <w:r w:rsidR="00945060">
        <w:rPr>
          <w:rFonts w:eastAsia="Calibri" w:cs="Times New Roman"/>
          <w:szCs w:val="24"/>
        </w:rPr>
        <w:t>Some</w:t>
      </w:r>
      <w:r w:rsidR="00A01731">
        <w:rPr>
          <w:rFonts w:eastAsia="Calibri" w:cs="Times New Roman"/>
          <w:szCs w:val="24"/>
        </w:rPr>
        <w:t xml:space="preserve"> jurisdictions like </w:t>
      </w:r>
      <w:r w:rsidR="00B15C83">
        <w:rPr>
          <w:rFonts w:eastAsia="Calibri" w:cs="Times New Roman"/>
          <w:szCs w:val="24"/>
        </w:rPr>
        <w:t xml:space="preserve">Australia </w:t>
      </w:r>
      <w:r w:rsidR="00A01731">
        <w:rPr>
          <w:rFonts w:eastAsia="Calibri" w:cs="Times New Roman"/>
          <w:szCs w:val="24"/>
        </w:rPr>
        <w:t>have provisions under their</w:t>
      </w:r>
      <w:r w:rsidRPr="00211DBD">
        <w:rPr>
          <w:rFonts w:eastAsia="Calibri" w:cs="Times New Roman"/>
          <w:szCs w:val="24"/>
        </w:rPr>
        <w:t xml:space="preserve"> </w:t>
      </w:r>
      <w:r w:rsidR="00B15C83">
        <w:rPr>
          <w:rFonts w:eastAsia="Calibri" w:cs="Times New Roman"/>
          <w:szCs w:val="24"/>
        </w:rPr>
        <w:t xml:space="preserve">corporate or securities legislation </w:t>
      </w:r>
      <w:r w:rsidR="00A01731">
        <w:rPr>
          <w:rFonts w:eastAsia="Calibri" w:cs="Times New Roman"/>
          <w:szCs w:val="24"/>
        </w:rPr>
        <w:t xml:space="preserve">which provide a private right of action for certain </w:t>
      </w:r>
      <w:r w:rsidRPr="00211DBD">
        <w:rPr>
          <w:rFonts w:eastAsia="Calibri" w:cs="Times New Roman"/>
          <w:szCs w:val="24"/>
        </w:rPr>
        <w:t>contravention</w:t>
      </w:r>
      <w:r w:rsidR="00A01731">
        <w:rPr>
          <w:rFonts w:eastAsia="Calibri" w:cs="Times New Roman"/>
          <w:szCs w:val="24"/>
        </w:rPr>
        <w:t>s, including</w:t>
      </w:r>
      <w:r w:rsidRPr="00211DBD">
        <w:rPr>
          <w:rFonts w:eastAsia="Calibri" w:cs="Times New Roman"/>
          <w:szCs w:val="24"/>
        </w:rPr>
        <w:t xml:space="preserve"> prohibitions</w:t>
      </w:r>
      <w:r w:rsidR="00A01731">
        <w:rPr>
          <w:rFonts w:eastAsia="Calibri" w:cs="Times New Roman"/>
          <w:szCs w:val="24"/>
        </w:rPr>
        <w:t xml:space="preserve"> on</w:t>
      </w:r>
      <w:r w:rsidRPr="00211DBD">
        <w:rPr>
          <w:rFonts w:eastAsia="Calibri" w:cs="Times New Roman"/>
          <w:szCs w:val="24"/>
        </w:rPr>
        <w:t xml:space="preserve"> </w:t>
      </w:r>
      <w:r w:rsidR="003E0F92">
        <w:rPr>
          <w:rFonts w:eastAsia="Calibri" w:cs="Times New Roman"/>
          <w:szCs w:val="24"/>
        </w:rPr>
        <w:t xml:space="preserve">the </w:t>
      </w:r>
      <w:r w:rsidRPr="00211DBD">
        <w:rPr>
          <w:rFonts w:eastAsia="Calibri" w:cs="Times New Roman"/>
          <w:szCs w:val="24"/>
        </w:rPr>
        <w:t>making or dissemination of false or misleading information and statements by any person</w:t>
      </w:r>
      <w:r w:rsidR="003E0F92">
        <w:rPr>
          <w:rFonts w:eastAsia="Calibri" w:cs="Times New Roman"/>
          <w:szCs w:val="24"/>
        </w:rPr>
        <w:t xml:space="preserve">, which </w:t>
      </w:r>
      <w:r w:rsidR="00137D7D">
        <w:rPr>
          <w:rFonts w:eastAsia="Calibri" w:cs="Times New Roman"/>
          <w:szCs w:val="24"/>
        </w:rPr>
        <w:t>c</w:t>
      </w:r>
      <w:r w:rsidRPr="00211DBD">
        <w:rPr>
          <w:rFonts w:eastAsia="Calibri" w:cs="Times New Roman"/>
          <w:szCs w:val="24"/>
        </w:rPr>
        <w:t xml:space="preserve">ould capture </w:t>
      </w:r>
      <w:r w:rsidR="00C64A7C">
        <w:rPr>
          <w:rFonts w:eastAsia="Calibri" w:cs="Times New Roman"/>
          <w:szCs w:val="24"/>
        </w:rPr>
        <w:t xml:space="preserve">activist </w:t>
      </w:r>
      <w:r w:rsidRPr="00211DBD">
        <w:rPr>
          <w:rFonts w:eastAsia="Calibri" w:cs="Times New Roman"/>
          <w:szCs w:val="24"/>
        </w:rPr>
        <w:t>short selling activity</w:t>
      </w:r>
      <w:r w:rsidR="00416A22">
        <w:rPr>
          <w:rFonts w:eastAsia="Calibri" w:cs="Times New Roman"/>
          <w:szCs w:val="24"/>
        </w:rPr>
        <w:t>.</w:t>
      </w:r>
      <w:r w:rsidR="00B87CBF">
        <w:rPr>
          <w:rStyle w:val="FootnoteReference"/>
          <w:rFonts w:eastAsia="Calibri" w:cs="Times New Roman"/>
          <w:szCs w:val="24"/>
        </w:rPr>
        <w:footnoteReference w:id="104"/>
      </w:r>
      <w:r w:rsidR="00A01731">
        <w:rPr>
          <w:rFonts w:eastAsia="Calibri" w:cs="Times New Roman"/>
          <w:szCs w:val="24"/>
        </w:rPr>
        <w:t xml:space="preserve">  </w:t>
      </w:r>
    </w:p>
    <w:p w14:paraId="35798F4E" w14:textId="77777777" w:rsidR="00020D1D" w:rsidRDefault="00020D1D" w:rsidP="00020D1D">
      <w:pPr>
        <w:spacing w:before="0" w:after="0"/>
        <w:rPr>
          <w:rFonts w:eastAsia="Calibri" w:cs="Times New Roman"/>
          <w:szCs w:val="24"/>
        </w:rPr>
      </w:pPr>
    </w:p>
    <w:p w14:paraId="6F5144EC" w14:textId="6E372DE1" w:rsidR="00524253" w:rsidRDefault="00A01731" w:rsidP="00020D1D">
      <w:pPr>
        <w:spacing w:before="0" w:after="0"/>
        <w:rPr>
          <w:rFonts w:eastAsia="Calibri" w:cs="Times New Roman"/>
          <w:szCs w:val="24"/>
        </w:rPr>
      </w:pPr>
      <w:r>
        <w:rPr>
          <w:rFonts w:eastAsia="Calibri" w:cs="Times New Roman"/>
          <w:szCs w:val="24"/>
        </w:rPr>
        <w:lastRenderedPageBreak/>
        <w:t>Apart from statutory remedies</w:t>
      </w:r>
      <w:r w:rsidR="00B92B20">
        <w:rPr>
          <w:rFonts w:eastAsia="Calibri" w:cs="Times New Roman"/>
          <w:szCs w:val="24"/>
        </w:rPr>
        <w:t xml:space="preserve"> under securities law</w:t>
      </w:r>
      <w:r>
        <w:rPr>
          <w:rFonts w:eastAsia="Calibri" w:cs="Times New Roman"/>
          <w:szCs w:val="24"/>
        </w:rPr>
        <w:t xml:space="preserve">, </w:t>
      </w:r>
      <w:r w:rsidR="00EB3786">
        <w:rPr>
          <w:rFonts w:eastAsia="Calibri" w:cs="Times New Roman"/>
          <w:szCs w:val="24"/>
        </w:rPr>
        <w:t xml:space="preserve">there </w:t>
      </w:r>
      <w:r w:rsidR="00B87CBF">
        <w:rPr>
          <w:rFonts w:eastAsia="Calibri" w:cs="Times New Roman"/>
          <w:szCs w:val="24"/>
        </w:rPr>
        <w:t>may be common law</w:t>
      </w:r>
      <w:r w:rsidR="00FF5CD0">
        <w:rPr>
          <w:rFonts w:eastAsia="Calibri" w:cs="Times New Roman"/>
          <w:szCs w:val="24"/>
        </w:rPr>
        <w:t xml:space="preserve"> or civil code</w:t>
      </w:r>
      <w:r w:rsidR="00B87CBF">
        <w:rPr>
          <w:rFonts w:eastAsia="Calibri" w:cs="Times New Roman"/>
          <w:szCs w:val="24"/>
        </w:rPr>
        <w:t xml:space="preserve"> remedies </w:t>
      </w:r>
      <w:r w:rsidR="00EB3786">
        <w:rPr>
          <w:rFonts w:eastAsia="Calibri" w:cs="Times New Roman"/>
          <w:szCs w:val="24"/>
        </w:rPr>
        <w:t>available to i</w:t>
      </w:r>
      <w:r w:rsidR="00EB3786" w:rsidRPr="00477F02">
        <w:rPr>
          <w:rFonts w:eastAsia="Calibri" w:cs="Times New Roman"/>
          <w:szCs w:val="24"/>
        </w:rPr>
        <w:t xml:space="preserve">ssuers </w:t>
      </w:r>
      <w:r w:rsidR="00EB3786">
        <w:rPr>
          <w:rFonts w:eastAsia="Calibri" w:cs="Times New Roman"/>
          <w:szCs w:val="24"/>
        </w:rPr>
        <w:t>and/</w:t>
      </w:r>
      <w:r w:rsidR="00EB3786" w:rsidRPr="00477F02">
        <w:rPr>
          <w:rFonts w:eastAsia="Calibri" w:cs="Times New Roman"/>
          <w:szCs w:val="24"/>
        </w:rPr>
        <w:t xml:space="preserve">or investors </w:t>
      </w:r>
      <w:r w:rsidR="00EB3786">
        <w:rPr>
          <w:rFonts w:eastAsia="Calibri" w:cs="Times New Roman"/>
          <w:szCs w:val="24"/>
        </w:rPr>
        <w:t>who wish to commence legal proceedings for damages arising from</w:t>
      </w:r>
      <w:r w:rsidR="00EB3786" w:rsidRPr="00477F02">
        <w:rPr>
          <w:rFonts w:eastAsia="Calibri" w:cs="Times New Roman"/>
          <w:szCs w:val="24"/>
        </w:rPr>
        <w:t xml:space="preserve"> </w:t>
      </w:r>
      <w:r w:rsidR="00EB3786">
        <w:rPr>
          <w:rFonts w:eastAsia="Calibri" w:cs="Times New Roman"/>
          <w:szCs w:val="24"/>
        </w:rPr>
        <w:t xml:space="preserve">allegations of </w:t>
      </w:r>
      <w:r w:rsidR="00EB3786" w:rsidRPr="00477F02">
        <w:rPr>
          <w:rFonts w:eastAsia="Calibri" w:cs="Times New Roman"/>
          <w:szCs w:val="24"/>
        </w:rPr>
        <w:t>problematic</w:t>
      </w:r>
      <w:r w:rsidR="007D6F65">
        <w:rPr>
          <w:rFonts w:eastAsia="Calibri" w:cs="Times New Roman"/>
          <w:szCs w:val="24"/>
        </w:rPr>
        <w:t xml:space="preserve"> conduct by activist</w:t>
      </w:r>
      <w:r w:rsidR="00EB3786" w:rsidRPr="00477F02">
        <w:rPr>
          <w:rFonts w:eastAsia="Calibri" w:cs="Times New Roman"/>
          <w:szCs w:val="24"/>
        </w:rPr>
        <w:t xml:space="preserve"> short sell</w:t>
      </w:r>
      <w:r w:rsidR="007D6F65">
        <w:rPr>
          <w:rFonts w:eastAsia="Calibri" w:cs="Times New Roman"/>
          <w:szCs w:val="24"/>
        </w:rPr>
        <w:t>ers</w:t>
      </w:r>
      <w:r w:rsidR="00C84838">
        <w:rPr>
          <w:rFonts w:eastAsia="Calibri" w:cs="Times New Roman"/>
          <w:szCs w:val="24"/>
        </w:rPr>
        <w:t xml:space="preserve">.  </w:t>
      </w:r>
      <w:r w:rsidR="00FE2378">
        <w:rPr>
          <w:rFonts w:eastAsia="Calibri" w:cs="Times New Roman"/>
          <w:szCs w:val="24"/>
        </w:rPr>
        <w:t>T</w:t>
      </w:r>
      <w:r w:rsidR="008339D1" w:rsidRPr="008339D1">
        <w:rPr>
          <w:rFonts w:eastAsia="Calibri" w:cs="Times New Roman"/>
          <w:szCs w:val="24"/>
        </w:rPr>
        <w:t>here are</w:t>
      </w:r>
      <w:r w:rsidR="00C84838">
        <w:rPr>
          <w:rFonts w:eastAsia="Calibri" w:cs="Times New Roman"/>
          <w:szCs w:val="24"/>
        </w:rPr>
        <w:t>, however,</w:t>
      </w:r>
      <w:r w:rsidR="008339D1" w:rsidRPr="008339D1">
        <w:rPr>
          <w:rFonts w:eastAsia="Calibri" w:cs="Times New Roman"/>
          <w:szCs w:val="24"/>
        </w:rPr>
        <w:t xml:space="preserve"> very few recent Canadian judicial decisions </w:t>
      </w:r>
      <w:r w:rsidR="00DC6878">
        <w:rPr>
          <w:rFonts w:eastAsia="Calibri" w:cs="Times New Roman"/>
          <w:szCs w:val="24"/>
        </w:rPr>
        <w:t>that</w:t>
      </w:r>
      <w:r w:rsidR="00DC6878" w:rsidRPr="008339D1">
        <w:rPr>
          <w:rFonts w:eastAsia="Calibri" w:cs="Times New Roman"/>
          <w:szCs w:val="24"/>
        </w:rPr>
        <w:t xml:space="preserve"> </w:t>
      </w:r>
      <w:r w:rsidR="008339D1" w:rsidRPr="008339D1">
        <w:rPr>
          <w:rFonts w:eastAsia="Calibri" w:cs="Times New Roman"/>
          <w:szCs w:val="24"/>
        </w:rPr>
        <w:t>deal with activist short selling</w:t>
      </w:r>
      <w:r w:rsidR="001B21B1">
        <w:rPr>
          <w:rFonts w:eastAsia="Calibri" w:cs="Times New Roman"/>
          <w:szCs w:val="24"/>
        </w:rPr>
        <w:t>.</w:t>
      </w:r>
      <w:r w:rsidR="00890B01">
        <w:rPr>
          <w:rStyle w:val="FootnoteReference"/>
          <w:rFonts w:eastAsia="Calibri" w:cs="Times New Roman"/>
          <w:szCs w:val="24"/>
        </w:rPr>
        <w:footnoteReference w:id="105"/>
      </w:r>
      <w:r w:rsidR="00EB3786">
        <w:rPr>
          <w:rFonts w:eastAsia="Calibri" w:cs="Times New Roman"/>
          <w:szCs w:val="24"/>
        </w:rPr>
        <w:t xml:space="preserve"> </w:t>
      </w:r>
      <w:r w:rsidR="00C84838">
        <w:rPr>
          <w:rFonts w:eastAsia="Calibri" w:cs="Times New Roman"/>
          <w:szCs w:val="24"/>
        </w:rPr>
        <w:t xml:space="preserve">This may be due to the </w:t>
      </w:r>
      <w:r w:rsidR="00B922B3">
        <w:rPr>
          <w:rFonts w:eastAsia="Calibri" w:cs="Times New Roman"/>
          <w:szCs w:val="24"/>
        </w:rPr>
        <w:t xml:space="preserve">practical and evidentiary challenges </w:t>
      </w:r>
      <w:r w:rsidR="00E374CC">
        <w:rPr>
          <w:rFonts w:eastAsia="Calibri" w:cs="Times New Roman"/>
          <w:szCs w:val="24"/>
        </w:rPr>
        <w:t xml:space="preserve">of </w:t>
      </w:r>
      <w:r w:rsidR="00B922B3">
        <w:rPr>
          <w:rFonts w:eastAsia="Calibri" w:cs="Times New Roman"/>
          <w:szCs w:val="24"/>
        </w:rPr>
        <w:t>civil litigation.</w:t>
      </w:r>
      <w:r w:rsidR="00B922B3">
        <w:rPr>
          <w:rStyle w:val="FootnoteReference"/>
          <w:rFonts w:eastAsia="Calibri" w:cs="Times New Roman"/>
          <w:szCs w:val="24"/>
        </w:rPr>
        <w:footnoteReference w:id="106"/>
      </w:r>
    </w:p>
    <w:p w14:paraId="55E7F118" w14:textId="77777777" w:rsidR="00020D1D" w:rsidRPr="003776F5" w:rsidRDefault="00020D1D" w:rsidP="00020D1D">
      <w:pPr>
        <w:spacing w:before="0" w:after="0"/>
        <w:rPr>
          <w:rFonts w:eastAsia="Calibri" w:cs="Times New Roman"/>
          <w:szCs w:val="24"/>
        </w:rPr>
      </w:pPr>
    </w:p>
    <w:p w14:paraId="1BCDF731" w14:textId="2E99A90E" w:rsidR="002E6B0D" w:rsidRDefault="003776F5" w:rsidP="00020D1D">
      <w:pPr>
        <w:pStyle w:val="SUB-SECTION"/>
        <w:spacing w:before="0" w:after="0"/>
        <w:jc w:val="left"/>
      </w:pPr>
      <w:r>
        <w:t>Analysis and Consultation Questions</w:t>
      </w:r>
    </w:p>
    <w:p w14:paraId="57F74006" w14:textId="77777777" w:rsidR="00BC37D8" w:rsidRPr="002C7102" w:rsidRDefault="00BC37D8" w:rsidP="00BC37D8">
      <w:pPr>
        <w:pStyle w:val="SUB-SECTION"/>
        <w:numPr>
          <w:ilvl w:val="0"/>
          <w:numId w:val="0"/>
        </w:numPr>
        <w:spacing w:before="0" w:after="0"/>
        <w:ind w:left="1440"/>
        <w:jc w:val="left"/>
      </w:pPr>
    </w:p>
    <w:p w14:paraId="4790C42E" w14:textId="7324A756" w:rsidR="00D531BE" w:rsidRDefault="006B6B7E" w:rsidP="00020D1D">
      <w:pPr>
        <w:spacing w:before="0" w:after="0"/>
        <w:rPr>
          <w:rFonts w:cs="Times New Roman"/>
          <w:szCs w:val="24"/>
        </w:rPr>
      </w:pPr>
      <w:r>
        <w:rPr>
          <w:rFonts w:cs="Times New Roman"/>
          <w:szCs w:val="24"/>
        </w:rPr>
        <w:t>There is a concern that l</w:t>
      </w:r>
      <w:r w:rsidR="00D531BE" w:rsidRPr="002C7102">
        <w:rPr>
          <w:rFonts w:cs="Times New Roman"/>
          <w:szCs w:val="24"/>
        </w:rPr>
        <w:t xml:space="preserve">imited regulatory proceedings in Canada arising from the conduct of activist short sellers may contribute to </w:t>
      </w:r>
      <w:r w:rsidR="00555467">
        <w:rPr>
          <w:rFonts w:cs="Times New Roman"/>
          <w:szCs w:val="24"/>
        </w:rPr>
        <w:t>a</w:t>
      </w:r>
      <w:r w:rsidR="00D531BE" w:rsidRPr="002C7102">
        <w:rPr>
          <w:rFonts w:cs="Times New Roman"/>
          <w:szCs w:val="24"/>
        </w:rPr>
        <w:t xml:space="preserve"> perception that current enforcement tools are ineffective in addressing or deterring problematic conduct.</w:t>
      </w:r>
      <w:r w:rsidR="001206D2">
        <w:rPr>
          <w:rStyle w:val="FootnoteReference"/>
          <w:rFonts w:cs="Times New Roman"/>
          <w:szCs w:val="24"/>
        </w:rPr>
        <w:footnoteReference w:id="107"/>
      </w:r>
      <w:r w:rsidR="00D531BE" w:rsidRPr="002C7102">
        <w:rPr>
          <w:rFonts w:cs="Times New Roman"/>
          <w:szCs w:val="24"/>
        </w:rPr>
        <w:t xml:space="preserve"> </w:t>
      </w:r>
      <w:r w:rsidR="00D531BE" w:rsidRPr="00D36B01">
        <w:rPr>
          <w:rFonts w:cs="Times New Roman"/>
          <w:szCs w:val="24"/>
        </w:rPr>
        <w:t>From an enforcement perspective,</w:t>
      </w:r>
      <w:r w:rsidR="004B5313">
        <w:rPr>
          <w:rFonts w:cs="Times New Roman"/>
          <w:szCs w:val="24"/>
        </w:rPr>
        <w:t xml:space="preserve"> securities</w:t>
      </w:r>
      <w:r w:rsidR="00D531BE" w:rsidRPr="00D36B01">
        <w:rPr>
          <w:rFonts w:cs="Times New Roman"/>
          <w:szCs w:val="24"/>
        </w:rPr>
        <w:t xml:space="preserve"> regulators have tools to address activist short seller behavio</w:t>
      </w:r>
      <w:r w:rsidR="00B50DDE" w:rsidRPr="00D36B01">
        <w:rPr>
          <w:rFonts w:cs="Times New Roman"/>
          <w:szCs w:val="24"/>
        </w:rPr>
        <w:t>u</w:t>
      </w:r>
      <w:r w:rsidR="00D531BE" w:rsidRPr="00D36B01">
        <w:rPr>
          <w:rFonts w:cs="Times New Roman"/>
          <w:szCs w:val="24"/>
        </w:rPr>
        <w:t xml:space="preserve">r that constitutes fraud, market manipulation or making a misleading statement to the market.  However, for </w:t>
      </w:r>
      <w:r w:rsidR="00731FC3" w:rsidRPr="00D36B01">
        <w:rPr>
          <w:rFonts w:cs="Times New Roman"/>
          <w:szCs w:val="24"/>
        </w:rPr>
        <w:t xml:space="preserve">many of </w:t>
      </w:r>
      <w:r w:rsidR="00D17290" w:rsidRPr="00D36B01">
        <w:rPr>
          <w:rFonts w:cs="Times New Roman"/>
          <w:szCs w:val="24"/>
        </w:rPr>
        <w:t>the misleading statement</w:t>
      </w:r>
      <w:r w:rsidR="00D531BE" w:rsidRPr="00D36B01">
        <w:rPr>
          <w:rFonts w:cs="Times New Roman"/>
          <w:szCs w:val="24"/>
        </w:rPr>
        <w:t xml:space="preserve"> offences</w:t>
      </w:r>
      <w:r w:rsidR="00731FC3" w:rsidRPr="00D36B01">
        <w:rPr>
          <w:rFonts w:cs="Times New Roman"/>
          <w:szCs w:val="24"/>
        </w:rPr>
        <w:t xml:space="preserve"> under Canadian securities legislation</w:t>
      </w:r>
      <w:r w:rsidR="00D531BE" w:rsidRPr="00D36B01">
        <w:rPr>
          <w:rFonts w:cs="Times New Roman"/>
          <w:szCs w:val="24"/>
        </w:rPr>
        <w:t xml:space="preserve">, evidence of a threshold of unlawful conduct </w:t>
      </w:r>
      <w:r w:rsidR="00D531BE" w:rsidRPr="00D36B01">
        <w:rPr>
          <w:rFonts w:cs="Times New Roman"/>
          <w:i/>
          <w:szCs w:val="24"/>
        </w:rPr>
        <w:t>and</w:t>
      </w:r>
      <w:r w:rsidR="00B50DDE" w:rsidRPr="00D36B01">
        <w:rPr>
          <w:rFonts w:cs="Times New Roman"/>
          <w:i/>
          <w:szCs w:val="24"/>
        </w:rPr>
        <w:t xml:space="preserve"> </w:t>
      </w:r>
      <w:r w:rsidR="00B50DDE" w:rsidRPr="00244089">
        <w:rPr>
          <w:rFonts w:cs="Times New Roman"/>
          <w:szCs w:val="24"/>
        </w:rPr>
        <w:t>materiality</w:t>
      </w:r>
      <w:r w:rsidR="00B50DDE" w:rsidRPr="00244089">
        <w:rPr>
          <w:rFonts w:cs="Times New Roman"/>
          <w:i/>
          <w:iCs/>
          <w:szCs w:val="24"/>
        </w:rPr>
        <w:t xml:space="preserve"> and</w:t>
      </w:r>
      <w:r w:rsidR="00D531BE" w:rsidRPr="00D36B01">
        <w:rPr>
          <w:rFonts w:cs="Times New Roman"/>
          <w:szCs w:val="24"/>
        </w:rPr>
        <w:t xml:space="preserve"> market impact related to </w:t>
      </w:r>
      <w:r w:rsidR="00BF7F4A">
        <w:rPr>
          <w:rFonts w:cs="Times New Roman"/>
          <w:szCs w:val="24"/>
        </w:rPr>
        <w:t xml:space="preserve">a statement </w:t>
      </w:r>
      <w:r w:rsidR="00D531BE" w:rsidRPr="00D36B01">
        <w:rPr>
          <w:rFonts w:cs="Times New Roman"/>
          <w:szCs w:val="24"/>
        </w:rPr>
        <w:t>must be proven.</w:t>
      </w:r>
      <w:r w:rsidR="002B4238" w:rsidRPr="00D36B01">
        <w:rPr>
          <w:rStyle w:val="FootnoteReference"/>
          <w:rFonts w:cs="Times New Roman"/>
          <w:szCs w:val="24"/>
        </w:rPr>
        <w:footnoteReference w:id="108"/>
      </w:r>
      <w:r w:rsidR="00784185">
        <w:rPr>
          <w:rFonts w:cs="Times New Roman"/>
          <w:szCs w:val="24"/>
        </w:rPr>
        <w:t xml:space="preserve"> </w:t>
      </w:r>
      <w:r w:rsidR="00BF7F4A">
        <w:rPr>
          <w:rFonts w:cs="Times New Roman"/>
          <w:szCs w:val="24"/>
        </w:rPr>
        <w:t xml:space="preserve">The use of social media to convey </w:t>
      </w:r>
      <w:r w:rsidR="00BF3DC2">
        <w:rPr>
          <w:rFonts w:cs="Times New Roman"/>
          <w:szCs w:val="24"/>
        </w:rPr>
        <w:t xml:space="preserve">information has also introduced new complexities, including in terms of </w:t>
      </w:r>
      <w:r w:rsidR="005D6443">
        <w:rPr>
          <w:rFonts w:cs="Times New Roman"/>
          <w:szCs w:val="24"/>
        </w:rPr>
        <w:t xml:space="preserve">understanding and </w:t>
      </w:r>
      <w:r w:rsidR="00BF3DC2">
        <w:rPr>
          <w:rFonts w:cs="Times New Roman"/>
          <w:szCs w:val="24"/>
        </w:rPr>
        <w:t>demonstrating market impact</w:t>
      </w:r>
      <w:r w:rsidR="005D6443">
        <w:rPr>
          <w:rFonts w:cs="Times New Roman"/>
          <w:szCs w:val="24"/>
        </w:rPr>
        <w:t xml:space="preserve"> of a particular statement</w:t>
      </w:r>
      <w:r w:rsidR="00BF3DC2">
        <w:rPr>
          <w:rFonts w:cs="Times New Roman"/>
          <w:szCs w:val="24"/>
        </w:rPr>
        <w:t xml:space="preserve">. </w:t>
      </w:r>
    </w:p>
    <w:p w14:paraId="60348A2C" w14:textId="77777777" w:rsidR="00020D1D" w:rsidRDefault="00020D1D" w:rsidP="00020D1D">
      <w:pPr>
        <w:spacing w:before="0" w:after="0"/>
        <w:rPr>
          <w:rFonts w:cs="Times New Roman"/>
          <w:b/>
          <w:szCs w:val="24"/>
        </w:rPr>
      </w:pPr>
    </w:p>
    <w:p w14:paraId="17C2E717" w14:textId="77777777" w:rsidR="000A75C0" w:rsidRDefault="009C6EEA" w:rsidP="00020D1D">
      <w:pPr>
        <w:spacing w:before="0" w:after="0"/>
        <w:rPr>
          <w:rFonts w:eastAsia="Calibri" w:cs="Times New Roman"/>
          <w:szCs w:val="24"/>
        </w:rPr>
      </w:pPr>
      <w:r>
        <w:rPr>
          <w:rFonts w:eastAsia="Calibri" w:cs="Times New Roman"/>
          <w:szCs w:val="24"/>
        </w:rPr>
        <w:t>An additional means of deterrence,</w:t>
      </w:r>
      <w:r w:rsidR="00AA232B">
        <w:rPr>
          <w:rFonts w:eastAsia="Calibri" w:cs="Times New Roman"/>
          <w:szCs w:val="24"/>
        </w:rPr>
        <w:t xml:space="preserve"> statutory</w:t>
      </w:r>
      <w:r>
        <w:rPr>
          <w:rFonts w:eastAsia="Calibri" w:cs="Times New Roman"/>
          <w:szCs w:val="24"/>
        </w:rPr>
        <w:t xml:space="preserve"> civil liability</w:t>
      </w:r>
      <w:r w:rsidR="00F671CC">
        <w:rPr>
          <w:rFonts w:eastAsia="Calibri" w:cs="Times New Roman"/>
          <w:szCs w:val="24"/>
        </w:rPr>
        <w:t xml:space="preserve"> for misrepresentations in the context of a </w:t>
      </w:r>
      <w:r w:rsidR="002A79F4">
        <w:rPr>
          <w:rFonts w:eastAsia="Calibri" w:cs="Times New Roman"/>
          <w:szCs w:val="24"/>
        </w:rPr>
        <w:t>c</w:t>
      </w:r>
      <w:r w:rsidR="00F671CC">
        <w:rPr>
          <w:rFonts w:eastAsia="Calibri" w:cs="Times New Roman"/>
          <w:szCs w:val="24"/>
        </w:rPr>
        <w:t>ampaign</w:t>
      </w:r>
      <w:r w:rsidR="002C3220">
        <w:rPr>
          <w:rFonts w:eastAsia="Calibri" w:cs="Times New Roman"/>
          <w:szCs w:val="24"/>
        </w:rPr>
        <w:t>,</w:t>
      </w:r>
      <w:r>
        <w:rPr>
          <w:rFonts w:eastAsia="Calibri" w:cs="Times New Roman"/>
          <w:szCs w:val="24"/>
        </w:rPr>
        <w:t xml:space="preserve"> does not currently exist in Canada</w:t>
      </w:r>
      <w:r w:rsidR="00AA232B">
        <w:rPr>
          <w:rFonts w:eastAsia="Calibri" w:cs="Times New Roman"/>
          <w:szCs w:val="24"/>
        </w:rPr>
        <w:t xml:space="preserve">.  Initiating </w:t>
      </w:r>
      <w:r>
        <w:rPr>
          <w:rFonts w:eastAsia="Calibri" w:cs="Times New Roman"/>
          <w:szCs w:val="24"/>
        </w:rPr>
        <w:t xml:space="preserve">civil proceedings </w:t>
      </w:r>
      <w:r w:rsidR="00DE1CCD" w:rsidRPr="002C7102">
        <w:rPr>
          <w:rFonts w:eastAsia="Calibri" w:cs="Times New Roman"/>
          <w:szCs w:val="24"/>
        </w:rPr>
        <w:t xml:space="preserve">has </w:t>
      </w:r>
      <w:r w:rsidR="00AA232B">
        <w:rPr>
          <w:rFonts w:eastAsia="Calibri" w:cs="Times New Roman"/>
          <w:szCs w:val="24"/>
        </w:rPr>
        <w:t xml:space="preserve">also </w:t>
      </w:r>
      <w:r w:rsidR="00DE1CCD" w:rsidRPr="002C7102">
        <w:rPr>
          <w:rFonts w:eastAsia="Calibri" w:cs="Times New Roman"/>
          <w:szCs w:val="24"/>
        </w:rPr>
        <w:t>not been widely used</w:t>
      </w:r>
      <w:r w:rsidR="003F2101">
        <w:rPr>
          <w:rFonts w:eastAsia="Calibri" w:cs="Times New Roman"/>
          <w:szCs w:val="24"/>
        </w:rPr>
        <w:t xml:space="preserve"> by issuers or investors in relation to allegations of problematic conduct.</w:t>
      </w:r>
      <w:r w:rsidR="00FD4A99">
        <w:rPr>
          <w:rFonts w:eastAsia="Calibri" w:cs="Times New Roman"/>
          <w:szCs w:val="24"/>
        </w:rPr>
        <w:t xml:space="preserve"> </w:t>
      </w:r>
      <w:r w:rsidR="002811CE">
        <w:rPr>
          <w:rFonts w:eastAsia="Calibri" w:cs="Times New Roman"/>
          <w:szCs w:val="24"/>
        </w:rPr>
        <w:t xml:space="preserve">This may be </w:t>
      </w:r>
      <w:r w:rsidR="00D66DC5">
        <w:rPr>
          <w:rFonts w:eastAsia="Calibri" w:cs="Times New Roman"/>
          <w:szCs w:val="24"/>
        </w:rPr>
        <w:t>due to</w:t>
      </w:r>
      <w:r w:rsidR="002811CE">
        <w:rPr>
          <w:rFonts w:eastAsia="Calibri" w:cs="Times New Roman"/>
          <w:szCs w:val="24"/>
        </w:rPr>
        <w:t xml:space="preserve"> difficulties</w:t>
      </w:r>
      <w:r w:rsidR="00F11338">
        <w:rPr>
          <w:rFonts w:eastAsia="Calibri" w:cs="Times New Roman"/>
          <w:szCs w:val="24"/>
        </w:rPr>
        <w:t xml:space="preserve"> </w:t>
      </w:r>
      <w:r w:rsidR="00DE1CCD" w:rsidRPr="002C7102">
        <w:rPr>
          <w:rFonts w:eastAsia="Calibri" w:cs="Times New Roman"/>
          <w:szCs w:val="24"/>
        </w:rPr>
        <w:t>in the civil litigation process,</w:t>
      </w:r>
      <w:r w:rsidR="00DE1CCD" w:rsidRPr="002C7102">
        <w:rPr>
          <w:rFonts w:eastAsia="Calibri" w:cs="Times New Roman"/>
          <w:szCs w:val="24"/>
          <w:vertAlign w:val="superscript"/>
        </w:rPr>
        <w:footnoteReference w:id="109"/>
      </w:r>
      <w:r w:rsidR="00DE1CCD" w:rsidRPr="002C7102">
        <w:rPr>
          <w:rFonts w:eastAsia="Calibri" w:cs="Times New Roman"/>
          <w:szCs w:val="24"/>
        </w:rPr>
        <w:t xml:space="preserve"> including</w:t>
      </w:r>
      <w:r w:rsidR="00DE1CCD" w:rsidRPr="002C7102">
        <w:rPr>
          <w:rFonts w:eastAsia="Calibri" w:cs="Times New Roman"/>
          <w:szCs w:val="24"/>
          <w:vertAlign w:val="superscript"/>
        </w:rPr>
        <w:t xml:space="preserve"> </w:t>
      </w:r>
      <w:r w:rsidR="00DE1CCD" w:rsidRPr="002C7102">
        <w:rPr>
          <w:rFonts w:eastAsia="Calibri" w:cs="Times New Roman"/>
          <w:szCs w:val="24"/>
        </w:rPr>
        <w:t>challenges in pursuing defamation</w:t>
      </w:r>
      <w:r w:rsidR="00F51180">
        <w:rPr>
          <w:rFonts w:eastAsia="Calibri" w:cs="Times New Roman"/>
          <w:szCs w:val="24"/>
        </w:rPr>
        <w:t xml:space="preserve"> and/or libel</w:t>
      </w:r>
      <w:r w:rsidR="00DE1CCD" w:rsidRPr="002C7102">
        <w:rPr>
          <w:rFonts w:eastAsia="Calibri" w:cs="Times New Roman"/>
          <w:szCs w:val="24"/>
        </w:rPr>
        <w:t xml:space="preserve"> claims</w:t>
      </w:r>
      <w:r w:rsidR="00D66DC5">
        <w:rPr>
          <w:rFonts w:eastAsia="Calibri" w:cs="Times New Roman"/>
          <w:szCs w:val="24"/>
        </w:rPr>
        <w:t xml:space="preserve">.  It could also reflect an </w:t>
      </w:r>
      <w:r w:rsidR="00DE1CCD" w:rsidRPr="002C7102">
        <w:rPr>
          <w:rFonts w:eastAsia="Calibri" w:cs="Times New Roman"/>
          <w:szCs w:val="24"/>
        </w:rPr>
        <w:t>issuer’s desire to simply put an end to the issue rather than to prolong it through litigation</w:t>
      </w:r>
      <w:r w:rsidR="001752FA">
        <w:rPr>
          <w:rFonts w:eastAsia="Calibri" w:cs="Times New Roman"/>
          <w:szCs w:val="24"/>
        </w:rPr>
        <w:t>.</w:t>
      </w:r>
      <w:r w:rsidR="00BF285D">
        <w:rPr>
          <w:rFonts w:eastAsia="Calibri" w:cs="Times New Roman"/>
          <w:szCs w:val="24"/>
        </w:rPr>
        <w:t xml:space="preserve"> </w:t>
      </w:r>
      <w:r w:rsidR="00C44E43">
        <w:rPr>
          <w:rFonts w:eastAsia="Calibri" w:cs="Times New Roman"/>
          <w:szCs w:val="24"/>
        </w:rPr>
        <w:t>I</w:t>
      </w:r>
      <w:r w:rsidR="00DE1CCD" w:rsidRPr="002C7102">
        <w:rPr>
          <w:rFonts w:eastAsia="Calibri" w:cs="Times New Roman"/>
          <w:szCs w:val="24"/>
        </w:rPr>
        <w:t>n most cases</w:t>
      </w:r>
      <w:r w:rsidR="00C44E43">
        <w:rPr>
          <w:rFonts w:eastAsia="Calibri" w:cs="Times New Roman"/>
          <w:szCs w:val="24"/>
        </w:rPr>
        <w:t xml:space="preserve">, it seems litigation is an </w:t>
      </w:r>
      <w:r w:rsidR="00DE1CCD" w:rsidRPr="002C7102">
        <w:rPr>
          <w:rFonts w:eastAsia="Calibri" w:cs="Times New Roman"/>
          <w:szCs w:val="24"/>
        </w:rPr>
        <w:t>undesirable route to seek meaningful and timely redress.</w:t>
      </w:r>
      <w:r w:rsidR="00F61C15">
        <w:rPr>
          <w:rStyle w:val="FootnoteReference"/>
          <w:rFonts w:eastAsia="Calibri" w:cs="Times New Roman"/>
          <w:szCs w:val="24"/>
        </w:rPr>
        <w:footnoteReference w:id="110"/>
      </w:r>
      <w:r w:rsidR="00D96B16">
        <w:rPr>
          <w:rFonts w:eastAsia="Calibri" w:cs="Times New Roman"/>
          <w:szCs w:val="24"/>
        </w:rPr>
        <w:t xml:space="preserve"> </w:t>
      </w:r>
      <w:r w:rsidR="00C550E5">
        <w:rPr>
          <w:rFonts w:eastAsia="Calibri" w:cs="Times New Roman"/>
          <w:szCs w:val="24"/>
        </w:rPr>
        <w:t xml:space="preserve">The concern is therefore whether </w:t>
      </w:r>
      <w:r w:rsidR="00C44E43">
        <w:rPr>
          <w:rFonts w:eastAsia="Calibri" w:cs="Times New Roman"/>
          <w:szCs w:val="24"/>
        </w:rPr>
        <w:t>a</w:t>
      </w:r>
      <w:r w:rsidR="00C550E5">
        <w:rPr>
          <w:rFonts w:eastAsia="Calibri" w:cs="Times New Roman"/>
          <w:szCs w:val="24"/>
        </w:rPr>
        <w:t xml:space="preserve"> lack of </w:t>
      </w:r>
      <w:r w:rsidR="004969DE">
        <w:rPr>
          <w:rFonts w:eastAsia="Calibri" w:cs="Times New Roman"/>
          <w:szCs w:val="24"/>
        </w:rPr>
        <w:t xml:space="preserve">meaningful </w:t>
      </w:r>
      <w:r w:rsidR="00C550E5">
        <w:rPr>
          <w:rFonts w:eastAsia="Calibri" w:cs="Times New Roman"/>
          <w:szCs w:val="24"/>
        </w:rPr>
        <w:t>remed</w:t>
      </w:r>
      <w:r w:rsidR="009E13EA">
        <w:rPr>
          <w:rFonts w:eastAsia="Calibri" w:cs="Times New Roman"/>
          <w:szCs w:val="24"/>
        </w:rPr>
        <w:t>ial options provides further incentives for activist short sellers to engage in problematic conduct</w:t>
      </w:r>
      <w:r w:rsidR="004969DE">
        <w:rPr>
          <w:rFonts w:eastAsia="Calibri" w:cs="Times New Roman"/>
          <w:szCs w:val="24"/>
        </w:rPr>
        <w:t>.</w:t>
      </w:r>
      <w:r w:rsidR="00F5336B">
        <w:rPr>
          <w:rFonts w:eastAsia="Calibri" w:cs="Times New Roman"/>
          <w:szCs w:val="24"/>
        </w:rPr>
        <w:t xml:space="preserve"> </w:t>
      </w:r>
      <w:r w:rsidR="00C5181F">
        <w:rPr>
          <w:rFonts w:eastAsia="Calibri" w:cs="Times New Roman"/>
          <w:szCs w:val="24"/>
        </w:rPr>
        <w:t>A</w:t>
      </w:r>
      <w:r w:rsidR="004969DE">
        <w:rPr>
          <w:rFonts w:eastAsia="Calibri" w:cs="Times New Roman"/>
          <w:szCs w:val="24"/>
        </w:rPr>
        <w:t xml:space="preserve"> statutory provision which addresses some of the</w:t>
      </w:r>
      <w:r w:rsidR="00C5181F">
        <w:rPr>
          <w:rFonts w:eastAsia="Calibri" w:cs="Times New Roman"/>
          <w:szCs w:val="24"/>
        </w:rPr>
        <w:t xml:space="preserve"> practical complexities of seeking redress in the civil courts may provide an addi</w:t>
      </w:r>
      <w:r w:rsidR="00004FA5">
        <w:rPr>
          <w:rFonts w:eastAsia="Calibri" w:cs="Times New Roman"/>
          <w:szCs w:val="24"/>
        </w:rPr>
        <w:t>tional mean</w:t>
      </w:r>
      <w:r w:rsidR="00440D0A">
        <w:rPr>
          <w:rFonts w:eastAsia="Calibri" w:cs="Times New Roman"/>
          <w:szCs w:val="24"/>
        </w:rPr>
        <w:t>s</w:t>
      </w:r>
      <w:r w:rsidR="00004FA5">
        <w:rPr>
          <w:rFonts w:eastAsia="Calibri" w:cs="Times New Roman"/>
          <w:szCs w:val="24"/>
        </w:rPr>
        <w:t xml:space="preserve"> of deterring problematic conduct, however, this would be</w:t>
      </w:r>
      <w:r w:rsidR="00DA5A6F">
        <w:rPr>
          <w:rFonts w:eastAsia="Calibri" w:cs="Times New Roman"/>
          <w:szCs w:val="24"/>
        </w:rPr>
        <w:t xml:space="preserve"> somewhat</w:t>
      </w:r>
      <w:r w:rsidR="00004FA5">
        <w:rPr>
          <w:rFonts w:eastAsia="Calibri" w:cs="Times New Roman"/>
          <w:szCs w:val="24"/>
        </w:rPr>
        <w:t xml:space="preserve"> novel</w:t>
      </w:r>
      <w:r w:rsidR="000B5118">
        <w:rPr>
          <w:rFonts w:eastAsia="Calibri" w:cs="Times New Roman"/>
          <w:szCs w:val="24"/>
        </w:rPr>
        <w:t xml:space="preserve"> and may have corresponding unintended </w:t>
      </w:r>
      <w:r w:rsidR="00924E20">
        <w:rPr>
          <w:rFonts w:eastAsia="Calibri" w:cs="Times New Roman"/>
          <w:szCs w:val="24"/>
        </w:rPr>
        <w:t>liability</w:t>
      </w:r>
      <w:r w:rsidR="000B5118">
        <w:rPr>
          <w:rFonts w:eastAsia="Calibri" w:cs="Times New Roman"/>
          <w:szCs w:val="24"/>
        </w:rPr>
        <w:t xml:space="preserve"> for others, including analysts.</w:t>
      </w:r>
      <w:r w:rsidR="0050715B">
        <w:rPr>
          <w:rFonts w:eastAsia="Calibri" w:cs="Times New Roman"/>
          <w:szCs w:val="24"/>
        </w:rPr>
        <w:t xml:space="preserve"> </w:t>
      </w:r>
    </w:p>
    <w:p w14:paraId="2B2810AF" w14:textId="6240CE76" w:rsidR="009E3195" w:rsidRDefault="006F7A1D" w:rsidP="00020D1D">
      <w:pPr>
        <w:pStyle w:val="Heading3"/>
        <w:spacing w:before="0" w:after="0"/>
      </w:pPr>
      <w:r>
        <w:lastRenderedPageBreak/>
        <w:t>Consultation Questions</w:t>
      </w:r>
    </w:p>
    <w:p w14:paraId="6B3D70B0" w14:textId="77777777" w:rsidR="00020D1D" w:rsidRPr="00020D1D" w:rsidRDefault="00020D1D" w:rsidP="00020D1D">
      <w:pPr>
        <w:spacing w:before="0" w:after="0"/>
      </w:pPr>
    </w:p>
    <w:p w14:paraId="3B14CD4F" w14:textId="7E9AF018" w:rsidR="00C37D28" w:rsidRDefault="00C37D28" w:rsidP="00020D1D">
      <w:pPr>
        <w:pStyle w:val="ListParagraph"/>
        <w:numPr>
          <w:ilvl w:val="0"/>
          <w:numId w:val="25"/>
        </w:numPr>
        <w:spacing w:before="0" w:after="0"/>
        <w:rPr>
          <w:rFonts w:cs="Times New Roman"/>
          <w:szCs w:val="24"/>
        </w:rPr>
      </w:pPr>
      <w:bookmarkStart w:id="13" w:name="_Hlk34407847"/>
      <w:r w:rsidRPr="00C37D28">
        <w:rPr>
          <w:rFonts w:cs="Times New Roman"/>
          <w:szCs w:val="24"/>
        </w:rPr>
        <w:t xml:space="preserve">In your view, do the existing enforcement </w:t>
      </w:r>
      <w:r w:rsidR="006E7C40">
        <w:rPr>
          <w:rFonts w:cs="Times New Roman"/>
          <w:szCs w:val="24"/>
        </w:rPr>
        <w:t>mechanisms</w:t>
      </w:r>
      <w:r w:rsidRPr="00C37D28">
        <w:rPr>
          <w:rFonts w:cs="Times New Roman"/>
          <w:szCs w:val="24"/>
        </w:rPr>
        <w:t xml:space="preserve"> adequately deter problematic activist short selling?  If so, why?  If not, why not?</w:t>
      </w:r>
    </w:p>
    <w:p w14:paraId="18F9C421" w14:textId="77777777" w:rsidR="00020D1D" w:rsidRPr="00C37D28" w:rsidRDefault="00020D1D" w:rsidP="00020D1D">
      <w:pPr>
        <w:pStyle w:val="ListParagraph"/>
        <w:spacing w:before="0" w:after="0"/>
        <w:ind w:left="360"/>
        <w:rPr>
          <w:rFonts w:cs="Times New Roman"/>
          <w:szCs w:val="24"/>
        </w:rPr>
      </w:pPr>
    </w:p>
    <w:p w14:paraId="28153155" w14:textId="639AD1C7" w:rsidR="00805B44" w:rsidRPr="00020D1D" w:rsidRDefault="00C37D28" w:rsidP="00020D1D">
      <w:pPr>
        <w:pStyle w:val="ListParagraph"/>
        <w:numPr>
          <w:ilvl w:val="1"/>
          <w:numId w:val="25"/>
        </w:numPr>
        <w:spacing w:before="0" w:after="0"/>
        <w:ind w:left="1077" w:hanging="357"/>
        <w:contextualSpacing w:val="0"/>
      </w:pPr>
      <w:r w:rsidRPr="00C37D28">
        <w:rPr>
          <w:rFonts w:cs="Times New Roman"/>
          <w:szCs w:val="24"/>
        </w:rPr>
        <w:t>Can deterrence be imp</w:t>
      </w:r>
      <w:r w:rsidRPr="001B0C3E">
        <w:rPr>
          <w:rFonts w:cs="Times New Roman"/>
          <w:szCs w:val="24"/>
        </w:rPr>
        <w:t xml:space="preserve">roved through specific regulation of activist short sellers?  If so, how?  </w:t>
      </w:r>
      <w:r w:rsidR="00805B44" w:rsidRPr="000D4A84">
        <w:rPr>
          <w:rFonts w:cs="Times New Roman"/>
          <w:szCs w:val="24"/>
        </w:rPr>
        <w:t xml:space="preserve"> </w:t>
      </w:r>
    </w:p>
    <w:p w14:paraId="456EB2AF" w14:textId="77777777" w:rsidR="00020D1D" w:rsidRPr="00805B44" w:rsidRDefault="00020D1D" w:rsidP="00020D1D">
      <w:pPr>
        <w:pStyle w:val="ListParagraph"/>
        <w:spacing w:before="0" w:after="0"/>
        <w:ind w:left="1077"/>
        <w:contextualSpacing w:val="0"/>
      </w:pPr>
    </w:p>
    <w:p w14:paraId="5012575B" w14:textId="5982DDAF" w:rsidR="00F87000" w:rsidRDefault="00323FAB" w:rsidP="00202BAD">
      <w:pPr>
        <w:pStyle w:val="ListParagraph"/>
        <w:numPr>
          <w:ilvl w:val="0"/>
          <w:numId w:val="25"/>
        </w:numPr>
        <w:spacing w:before="0" w:after="0"/>
        <w:contextualSpacing w:val="0"/>
        <w:rPr>
          <w:rFonts w:cs="Times New Roman"/>
          <w:szCs w:val="24"/>
        </w:rPr>
      </w:pPr>
      <w:r w:rsidRPr="00805B44">
        <w:rPr>
          <w:rFonts w:cs="Times New Roman"/>
          <w:szCs w:val="24"/>
        </w:rPr>
        <w:t xml:space="preserve">Are there additional </w:t>
      </w:r>
      <w:r w:rsidR="00DD059A">
        <w:rPr>
          <w:rFonts w:cs="Times New Roman"/>
          <w:szCs w:val="24"/>
        </w:rPr>
        <w:t xml:space="preserve">or different </w:t>
      </w:r>
      <w:r w:rsidRPr="00805B44">
        <w:rPr>
          <w:rFonts w:cs="Times New Roman"/>
          <w:szCs w:val="24"/>
        </w:rPr>
        <w:t xml:space="preserve">regulatory or remedial provisions that could be </w:t>
      </w:r>
      <w:r w:rsidR="007E4A1D">
        <w:rPr>
          <w:rFonts w:cs="Times New Roman"/>
          <w:szCs w:val="24"/>
        </w:rPr>
        <w:t>considered</w:t>
      </w:r>
      <w:r w:rsidRPr="00805B44">
        <w:rPr>
          <w:rFonts w:cs="Times New Roman"/>
          <w:szCs w:val="24"/>
        </w:rPr>
        <w:t xml:space="preserve"> to</w:t>
      </w:r>
      <w:r w:rsidR="00AD7436" w:rsidRPr="00805B44">
        <w:rPr>
          <w:rFonts w:cs="Times New Roman"/>
          <w:szCs w:val="24"/>
        </w:rPr>
        <w:t xml:space="preserve"> </w:t>
      </w:r>
      <w:r w:rsidRPr="00805B44">
        <w:rPr>
          <w:rFonts w:cs="Times New Roman"/>
          <w:szCs w:val="24"/>
        </w:rPr>
        <w:t>improve deterrence of problematic conduct?  If so, what</w:t>
      </w:r>
      <w:r w:rsidR="00476F21">
        <w:rPr>
          <w:rFonts w:cs="Times New Roman"/>
          <w:szCs w:val="24"/>
        </w:rPr>
        <w:t xml:space="preserve"> are these provisions</w:t>
      </w:r>
      <w:r w:rsidR="001C2C8C" w:rsidRPr="00805B44">
        <w:rPr>
          <w:rFonts w:cs="Times New Roman"/>
          <w:szCs w:val="24"/>
        </w:rPr>
        <w:t xml:space="preserve">?  </w:t>
      </w:r>
    </w:p>
    <w:p w14:paraId="0C7F5F7D" w14:textId="77777777" w:rsidR="00202BAD" w:rsidRPr="00805B44" w:rsidRDefault="00202BAD" w:rsidP="00202BAD">
      <w:pPr>
        <w:pStyle w:val="ListParagraph"/>
        <w:spacing w:before="0" w:after="0"/>
        <w:ind w:left="360"/>
        <w:contextualSpacing w:val="0"/>
        <w:rPr>
          <w:rFonts w:cs="Times New Roman"/>
          <w:szCs w:val="24"/>
        </w:rPr>
      </w:pPr>
    </w:p>
    <w:p w14:paraId="6AAE10DA" w14:textId="533FE9A1" w:rsidR="000175F2" w:rsidRDefault="000175F2" w:rsidP="00202BAD">
      <w:pPr>
        <w:pStyle w:val="ListParagraph"/>
        <w:numPr>
          <w:ilvl w:val="0"/>
          <w:numId w:val="25"/>
        </w:numPr>
        <w:spacing w:before="0" w:after="0"/>
        <w:contextualSpacing w:val="0"/>
        <w:rPr>
          <w:rFonts w:cs="Times New Roman"/>
          <w:szCs w:val="24"/>
        </w:rPr>
      </w:pPr>
      <w:r w:rsidRPr="00142A96">
        <w:rPr>
          <w:rFonts w:cs="Times New Roman"/>
          <w:szCs w:val="24"/>
        </w:rPr>
        <w:t xml:space="preserve">Can you provide examples of specific activist short selling conduct that </w:t>
      </w:r>
      <w:r w:rsidR="00F57336">
        <w:rPr>
          <w:rFonts w:cs="Times New Roman"/>
          <w:szCs w:val="24"/>
        </w:rPr>
        <w:t xml:space="preserve">in your view is problematic but </w:t>
      </w:r>
      <w:r w:rsidR="00476F21">
        <w:rPr>
          <w:rFonts w:cs="Times New Roman"/>
          <w:szCs w:val="24"/>
        </w:rPr>
        <w:t>may</w:t>
      </w:r>
      <w:r w:rsidRPr="00142A96">
        <w:rPr>
          <w:rFonts w:cs="Times New Roman"/>
          <w:szCs w:val="24"/>
        </w:rPr>
        <w:t xml:space="preserve"> not </w:t>
      </w:r>
      <w:r w:rsidR="004450EA">
        <w:rPr>
          <w:rFonts w:cs="Times New Roman"/>
          <w:szCs w:val="24"/>
        </w:rPr>
        <w:t>fall within the scope of</w:t>
      </w:r>
      <w:r w:rsidR="00E36383">
        <w:rPr>
          <w:rFonts w:cs="Times New Roman"/>
          <w:szCs w:val="24"/>
        </w:rPr>
        <w:t xml:space="preserve"> existing</w:t>
      </w:r>
      <w:r w:rsidR="004450EA">
        <w:rPr>
          <w:rFonts w:cs="Times New Roman"/>
          <w:szCs w:val="24"/>
        </w:rPr>
        <w:t xml:space="preserve"> securities offences such as market manipulation and misrepre</w:t>
      </w:r>
      <w:r w:rsidR="00A80BCE">
        <w:rPr>
          <w:rFonts w:cs="Times New Roman"/>
          <w:szCs w:val="24"/>
        </w:rPr>
        <w:t xml:space="preserve">sentation/misleading statements?  </w:t>
      </w:r>
      <w:r w:rsidR="00E65040">
        <w:rPr>
          <w:rFonts w:cs="Times New Roman"/>
          <w:szCs w:val="24"/>
        </w:rPr>
        <w:t>In your view, h</w:t>
      </w:r>
      <w:r w:rsidR="00A80BCE">
        <w:rPr>
          <w:rFonts w:cs="Times New Roman"/>
          <w:szCs w:val="24"/>
        </w:rPr>
        <w:t xml:space="preserve">ow should this problematic </w:t>
      </w:r>
      <w:r w:rsidR="001C02F0">
        <w:rPr>
          <w:rFonts w:cs="Times New Roman"/>
          <w:szCs w:val="24"/>
        </w:rPr>
        <w:t xml:space="preserve">conduct </w:t>
      </w:r>
      <w:r w:rsidR="00A80BCE">
        <w:rPr>
          <w:rFonts w:cs="Times New Roman"/>
          <w:szCs w:val="24"/>
        </w:rPr>
        <w:t xml:space="preserve">be addressed by </w:t>
      </w:r>
      <w:r w:rsidR="004B5313">
        <w:rPr>
          <w:rFonts w:cs="Times New Roman"/>
          <w:szCs w:val="24"/>
        </w:rPr>
        <w:t xml:space="preserve">securities </w:t>
      </w:r>
      <w:r w:rsidR="00A80BCE">
        <w:rPr>
          <w:rFonts w:cs="Times New Roman"/>
          <w:szCs w:val="24"/>
        </w:rPr>
        <w:t>regulators?</w:t>
      </w:r>
    </w:p>
    <w:p w14:paraId="55F2A35F" w14:textId="41EA2A32" w:rsidR="00202BAD" w:rsidRPr="00202BAD" w:rsidRDefault="00202BAD" w:rsidP="00202BAD">
      <w:pPr>
        <w:spacing w:before="0" w:after="0"/>
        <w:rPr>
          <w:rFonts w:cs="Times New Roman"/>
          <w:szCs w:val="24"/>
        </w:rPr>
      </w:pPr>
    </w:p>
    <w:bookmarkEnd w:id="13"/>
    <w:p w14:paraId="0A4A48DE" w14:textId="77777777" w:rsidR="00202BAD" w:rsidRPr="00202BAD" w:rsidRDefault="799903E0" w:rsidP="00202BAD">
      <w:pPr>
        <w:pStyle w:val="ListParagraph"/>
        <w:numPr>
          <w:ilvl w:val="0"/>
          <w:numId w:val="25"/>
        </w:numPr>
        <w:spacing w:before="0" w:after="0"/>
        <w:rPr>
          <w:rFonts w:asciiTheme="minorHAnsi" w:eastAsiaTheme="minorEastAsia" w:hAnsiTheme="minorHAnsi"/>
          <w:szCs w:val="24"/>
        </w:rPr>
      </w:pPr>
      <w:r w:rsidRPr="39260D18">
        <w:rPr>
          <w:rFonts w:eastAsia="Times New Roman" w:cs="Times New Roman"/>
          <w:szCs w:val="24"/>
        </w:rPr>
        <w:t xml:space="preserve">Is it important that a statement have actual market impact to trigger enforcement action by </w:t>
      </w:r>
      <w:r w:rsidRPr="004B5313">
        <w:rPr>
          <w:rFonts w:eastAsia="Times New Roman" w:cs="Times New Roman"/>
          <w:szCs w:val="24"/>
        </w:rPr>
        <w:t>securities regulators</w:t>
      </w:r>
      <w:r w:rsidRPr="39260D18">
        <w:rPr>
          <w:rFonts w:eastAsia="Times New Roman" w:cs="Times New Roman"/>
          <w:szCs w:val="24"/>
        </w:rPr>
        <w:t xml:space="preserve">? </w:t>
      </w:r>
    </w:p>
    <w:p w14:paraId="32C97062" w14:textId="75238D19" w:rsidR="799903E0" w:rsidRPr="00202BAD" w:rsidRDefault="799903E0" w:rsidP="00202BAD">
      <w:pPr>
        <w:spacing w:before="0" w:after="0"/>
        <w:rPr>
          <w:rFonts w:asciiTheme="minorHAnsi" w:eastAsiaTheme="minorEastAsia" w:hAnsiTheme="minorHAnsi"/>
          <w:szCs w:val="24"/>
        </w:rPr>
      </w:pPr>
      <w:r w:rsidRPr="00202BAD">
        <w:rPr>
          <w:rFonts w:eastAsia="Times New Roman" w:cs="Times New Roman"/>
          <w:szCs w:val="24"/>
        </w:rPr>
        <w:t xml:space="preserve"> </w:t>
      </w:r>
    </w:p>
    <w:p w14:paraId="74E93CBC" w14:textId="77777777" w:rsidR="799903E0" w:rsidRPr="00A143CB" w:rsidRDefault="799903E0" w:rsidP="00202BAD">
      <w:pPr>
        <w:pStyle w:val="ListParagraph"/>
        <w:numPr>
          <w:ilvl w:val="0"/>
          <w:numId w:val="3"/>
        </w:numPr>
        <w:spacing w:before="0" w:after="0"/>
        <w:rPr>
          <w:rFonts w:asciiTheme="minorHAnsi" w:eastAsiaTheme="minorEastAsia" w:hAnsiTheme="minorHAnsi"/>
          <w:szCs w:val="24"/>
        </w:rPr>
      </w:pPr>
      <w:r w:rsidRPr="39260D18">
        <w:rPr>
          <w:rFonts w:eastAsia="Times New Roman" w:cs="Times New Roman"/>
          <w:szCs w:val="24"/>
        </w:rPr>
        <w:t>Should another standard be used?  For example, in your view is the “reasonable investor” standard a preferable approach (e.g., would a reasonable investor consider that statement important when making an investment decision)? If so, why?  What are the potential implications of such a change?</w:t>
      </w:r>
    </w:p>
    <w:p w14:paraId="32CBF009" w14:textId="77777777" w:rsidR="00A143CB" w:rsidRDefault="00A143CB" w:rsidP="00202BAD">
      <w:pPr>
        <w:pStyle w:val="ListParagraph"/>
        <w:spacing w:before="0" w:after="0"/>
        <w:rPr>
          <w:rFonts w:asciiTheme="minorHAnsi" w:eastAsiaTheme="minorEastAsia" w:hAnsiTheme="minorHAnsi"/>
          <w:szCs w:val="24"/>
        </w:rPr>
      </w:pPr>
    </w:p>
    <w:p w14:paraId="54C446EF" w14:textId="4B6C9FD2" w:rsidR="006E3A26" w:rsidRDefault="000C1B8A" w:rsidP="00202BAD">
      <w:pPr>
        <w:pStyle w:val="Heading3"/>
        <w:spacing w:before="0" w:after="0"/>
        <w:rPr>
          <w:lang w:val="en-US"/>
        </w:rPr>
      </w:pPr>
      <w:r>
        <w:rPr>
          <w:lang w:val="en-US"/>
        </w:rPr>
        <w:t>CONSULTATION QUESTIONS</w:t>
      </w:r>
    </w:p>
    <w:p w14:paraId="213C18A7" w14:textId="77777777" w:rsidR="00202BAD" w:rsidRPr="00202BAD" w:rsidRDefault="00202BAD" w:rsidP="00202BAD">
      <w:pPr>
        <w:spacing w:before="0" w:after="0"/>
        <w:rPr>
          <w:lang w:val="en-US"/>
        </w:rPr>
      </w:pPr>
    </w:p>
    <w:p w14:paraId="08E22B79" w14:textId="133C0FF5" w:rsidR="004D3B7C" w:rsidRDefault="004D3B7C" w:rsidP="00202BAD">
      <w:pPr>
        <w:numPr>
          <w:ilvl w:val="0"/>
          <w:numId w:val="36"/>
        </w:numPr>
        <w:spacing w:before="0" w:after="0"/>
        <w:rPr>
          <w:rFonts w:eastAsia="Calibri" w:cs="Times New Roman"/>
          <w:szCs w:val="24"/>
        </w:rPr>
      </w:pPr>
      <w:r>
        <w:rPr>
          <w:rFonts w:eastAsia="Calibri" w:cs="Times New Roman"/>
          <w:szCs w:val="24"/>
        </w:rPr>
        <w:t xml:space="preserve">What is your perception about </w:t>
      </w:r>
      <w:r w:rsidRPr="00C26FBB">
        <w:rPr>
          <w:rFonts w:eastAsia="Calibri" w:cs="Times New Roman"/>
          <w:szCs w:val="24"/>
        </w:rPr>
        <w:t xml:space="preserve">activist short sellers?   </w:t>
      </w:r>
      <w:r>
        <w:rPr>
          <w:rFonts w:eastAsia="Calibri" w:cs="Times New Roman"/>
          <w:szCs w:val="24"/>
        </w:rPr>
        <w:t xml:space="preserve">Please describe the basis of that perception. </w:t>
      </w:r>
      <w:r w:rsidRPr="00C26FBB">
        <w:rPr>
          <w:rFonts w:eastAsia="Calibri" w:cs="Times New Roman"/>
          <w:szCs w:val="24"/>
        </w:rPr>
        <w:t xml:space="preserve"> </w:t>
      </w:r>
    </w:p>
    <w:p w14:paraId="023CD88A" w14:textId="77777777" w:rsidR="00202BAD" w:rsidRPr="00C26FBB" w:rsidRDefault="00202BAD" w:rsidP="00202BAD">
      <w:pPr>
        <w:spacing w:before="0" w:after="0"/>
        <w:ind w:left="360"/>
        <w:rPr>
          <w:rFonts w:eastAsia="Calibri" w:cs="Times New Roman"/>
          <w:szCs w:val="24"/>
        </w:rPr>
      </w:pPr>
    </w:p>
    <w:p w14:paraId="67AA82F7" w14:textId="20A19B75" w:rsidR="004D3B7C" w:rsidRDefault="004D3B7C" w:rsidP="00202BAD">
      <w:pPr>
        <w:numPr>
          <w:ilvl w:val="0"/>
          <w:numId w:val="36"/>
        </w:numPr>
        <w:spacing w:before="0" w:after="0"/>
        <w:rPr>
          <w:rFonts w:eastAsia="Calibri" w:cs="Times New Roman"/>
          <w:szCs w:val="24"/>
        </w:rPr>
      </w:pPr>
      <w:r w:rsidRPr="00DF520B">
        <w:rPr>
          <w:rFonts w:eastAsia="Calibri" w:cs="Times New Roman"/>
          <w:szCs w:val="24"/>
        </w:rPr>
        <w:t>Can you give examples of conduct in activist short selling Campaigns that you view as problematic?</w:t>
      </w:r>
    </w:p>
    <w:p w14:paraId="72D5AC2C" w14:textId="262FD8A4" w:rsidR="00202BAD" w:rsidRPr="00DF520B" w:rsidRDefault="00202BAD" w:rsidP="00202BAD">
      <w:pPr>
        <w:spacing w:before="0" w:after="0"/>
        <w:rPr>
          <w:rFonts w:eastAsia="Calibri" w:cs="Times New Roman"/>
          <w:szCs w:val="24"/>
        </w:rPr>
      </w:pPr>
    </w:p>
    <w:p w14:paraId="136F3EE9" w14:textId="29D4159E" w:rsidR="004D3B7C" w:rsidRDefault="004D3B7C" w:rsidP="00202BAD">
      <w:pPr>
        <w:numPr>
          <w:ilvl w:val="0"/>
          <w:numId w:val="36"/>
        </w:numPr>
        <w:spacing w:before="0" w:after="0"/>
        <w:rPr>
          <w:rFonts w:eastAsia="Calibri" w:cs="Times New Roman"/>
          <w:szCs w:val="24"/>
        </w:rPr>
      </w:pPr>
      <w:r w:rsidRPr="00DF520B">
        <w:rPr>
          <w:rFonts w:eastAsia="Calibri" w:cs="Times New Roman"/>
          <w:szCs w:val="24"/>
        </w:rPr>
        <w:t xml:space="preserve">Given the focus of the available data is on prominent activist short sellers, what is your view regarding less prominent activist short sellers or pseudonymous activist short sellers targeting Canadian issuers?  How can they be identified? Is there any evidence that they are engaging in short and distort </w:t>
      </w:r>
      <w:r w:rsidR="000C1B8A">
        <w:rPr>
          <w:rFonts w:eastAsia="Calibri" w:cs="Times New Roman"/>
          <w:szCs w:val="24"/>
        </w:rPr>
        <w:t>ca</w:t>
      </w:r>
      <w:r w:rsidRPr="00DF520B">
        <w:rPr>
          <w:rFonts w:eastAsia="Calibri" w:cs="Times New Roman"/>
          <w:szCs w:val="24"/>
        </w:rPr>
        <w:t>mpaigns?</w:t>
      </w:r>
    </w:p>
    <w:p w14:paraId="484E0851" w14:textId="01DEF2A6" w:rsidR="00202BAD" w:rsidRPr="00DF520B" w:rsidRDefault="00202BAD" w:rsidP="00202BAD">
      <w:pPr>
        <w:spacing w:before="0" w:after="0"/>
        <w:rPr>
          <w:rFonts w:eastAsia="Calibri" w:cs="Times New Roman"/>
          <w:szCs w:val="24"/>
        </w:rPr>
      </w:pPr>
    </w:p>
    <w:p w14:paraId="2DCD29D1" w14:textId="7D95B736" w:rsidR="004D3B7C" w:rsidRDefault="004D3B7C" w:rsidP="00202BAD">
      <w:pPr>
        <w:numPr>
          <w:ilvl w:val="0"/>
          <w:numId w:val="36"/>
        </w:numPr>
        <w:spacing w:before="0" w:after="0"/>
        <w:rPr>
          <w:rFonts w:eastAsia="Calibri" w:cs="Times New Roman"/>
          <w:szCs w:val="24"/>
        </w:rPr>
      </w:pPr>
      <w:r>
        <w:rPr>
          <w:rFonts w:eastAsia="Calibri" w:cs="Times New Roman"/>
          <w:szCs w:val="24"/>
        </w:rPr>
        <w:t>What</w:t>
      </w:r>
      <w:r w:rsidRPr="00C26FBB">
        <w:rPr>
          <w:rFonts w:eastAsia="Calibri" w:cs="Times New Roman"/>
          <w:szCs w:val="24"/>
        </w:rPr>
        <w:t xml:space="preserve"> empirical data sources related to Campaigns should </w:t>
      </w:r>
      <w:r>
        <w:rPr>
          <w:rFonts w:eastAsia="Calibri" w:cs="Times New Roman"/>
          <w:szCs w:val="24"/>
        </w:rPr>
        <w:t xml:space="preserve">we </w:t>
      </w:r>
      <w:r w:rsidRPr="00C26FBB">
        <w:rPr>
          <w:rFonts w:eastAsia="Calibri" w:cs="Times New Roman"/>
          <w:szCs w:val="24"/>
        </w:rPr>
        <w:t xml:space="preserve">consider?  </w:t>
      </w:r>
    </w:p>
    <w:p w14:paraId="73A28BD9" w14:textId="5A1E6791" w:rsidR="00202BAD" w:rsidRPr="00C26FBB" w:rsidRDefault="00202BAD" w:rsidP="00202BAD">
      <w:pPr>
        <w:spacing w:before="0" w:after="0"/>
        <w:rPr>
          <w:rFonts w:eastAsia="Calibri" w:cs="Times New Roman"/>
          <w:szCs w:val="24"/>
        </w:rPr>
      </w:pPr>
    </w:p>
    <w:p w14:paraId="32CA011B" w14:textId="4DBD53B4" w:rsidR="004D3B7C" w:rsidRDefault="004D3B7C" w:rsidP="00202BAD">
      <w:pPr>
        <w:numPr>
          <w:ilvl w:val="0"/>
          <w:numId w:val="36"/>
        </w:numPr>
        <w:spacing w:before="0" w:after="0"/>
        <w:rPr>
          <w:rFonts w:eastAsia="Calibri" w:cs="Times New Roman"/>
          <w:szCs w:val="24"/>
        </w:rPr>
      </w:pPr>
      <w:r w:rsidRPr="00C26FBB">
        <w:rPr>
          <w:rFonts w:eastAsia="Calibri" w:cs="Times New Roman"/>
          <w:szCs w:val="24"/>
        </w:rPr>
        <w:t>In 2019, there was a large drop in the number of Canadian issuers targeted by prominent activist short sellers compared to the year before.  Are there market conditions or other circumstances that in your view could lead to an increase?</w:t>
      </w:r>
      <w:r>
        <w:rPr>
          <w:rFonts w:eastAsia="Calibri" w:cs="Times New Roman"/>
          <w:szCs w:val="24"/>
        </w:rPr>
        <w:t xml:space="preserve"> Please explain.</w:t>
      </w:r>
    </w:p>
    <w:p w14:paraId="7341005F" w14:textId="2AE88CC9" w:rsidR="00202BAD" w:rsidRPr="00C26FBB" w:rsidRDefault="00202BAD" w:rsidP="00202BAD">
      <w:pPr>
        <w:spacing w:before="0" w:after="0"/>
        <w:rPr>
          <w:rFonts w:eastAsia="Calibri" w:cs="Times New Roman"/>
          <w:szCs w:val="24"/>
        </w:rPr>
      </w:pPr>
    </w:p>
    <w:p w14:paraId="0A993BE8" w14:textId="77777777" w:rsidR="004D3B7C" w:rsidRDefault="004D3B7C" w:rsidP="00202BAD">
      <w:pPr>
        <w:numPr>
          <w:ilvl w:val="0"/>
          <w:numId w:val="36"/>
        </w:numPr>
        <w:spacing w:before="0" w:after="0"/>
        <w:rPr>
          <w:rFonts w:eastAsia="Calibri" w:cs="Times New Roman"/>
          <w:szCs w:val="24"/>
        </w:rPr>
      </w:pPr>
      <w:r w:rsidRPr="00C26FBB">
        <w:rPr>
          <w:rFonts w:eastAsia="Calibri" w:cs="Times New Roman"/>
          <w:szCs w:val="24"/>
        </w:rPr>
        <w:t>Is there any specific evidence that would suggest that Canadian markets are more vulnerable to activist short selling</w:t>
      </w:r>
      <w:r>
        <w:rPr>
          <w:rFonts w:eastAsia="Calibri" w:cs="Times New Roman"/>
          <w:szCs w:val="24"/>
        </w:rPr>
        <w:t>, including potentially problematic activist short selling (e.g.</w:t>
      </w:r>
      <w:r w:rsidR="0072699F">
        <w:rPr>
          <w:rFonts w:eastAsia="Calibri" w:cs="Times New Roman"/>
          <w:szCs w:val="24"/>
        </w:rPr>
        <w:t>,</w:t>
      </w:r>
      <w:r>
        <w:rPr>
          <w:rFonts w:eastAsia="Calibri" w:cs="Times New Roman"/>
          <w:szCs w:val="24"/>
        </w:rPr>
        <w:t xml:space="preserve"> size and type of issuers, industries/sectors represented or other market conditions)</w:t>
      </w:r>
      <w:r w:rsidRPr="00C26FBB">
        <w:rPr>
          <w:rFonts w:eastAsia="Calibri" w:cs="Times New Roman"/>
          <w:szCs w:val="24"/>
        </w:rPr>
        <w:t xml:space="preserve">?  </w:t>
      </w:r>
    </w:p>
    <w:p w14:paraId="339BF79E" w14:textId="034941B6" w:rsidR="004D3B7C" w:rsidRDefault="004D3B7C" w:rsidP="00202BAD">
      <w:pPr>
        <w:numPr>
          <w:ilvl w:val="1"/>
          <w:numId w:val="36"/>
        </w:numPr>
        <w:spacing w:before="0" w:after="0"/>
        <w:rPr>
          <w:rFonts w:eastAsia="Calibri" w:cs="Times New Roman"/>
          <w:szCs w:val="24"/>
        </w:rPr>
      </w:pPr>
      <w:r w:rsidRPr="00C26FBB">
        <w:rPr>
          <w:rFonts w:eastAsia="Calibri" w:cs="Times New Roman"/>
          <w:szCs w:val="24"/>
        </w:rPr>
        <w:lastRenderedPageBreak/>
        <w:t xml:space="preserve">Please provide specific examples of these vulnerabilities, </w:t>
      </w:r>
      <w:r>
        <w:rPr>
          <w:rFonts w:eastAsia="Calibri" w:cs="Times New Roman"/>
          <w:szCs w:val="24"/>
        </w:rPr>
        <w:t xml:space="preserve">and </w:t>
      </w:r>
      <w:r w:rsidRPr="00C26FBB">
        <w:rPr>
          <w:rFonts w:eastAsia="Calibri" w:cs="Times New Roman"/>
          <w:szCs w:val="24"/>
        </w:rPr>
        <w:t xml:space="preserve">how they differ from other jurisdictions. </w:t>
      </w:r>
    </w:p>
    <w:p w14:paraId="2C6A959F" w14:textId="77777777" w:rsidR="00202BAD" w:rsidRPr="00C26FBB" w:rsidRDefault="00202BAD" w:rsidP="00202BAD">
      <w:pPr>
        <w:spacing w:before="0" w:after="0"/>
        <w:ind w:left="1080"/>
        <w:rPr>
          <w:rFonts w:eastAsia="Calibri" w:cs="Times New Roman"/>
          <w:szCs w:val="24"/>
        </w:rPr>
      </w:pPr>
    </w:p>
    <w:p w14:paraId="0177350E" w14:textId="3486148A" w:rsidR="004D3B7C" w:rsidRDefault="004D3B7C" w:rsidP="00202BAD">
      <w:pPr>
        <w:numPr>
          <w:ilvl w:val="0"/>
          <w:numId w:val="36"/>
        </w:numPr>
        <w:spacing w:before="0" w:after="0"/>
        <w:rPr>
          <w:rFonts w:eastAsia="Calibri" w:cs="Times New Roman"/>
          <w:szCs w:val="24"/>
        </w:rPr>
      </w:pPr>
      <w:r w:rsidRPr="00DF520B">
        <w:rPr>
          <w:rFonts w:eastAsia="Calibri" w:cs="Times New Roman"/>
          <w:szCs w:val="24"/>
        </w:rPr>
        <w:t>Do issuers have practical limitations in terms of their ability to respond to allegations made in a Campaign? If so, what are these limitations, and do you have any recommendations on how to alleviate them?</w:t>
      </w:r>
    </w:p>
    <w:p w14:paraId="16CED305" w14:textId="77777777" w:rsidR="00202BAD" w:rsidRPr="00DF520B" w:rsidRDefault="00202BAD" w:rsidP="00202BAD">
      <w:pPr>
        <w:spacing w:before="0" w:after="0"/>
        <w:ind w:left="360"/>
        <w:rPr>
          <w:rFonts w:eastAsia="Calibri" w:cs="Times New Roman"/>
          <w:szCs w:val="24"/>
        </w:rPr>
      </w:pPr>
    </w:p>
    <w:p w14:paraId="553B0698" w14:textId="77777777" w:rsidR="003E6A7A" w:rsidRDefault="004D3B7C" w:rsidP="00202BAD">
      <w:pPr>
        <w:numPr>
          <w:ilvl w:val="0"/>
          <w:numId w:val="36"/>
        </w:numPr>
        <w:spacing w:before="0" w:after="0"/>
        <w:rPr>
          <w:rFonts w:eastAsia="Calibri" w:cs="Times New Roman"/>
          <w:szCs w:val="24"/>
        </w:rPr>
      </w:pPr>
      <w:r w:rsidRPr="00DF520B">
        <w:rPr>
          <w:rFonts w:eastAsia="Calibri" w:cs="Times New Roman"/>
          <w:szCs w:val="24"/>
        </w:rPr>
        <w:t>Are issuers reluctant to approach regulators when they believe that they are being unfairly targeted by an activist short seller?</w:t>
      </w:r>
      <w:r w:rsidR="00ED064D">
        <w:rPr>
          <w:rFonts w:eastAsia="Calibri" w:cs="Times New Roman"/>
          <w:szCs w:val="24"/>
        </w:rPr>
        <w:t xml:space="preserve"> </w:t>
      </w:r>
      <w:r w:rsidRPr="00DF520B">
        <w:rPr>
          <w:rFonts w:eastAsia="Calibri" w:cs="Times New Roman"/>
          <w:szCs w:val="24"/>
        </w:rPr>
        <w:t xml:space="preserve">If so, why? If not, why not? </w:t>
      </w:r>
    </w:p>
    <w:p w14:paraId="5478CB03" w14:textId="43D2EA12" w:rsidR="003E6A7A" w:rsidRDefault="00452AE7" w:rsidP="00202BAD">
      <w:pPr>
        <w:numPr>
          <w:ilvl w:val="0"/>
          <w:numId w:val="36"/>
        </w:numPr>
        <w:spacing w:before="0" w:after="0"/>
        <w:rPr>
          <w:rFonts w:eastAsia="Calibri" w:cs="Times New Roman"/>
          <w:szCs w:val="24"/>
        </w:rPr>
      </w:pPr>
      <w:r w:rsidRPr="003E6A7A">
        <w:rPr>
          <w:rFonts w:eastAsia="Calibri" w:cs="Times New Roman"/>
          <w:szCs w:val="24"/>
        </w:rPr>
        <w:t>Is the existing regulatory framework adequate to address the risks associated with problematic activist short selling? Please explain why or why not and provide specific examples of concerns and areas where, in your view, the regulatory framework may not be adequate.</w:t>
      </w:r>
    </w:p>
    <w:p w14:paraId="0D6A99FF" w14:textId="77777777" w:rsidR="00202BAD" w:rsidRDefault="00202BAD" w:rsidP="00202BAD">
      <w:pPr>
        <w:spacing w:before="0" w:after="0"/>
        <w:ind w:left="360"/>
        <w:rPr>
          <w:rFonts w:eastAsia="Calibri" w:cs="Times New Roman"/>
          <w:szCs w:val="24"/>
        </w:rPr>
      </w:pPr>
    </w:p>
    <w:p w14:paraId="39111692" w14:textId="57B7334B" w:rsidR="00452AE7" w:rsidRDefault="00452AE7" w:rsidP="00202BAD">
      <w:pPr>
        <w:numPr>
          <w:ilvl w:val="0"/>
          <w:numId w:val="36"/>
        </w:numPr>
        <w:spacing w:before="0" w:after="0"/>
        <w:rPr>
          <w:rFonts w:eastAsia="Calibri" w:cs="Times New Roman"/>
          <w:szCs w:val="24"/>
        </w:rPr>
      </w:pPr>
      <w:r w:rsidRPr="003E6A7A">
        <w:rPr>
          <w:rFonts w:eastAsia="Calibri" w:cs="Times New Roman"/>
          <w:szCs w:val="24"/>
        </w:rPr>
        <w:t>Have there been market developments or new information since 2012, when UMIR amendments regarding short selling and failed trades were implemented, that would warrant revisiting the existing regulatory framework for short selling? If so, please describe these new developments or information and indicate, providing evidence to support your views:</w:t>
      </w:r>
    </w:p>
    <w:p w14:paraId="2A37B803" w14:textId="49DC0B06" w:rsidR="00202BAD" w:rsidRPr="003E6A7A" w:rsidRDefault="00202BAD" w:rsidP="00202BAD">
      <w:pPr>
        <w:spacing w:before="0" w:after="0"/>
        <w:rPr>
          <w:rFonts w:eastAsia="Calibri" w:cs="Times New Roman"/>
          <w:szCs w:val="24"/>
        </w:rPr>
      </w:pPr>
    </w:p>
    <w:p w14:paraId="5F9BA8C4" w14:textId="2BC5640D" w:rsidR="00452AE7" w:rsidRDefault="00452AE7" w:rsidP="00202BAD">
      <w:pPr>
        <w:pStyle w:val="ListParagraph"/>
        <w:numPr>
          <w:ilvl w:val="0"/>
          <w:numId w:val="39"/>
        </w:numPr>
        <w:spacing w:before="0" w:after="0"/>
        <w:contextualSpacing w:val="0"/>
        <w:rPr>
          <w:rFonts w:eastAsia="Calibri" w:cs="Times New Roman"/>
          <w:szCs w:val="24"/>
        </w:rPr>
      </w:pPr>
      <w:r>
        <w:rPr>
          <w:rFonts w:eastAsia="Calibri" w:cs="Times New Roman"/>
          <w:szCs w:val="24"/>
        </w:rPr>
        <w:t xml:space="preserve">whether, in your view, there is a connection between failed trades and activist short selling; </w:t>
      </w:r>
    </w:p>
    <w:p w14:paraId="4E9BFF85" w14:textId="77777777" w:rsidR="00202BAD" w:rsidRPr="00624C0A" w:rsidRDefault="00202BAD" w:rsidP="00202BAD">
      <w:pPr>
        <w:pStyle w:val="ListParagraph"/>
        <w:spacing w:before="0" w:after="0"/>
        <w:ind w:left="1080"/>
        <w:contextualSpacing w:val="0"/>
        <w:rPr>
          <w:rFonts w:eastAsia="Calibri" w:cs="Times New Roman"/>
          <w:szCs w:val="24"/>
        </w:rPr>
      </w:pPr>
    </w:p>
    <w:p w14:paraId="71A65D36" w14:textId="4EEE0F01" w:rsidR="00452AE7" w:rsidRDefault="00452AE7" w:rsidP="00202BAD">
      <w:pPr>
        <w:pStyle w:val="ListParagraph"/>
        <w:numPr>
          <w:ilvl w:val="0"/>
          <w:numId w:val="39"/>
        </w:numPr>
        <w:spacing w:before="0" w:after="0"/>
        <w:contextualSpacing w:val="0"/>
        <w:rPr>
          <w:rFonts w:eastAsia="Calibri" w:cs="Times New Roman"/>
          <w:szCs w:val="24"/>
        </w:rPr>
      </w:pPr>
      <w:r w:rsidRPr="00305D10">
        <w:rPr>
          <w:rFonts w:eastAsia="Calibri" w:cs="Times New Roman"/>
          <w:szCs w:val="24"/>
        </w:rPr>
        <w:t xml:space="preserve">what changes should be considered and why, and specifically with respect to potentially </w:t>
      </w:r>
      <w:r>
        <w:rPr>
          <w:rFonts w:eastAsia="Calibri" w:cs="Times New Roman"/>
          <w:szCs w:val="24"/>
        </w:rPr>
        <w:t>problematic</w:t>
      </w:r>
      <w:r w:rsidRPr="00305D10">
        <w:rPr>
          <w:rFonts w:eastAsia="Calibri" w:cs="Times New Roman"/>
          <w:szCs w:val="24"/>
        </w:rPr>
        <w:t xml:space="preserve"> activist short selling activities; and</w:t>
      </w:r>
    </w:p>
    <w:p w14:paraId="1DC285DD" w14:textId="2F41764E" w:rsidR="00202BAD" w:rsidRPr="00202BAD" w:rsidRDefault="00202BAD" w:rsidP="00202BAD">
      <w:pPr>
        <w:spacing w:before="0" w:after="0"/>
        <w:rPr>
          <w:rFonts w:eastAsia="Calibri" w:cs="Times New Roman"/>
          <w:szCs w:val="24"/>
        </w:rPr>
      </w:pPr>
    </w:p>
    <w:p w14:paraId="1652E40B" w14:textId="64D3F485" w:rsidR="003E6A7A" w:rsidRDefault="00452AE7" w:rsidP="00202BAD">
      <w:pPr>
        <w:pStyle w:val="ListParagraph"/>
        <w:numPr>
          <w:ilvl w:val="0"/>
          <w:numId w:val="39"/>
        </w:numPr>
        <w:spacing w:before="0" w:after="0"/>
        <w:contextualSpacing w:val="0"/>
        <w:rPr>
          <w:rFonts w:eastAsia="Calibri" w:cs="Times New Roman"/>
          <w:szCs w:val="24"/>
        </w:rPr>
      </w:pPr>
      <w:r w:rsidRPr="00305D10">
        <w:rPr>
          <w:rFonts w:eastAsia="Calibri" w:cs="Times New Roman"/>
          <w:szCs w:val="24"/>
        </w:rPr>
        <w:t>whether there are relevant regulatory requirements in other jurisdictions that should be considered and why.</w:t>
      </w:r>
    </w:p>
    <w:p w14:paraId="32588E06" w14:textId="1F69CD0D" w:rsidR="00202BAD" w:rsidRPr="00202BAD" w:rsidRDefault="00202BAD" w:rsidP="00202BAD">
      <w:pPr>
        <w:spacing w:before="0" w:after="0"/>
        <w:rPr>
          <w:rFonts w:eastAsia="Calibri" w:cs="Times New Roman"/>
          <w:szCs w:val="24"/>
        </w:rPr>
      </w:pPr>
    </w:p>
    <w:p w14:paraId="0503448E" w14:textId="31B51BC5" w:rsidR="00452AE7" w:rsidRDefault="00452AE7" w:rsidP="00202BAD">
      <w:pPr>
        <w:numPr>
          <w:ilvl w:val="0"/>
          <w:numId w:val="36"/>
        </w:numPr>
        <w:spacing w:before="0" w:after="0"/>
        <w:rPr>
          <w:rFonts w:eastAsia="Calibri" w:cs="Times New Roman"/>
          <w:szCs w:val="24"/>
        </w:rPr>
      </w:pPr>
      <w:r w:rsidRPr="003E6A7A">
        <w:rPr>
          <w:rFonts w:eastAsia="Calibri" w:cs="Times New Roman"/>
          <w:szCs w:val="24"/>
        </w:rPr>
        <w:t>Is the existing disclosure regime for short selling activities adequate? Please explain why or why not, indicating:</w:t>
      </w:r>
    </w:p>
    <w:p w14:paraId="0BF720B2" w14:textId="77777777" w:rsidR="00202BAD" w:rsidRPr="003E6A7A" w:rsidRDefault="00202BAD" w:rsidP="00202BAD">
      <w:pPr>
        <w:spacing w:before="0" w:after="0"/>
        <w:ind w:left="360"/>
        <w:rPr>
          <w:rFonts w:eastAsia="Calibri" w:cs="Times New Roman"/>
          <w:szCs w:val="24"/>
        </w:rPr>
      </w:pPr>
    </w:p>
    <w:p w14:paraId="6969A4CB" w14:textId="577097AF" w:rsidR="00452AE7" w:rsidRDefault="00452AE7" w:rsidP="00202BAD">
      <w:pPr>
        <w:pStyle w:val="ListParagraph"/>
        <w:numPr>
          <w:ilvl w:val="0"/>
          <w:numId w:val="41"/>
        </w:numPr>
        <w:spacing w:before="0" w:after="0"/>
        <w:contextualSpacing w:val="0"/>
        <w:rPr>
          <w:rFonts w:eastAsia="Calibri" w:cs="Times New Roman"/>
          <w:szCs w:val="24"/>
        </w:rPr>
      </w:pPr>
      <w:r w:rsidRPr="00305D10">
        <w:rPr>
          <w:rFonts w:eastAsia="Calibri" w:cs="Times New Roman"/>
          <w:szCs w:val="24"/>
        </w:rPr>
        <w:t xml:space="preserve">what disclosure requirements would address risks associated with potentially </w:t>
      </w:r>
      <w:r>
        <w:rPr>
          <w:rFonts w:eastAsia="Calibri" w:cs="Times New Roman"/>
          <w:szCs w:val="24"/>
        </w:rPr>
        <w:t>problematic</w:t>
      </w:r>
      <w:r w:rsidRPr="00305D10">
        <w:rPr>
          <w:rFonts w:eastAsia="Calibri" w:cs="Times New Roman"/>
          <w:szCs w:val="24"/>
        </w:rPr>
        <w:t xml:space="preserve"> activist short selling</w:t>
      </w:r>
      <w:r>
        <w:rPr>
          <w:rFonts w:eastAsia="Calibri" w:cs="Times New Roman"/>
          <w:szCs w:val="24"/>
        </w:rPr>
        <w:t xml:space="preserve"> and how would such requirements improve deterrence;</w:t>
      </w:r>
    </w:p>
    <w:p w14:paraId="1577F250" w14:textId="77777777" w:rsidR="00202BAD" w:rsidRPr="00305D10" w:rsidRDefault="00202BAD" w:rsidP="00202BAD">
      <w:pPr>
        <w:pStyle w:val="ListParagraph"/>
        <w:spacing w:before="0" w:after="0"/>
        <w:ind w:left="1080"/>
        <w:contextualSpacing w:val="0"/>
        <w:rPr>
          <w:rFonts w:eastAsia="Calibri" w:cs="Times New Roman"/>
          <w:szCs w:val="24"/>
        </w:rPr>
      </w:pPr>
    </w:p>
    <w:p w14:paraId="14E3FC34" w14:textId="29475980" w:rsidR="00452AE7" w:rsidRDefault="00452AE7" w:rsidP="00202BAD">
      <w:pPr>
        <w:pStyle w:val="ListParagraph"/>
        <w:numPr>
          <w:ilvl w:val="0"/>
          <w:numId w:val="41"/>
        </w:numPr>
        <w:spacing w:before="0" w:after="0"/>
        <w:contextualSpacing w:val="0"/>
        <w:rPr>
          <w:rFonts w:eastAsia="Calibri" w:cs="Times New Roman"/>
          <w:szCs w:val="24"/>
        </w:rPr>
      </w:pPr>
      <w:r w:rsidRPr="00305D10">
        <w:rPr>
          <w:rFonts w:eastAsia="Calibri" w:cs="Times New Roman"/>
          <w:szCs w:val="24"/>
        </w:rPr>
        <w:t>what should be the trigger and the timing of any additional disclosure</w:t>
      </w:r>
      <w:r>
        <w:rPr>
          <w:rFonts w:eastAsia="Calibri" w:cs="Times New Roman"/>
          <w:szCs w:val="24"/>
        </w:rPr>
        <w:t>;</w:t>
      </w:r>
    </w:p>
    <w:p w14:paraId="31413F38" w14:textId="5F172356" w:rsidR="00202BAD" w:rsidRPr="00202BAD" w:rsidRDefault="00202BAD" w:rsidP="00202BAD">
      <w:pPr>
        <w:spacing w:before="0" w:after="0"/>
        <w:rPr>
          <w:rFonts w:eastAsia="Calibri" w:cs="Times New Roman"/>
          <w:szCs w:val="24"/>
        </w:rPr>
      </w:pPr>
    </w:p>
    <w:p w14:paraId="094F256B" w14:textId="06ABE4CB" w:rsidR="00452AE7" w:rsidRDefault="00452AE7" w:rsidP="00202BAD">
      <w:pPr>
        <w:pStyle w:val="ListParagraph"/>
        <w:numPr>
          <w:ilvl w:val="0"/>
          <w:numId w:val="41"/>
        </w:numPr>
        <w:spacing w:before="0" w:after="0"/>
        <w:contextualSpacing w:val="0"/>
        <w:rPr>
          <w:rFonts w:eastAsia="Calibri" w:cs="Times New Roman"/>
          <w:szCs w:val="24"/>
        </w:rPr>
      </w:pPr>
      <w:r w:rsidRPr="00C6318A">
        <w:rPr>
          <w:rFonts w:eastAsia="Calibri" w:cs="Times New Roman"/>
          <w:szCs w:val="24"/>
        </w:rPr>
        <w:t>how can additional disclosure be meaningful without negatively impacting market liquidity</w:t>
      </w:r>
      <w:r>
        <w:rPr>
          <w:rFonts w:eastAsia="Calibri" w:cs="Times New Roman"/>
          <w:szCs w:val="24"/>
        </w:rPr>
        <w:t>; and</w:t>
      </w:r>
    </w:p>
    <w:p w14:paraId="0B74FEFD" w14:textId="4D7E9DE4" w:rsidR="00202BAD" w:rsidRPr="00202BAD" w:rsidRDefault="00202BAD" w:rsidP="00202BAD">
      <w:pPr>
        <w:spacing w:before="0" w:after="0"/>
        <w:rPr>
          <w:rFonts w:eastAsia="Calibri" w:cs="Times New Roman"/>
          <w:szCs w:val="24"/>
        </w:rPr>
      </w:pPr>
    </w:p>
    <w:p w14:paraId="3C5B3B22" w14:textId="64E0B48D" w:rsidR="00452AE7" w:rsidRDefault="00452AE7" w:rsidP="00202BAD">
      <w:pPr>
        <w:pStyle w:val="ListParagraph"/>
        <w:numPr>
          <w:ilvl w:val="0"/>
          <w:numId w:val="41"/>
        </w:numPr>
        <w:spacing w:before="0" w:after="0"/>
        <w:contextualSpacing w:val="0"/>
        <w:rPr>
          <w:rFonts w:eastAsia="Calibri" w:cs="Times New Roman"/>
          <w:szCs w:val="24"/>
        </w:rPr>
      </w:pPr>
      <w:r w:rsidRPr="00C6318A">
        <w:rPr>
          <w:rFonts w:eastAsia="Calibri" w:cs="Times New Roman"/>
          <w:szCs w:val="24"/>
        </w:rPr>
        <w:t>do you foresee any issues with imposing a duty to update</w:t>
      </w:r>
      <w:r>
        <w:rPr>
          <w:rFonts w:eastAsia="Calibri" w:cs="Times New Roman"/>
          <w:szCs w:val="24"/>
        </w:rPr>
        <w:t xml:space="preserve"> once there has been</w:t>
      </w:r>
      <w:r w:rsidRPr="00C6318A">
        <w:rPr>
          <w:rFonts w:eastAsia="Calibri" w:cs="Times New Roman"/>
          <w:szCs w:val="24"/>
        </w:rPr>
        <w:t xml:space="preserve"> a voluntary disclosure of a short position</w:t>
      </w:r>
      <w:r>
        <w:rPr>
          <w:rFonts w:eastAsia="Calibri" w:cs="Times New Roman"/>
          <w:szCs w:val="24"/>
        </w:rPr>
        <w:t>?</w:t>
      </w:r>
    </w:p>
    <w:p w14:paraId="1B7B5FAA" w14:textId="6D03155C" w:rsidR="00202BAD" w:rsidRPr="00202BAD" w:rsidRDefault="00202BAD" w:rsidP="00202BAD">
      <w:pPr>
        <w:spacing w:before="0" w:after="0"/>
        <w:rPr>
          <w:rFonts w:eastAsia="Calibri" w:cs="Times New Roman"/>
          <w:szCs w:val="24"/>
        </w:rPr>
      </w:pPr>
    </w:p>
    <w:p w14:paraId="12F86936" w14:textId="77777777" w:rsidR="00367344" w:rsidRPr="0053575E" w:rsidRDefault="00367344" w:rsidP="00202BAD">
      <w:pPr>
        <w:pStyle w:val="ListParagraph"/>
        <w:numPr>
          <w:ilvl w:val="0"/>
          <w:numId w:val="36"/>
        </w:numPr>
        <w:spacing w:before="0" w:after="0"/>
        <w:rPr>
          <w:rFonts w:cs="Times New Roman"/>
          <w:szCs w:val="24"/>
        </w:rPr>
      </w:pPr>
      <w:r w:rsidRPr="0053575E">
        <w:rPr>
          <w:rFonts w:cs="Times New Roman"/>
          <w:szCs w:val="24"/>
        </w:rPr>
        <w:t>In your view, do the existing enforcement mechanisms adequately deter problematic activist short selling?  If so, why?  If not, why not?</w:t>
      </w:r>
    </w:p>
    <w:p w14:paraId="5EE8F8A2" w14:textId="4E3CF979" w:rsidR="00367344" w:rsidRPr="00202BAD" w:rsidRDefault="00367344" w:rsidP="00202BAD">
      <w:pPr>
        <w:pStyle w:val="ListParagraph"/>
        <w:numPr>
          <w:ilvl w:val="1"/>
          <w:numId w:val="36"/>
        </w:numPr>
        <w:spacing w:before="0" w:after="0"/>
        <w:contextualSpacing w:val="0"/>
      </w:pPr>
      <w:r w:rsidRPr="00C37D28">
        <w:rPr>
          <w:rFonts w:cs="Times New Roman"/>
          <w:szCs w:val="24"/>
        </w:rPr>
        <w:lastRenderedPageBreak/>
        <w:t>Can deterrence be imp</w:t>
      </w:r>
      <w:r w:rsidRPr="001B0C3E">
        <w:rPr>
          <w:rFonts w:cs="Times New Roman"/>
          <w:szCs w:val="24"/>
        </w:rPr>
        <w:t xml:space="preserve">roved through specific regulation of activist short sellers?  If so, how?  </w:t>
      </w:r>
      <w:r w:rsidRPr="000D4A84">
        <w:rPr>
          <w:rFonts w:cs="Times New Roman"/>
          <w:szCs w:val="24"/>
        </w:rPr>
        <w:t xml:space="preserve"> </w:t>
      </w:r>
    </w:p>
    <w:p w14:paraId="143B68A2" w14:textId="77777777" w:rsidR="00202BAD" w:rsidRPr="00805B44" w:rsidRDefault="00202BAD" w:rsidP="00202BAD">
      <w:pPr>
        <w:pStyle w:val="ListParagraph"/>
        <w:spacing w:before="0" w:after="0"/>
        <w:ind w:left="1080"/>
        <w:contextualSpacing w:val="0"/>
      </w:pPr>
    </w:p>
    <w:p w14:paraId="0034228B" w14:textId="77777777" w:rsidR="00202BAD" w:rsidRDefault="00367344" w:rsidP="00202BAD">
      <w:pPr>
        <w:pStyle w:val="ListParagraph"/>
        <w:numPr>
          <w:ilvl w:val="0"/>
          <w:numId w:val="36"/>
        </w:numPr>
        <w:spacing w:before="0" w:after="0"/>
        <w:contextualSpacing w:val="0"/>
        <w:rPr>
          <w:rFonts w:cs="Times New Roman"/>
          <w:szCs w:val="24"/>
        </w:rPr>
      </w:pPr>
      <w:r w:rsidRPr="00805B44">
        <w:rPr>
          <w:rFonts w:cs="Times New Roman"/>
          <w:szCs w:val="24"/>
        </w:rPr>
        <w:t xml:space="preserve">Are there additional </w:t>
      </w:r>
      <w:r>
        <w:rPr>
          <w:rFonts w:cs="Times New Roman"/>
          <w:szCs w:val="24"/>
        </w:rPr>
        <w:t xml:space="preserve">or different </w:t>
      </w:r>
      <w:r w:rsidRPr="00805B44">
        <w:rPr>
          <w:rFonts w:cs="Times New Roman"/>
          <w:szCs w:val="24"/>
        </w:rPr>
        <w:t xml:space="preserve">regulatory or remedial provisions that could be </w:t>
      </w:r>
      <w:r>
        <w:rPr>
          <w:rFonts w:cs="Times New Roman"/>
          <w:szCs w:val="24"/>
        </w:rPr>
        <w:t>considered</w:t>
      </w:r>
      <w:r w:rsidRPr="00805B44">
        <w:rPr>
          <w:rFonts w:cs="Times New Roman"/>
          <w:szCs w:val="24"/>
        </w:rPr>
        <w:t xml:space="preserve"> to improve deterrence of problematic conduct?  If so, what</w:t>
      </w:r>
      <w:r>
        <w:rPr>
          <w:rFonts w:cs="Times New Roman"/>
          <w:szCs w:val="24"/>
        </w:rPr>
        <w:t xml:space="preserve"> are these provisions</w:t>
      </w:r>
      <w:r w:rsidRPr="00805B44">
        <w:rPr>
          <w:rFonts w:cs="Times New Roman"/>
          <w:szCs w:val="24"/>
        </w:rPr>
        <w:t xml:space="preserve">? </w:t>
      </w:r>
    </w:p>
    <w:p w14:paraId="2A974BA6" w14:textId="04DF28FD" w:rsidR="00367344" w:rsidRPr="00202BAD" w:rsidRDefault="00367344" w:rsidP="00202BAD">
      <w:pPr>
        <w:spacing w:before="0" w:after="0"/>
        <w:rPr>
          <w:rFonts w:cs="Times New Roman"/>
          <w:szCs w:val="24"/>
        </w:rPr>
      </w:pPr>
      <w:r w:rsidRPr="00202BAD">
        <w:rPr>
          <w:rFonts w:cs="Times New Roman"/>
          <w:szCs w:val="24"/>
        </w:rPr>
        <w:t xml:space="preserve"> </w:t>
      </w:r>
    </w:p>
    <w:p w14:paraId="093DEF42" w14:textId="6790A125" w:rsidR="00367344" w:rsidRDefault="00367344" w:rsidP="00202BAD">
      <w:pPr>
        <w:pStyle w:val="ListParagraph"/>
        <w:numPr>
          <w:ilvl w:val="0"/>
          <w:numId w:val="36"/>
        </w:numPr>
        <w:spacing w:before="0" w:after="0"/>
        <w:contextualSpacing w:val="0"/>
        <w:rPr>
          <w:rFonts w:cs="Times New Roman"/>
        </w:rPr>
      </w:pPr>
      <w:r w:rsidRPr="39260D18">
        <w:rPr>
          <w:rFonts w:cs="Times New Roman"/>
        </w:rPr>
        <w:t>Can you provide examples of specific activist short selling conduct that in your view is problematic but may not fall within the scope of existing securities offences such as market manipulation and misrepresentation/misleading statements?  In your view, how should this problematic conduct be addressed by regulators?</w:t>
      </w:r>
    </w:p>
    <w:p w14:paraId="3282EEF2" w14:textId="62A2555A" w:rsidR="00202BAD" w:rsidRPr="00202BAD" w:rsidRDefault="00202BAD" w:rsidP="00202BAD">
      <w:pPr>
        <w:spacing w:before="0" w:after="0"/>
        <w:rPr>
          <w:rFonts w:cs="Times New Roman"/>
        </w:rPr>
      </w:pPr>
    </w:p>
    <w:p w14:paraId="28106330" w14:textId="76FC0987" w:rsidR="4734B6CF" w:rsidRPr="00202BAD" w:rsidRDefault="4734B6CF" w:rsidP="00202BAD">
      <w:pPr>
        <w:pStyle w:val="ListParagraph"/>
        <w:numPr>
          <w:ilvl w:val="0"/>
          <w:numId w:val="36"/>
        </w:numPr>
        <w:spacing w:before="0" w:after="0"/>
        <w:rPr>
          <w:rFonts w:asciiTheme="minorHAnsi" w:eastAsiaTheme="minorEastAsia" w:hAnsiTheme="minorHAnsi"/>
          <w:szCs w:val="24"/>
        </w:rPr>
      </w:pPr>
      <w:r w:rsidRPr="39260D18">
        <w:rPr>
          <w:rFonts w:eastAsia="Times New Roman" w:cs="Times New Roman"/>
          <w:szCs w:val="24"/>
        </w:rPr>
        <w:t xml:space="preserve">Is it important that a statement have actual market impact to trigger enforcement action by securities regulators?  </w:t>
      </w:r>
    </w:p>
    <w:p w14:paraId="3E06833E" w14:textId="4CB1B695" w:rsidR="00202BAD" w:rsidRPr="00202BAD" w:rsidRDefault="00202BAD" w:rsidP="00202BAD">
      <w:pPr>
        <w:spacing w:before="0" w:after="0"/>
        <w:rPr>
          <w:rFonts w:asciiTheme="minorHAnsi" w:eastAsiaTheme="minorEastAsia" w:hAnsiTheme="minorHAnsi"/>
          <w:szCs w:val="24"/>
        </w:rPr>
      </w:pPr>
    </w:p>
    <w:p w14:paraId="17B9E25C" w14:textId="77777777" w:rsidR="4734B6CF" w:rsidRDefault="4734B6CF" w:rsidP="00202BAD">
      <w:pPr>
        <w:pStyle w:val="ListParagraph"/>
        <w:numPr>
          <w:ilvl w:val="1"/>
          <w:numId w:val="36"/>
        </w:numPr>
        <w:spacing w:before="0" w:after="0"/>
        <w:rPr>
          <w:rFonts w:asciiTheme="minorHAnsi" w:eastAsiaTheme="minorEastAsia" w:hAnsiTheme="minorHAnsi"/>
          <w:szCs w:val="24"/>
        </w:rPr>
      </w:pPr>
      <w:r w:rsidRPr="39260D18">
        <w:rPr>
          <w:rFonts w:eastAsia="Times New Roman" w:cs="Times New Roman"/>
          <w:szCs w:val="24"/>
        </w:rPr>
        <w:t>Should another standard be used?  For example, in your view is the “reasonable investor” standard a preferable approach (e.g., would a reasonable investor consider that statement important when making an investment decision)? If so, why?  What are the potential implications of such a change?</w:t>
      </w:r>
    </w:p>
    <w:p w14:paraId="5FF99F8B" w14:textId="629F839C" w:rsidR="008D2DE9" w:rsidRDefault="008D2DE9" w:rsidP="000902F5">
      <w:pPr>
        <w:spacing w:before="0" w:after="200" w:line="276" w:lineRule="auto"/>
        <w:rPr>
          <w:rFonts w:cs="Times New Roman"/>
          <w:b/>
          <w:szCs w:val="24"/>
          <w:lang w:val="en-US"/>
        </w:rPr>
      </w:pPr>
    </w:p>
    <w:p w14:paraId="4445BC37" w14:textId="77777777" w:rsidR="008E1C3F" w:rsidRDefault="008E1C3F" w:rsidP="000902F5">
      <w:pPr>
        <w:spacing w:before="0" w:after="200" w:line="276" w:lineRule="auto"/>
        <w:rPr>
          <w:rFonts w:cs="Times New Roman"/>
          <w:b/>
          <w:szCs w:val="24"/>
          <w:lang w:val="en-US"/>
        </w:rPr>
      </w:pPr>
    </w:p>
    <w:p w14:paraId="62D45878" w14:textId="77777777" w:rsidR="003F5CD4" w:rsidRPr="00E31E48" w:rsidRDefault="003F5CD4" w:rsidP="000902F5">
      <w:pPr>
        <w:spacing w:after="240"/>
        <w:rPr>
          <w:b/>
          <w:szCs w:val="24"/>
        </w:rPr>
      </w:pPr>
      <w:r>
        <w:rPr>
          <w:b/>
          <w:szCs w:val="24"/>
        </w:rPr>
        <w:t>Comments and submissions</w:t>
      </w:r>
    </w:p>
    <w:p w14:paraId="0752DE98" w14:textId="4941E006" w:rsidR="003F5CD4" w:rsidRDefault="003F5CD4" w:rsidP="000902F5">
      <w:pPr>
        <w:spacing w:after="240"/>
        <w:rPr>
          <w:szCs w:val="24"/>
        </w:rPr>
      </w:pPr>
      <w:r w:rsidRPr="002C2B82">
        <w:rPr>
          <w:szCs w:val="24"/>
        </w:rPr>
        <w:t xml:space="preserve">The Committee invites participants to provide input on the issues outlined in this public consultation paper. You may provide written comments in hard copy or electronic form. The consultation period expires </w:t>
      </w:r>
      <w:r w:rsidR="00467F4D">
        <w:rPr>
          <w:b/>
          <w:szCs w:val="24"/>
        </w:rPr>
        <w:t>March 3, 2021</w:t>
      </w:r>
      <w:r w:rsidRPr="002C2B82">
        <w:rPr>
          <w:szCs w:val="24"/>
        </w:rPr>
        <w:t xml:space="preserve">. </w:t>
      </w:r>
    </w:p>
    <w:tbl>
      <w:tblPr>
        <w:tblW w:w="0" w:type="auto"/>
        <w:tblInd w:w="-23" w:type="dxa"/>
        <w:tblBorders>
          <w:top w:val="single" w:sz="18" w:space="0" w:color="E36C0A"/>
          <w:left w:val="single" w:sz="18" w:space="0" w:color="E36C0A"/>
          <w:bottom w:val="single" w:sz="18" w:space="0" w:color="E36C0A"/>
          <w:right w:val="single" w:sz="18" w:space="0" w:color="E36C0A"/>
          <w:insideH w:val="single" w:sz="18" w:space="0" w:color="E36C0A"/>
          <w:insideV w:val="single" w:sz="18" w:space="0" w:color="E36C0A"/>
        </w:tblBorders>
        <w:shd w:val="clear" w:color="auto" w:fill="EAB18E"/>
        <w:tblLook w:val="04A0" w:firstRow="1" w:lastRow="0" w:firstColumn="1" w:lastColumn="0" w:noHBand="0" w:noVBand="1"/>
      </w:tblPr>
      <w:tblGrid>
        <w:gridCol w:w="9337"/>
      </w:tblGrid>
      <w:tr w:rsidR="008F6D4F" w:rsidRPr="004F6434" w14:paraId="250AB534" w14:textId="77777777" w:rsidTr="008F6D4F">
        <w:trPr>
          <w:trHeight w:val="2547"/>
        </w:trPr>
        <w:tc>
          <w:tcPr>
            <w:tcW w:w="9337" w:type="dxa"/>
            <w:shd w:val="clear" w:color="auto" w:fill="EAB18E"/>
          </w:tcPr>
          <w:p w14:paraId="11322F62" w14:textId="77777777" w:rsidR="008F6D4F" w:rsidRDefault="008F6D4F" w:rsidP="000902F5">
            <w:pPr>
              <w:tabs>
                <w:tab w:val="left" w:pos="360"/>
              </w:tabs>
              <w:autoSpaceDE w:val="0"/>
              <w:autoSpaceDN w:val="0"/>
              <w:adjustRightInd w:val="0"/>
              <w:spacing w:before="0" w:after="200" w:line="276" w:lineRule="auto"/>
              <w:rPr>
                <w:b/>
                <w:color w:val="000000"/>
                <w:szCs w:val="24"/>
              </w:rPr>
            </w:pPr>
            <w:r>
              <w:rPr>
                <w:b/>
                <w:color w:val="000000"/>
                <w:szCs w:val="24"/>
              </w:rPr>
              <w:t>Statement for consultation paper</w:t>
            </w:r>
          </w:p>
          <w:p w14:paraId="4D5084FD" w14:textId="77777777" w:rsidR="008F6D4F" w:rsidRPr="004F6434" w:rsidRDefault="008F6D4F" w:rsidP="000902F5">
            <w:pPr>
              <w:tabs>
                <w:tab w:val="left" w:pos="360"/>
              </w:tabs>
              <w:autoSpaceDE w:val="0"/>
              <w:autoSpaceDN w:val="0"/>
              <w:adjustRightInd w:val="0"/>
              <w:spacing w:before="0" w:after="200" w:line="276" w:lineRule="auto"/>
              <w:rPr>
                <w:szCs w:val="24"/>
              </w:rPr>
            </w:pPr>
            <w:r w:rsidRPr="002C2B82">
              <w:rPr>
                <w:szCs w:val="24"/>
              </w:rPr>
              <w:t>Certain CSA regulators require publication of the written comments received during the comment period. We will publish all responses received on the websites of the Autorité des marchés financiers (www.lautorite.qc.ca), the Ontario Securities Commission (www.osc.gov.on.ca), and the Alberta Securities Commission (www.albertasecurities.com). Therefore, you should not include personal information directly in comments to be published. It is important that you state on whose behalf you are making the submission</w:t>
            </w:r>
            <w:r>
              <w:rPr>
                <w:szCs w:val="24"/>
              </w:rPr>
              <w:t>.</w:t>
            </w:r>
          </w:p>
        </w:tc>
      </w:tr>
    </w:tbl>
    <w:p w14:paraId="26D656D2" w14:textId="77777777" w:rsidR="008F6D4F" w:rsidRDefault="008F6D4F" w:rsidP="008F6D4F">
      <w:pPr>
        <w:spacing w:before="0" w:after="0" w:line="276" w:lineRule="auto"/>
        <w:rPr>
          <w:rFonts w:cs="Times New Roman"/>
          <w:szCs w:val="24"/>
          <w:lang w:val="en-US"/>
        </w:rPr>
      </w:pPr>
    </w:p>
    <w:p w14:paraId="07CD8258" w14:textId="499AB4FE" w:rsidR="00FF57CF" w:rsidRPr="00FF57CF" w:rsidRDefault="00FF57CF" w:rsidP="00FF57CF">
      <w:pPr>
        <w:spacing w:before="0" w:after="200" w:line="276" w:lineRule="auto"/>
        <w:rPr>
          <w:rFonts w:cs="Times New Roman"/>
          <w:szCs w:val="24"/>
          <w:lang w:val="en-US"/>
        </w:rPr>
      </w:pPr>
      <w:r w:rsidRPr="00FF57CF">
        <w:rPr>
          <w:rFonts w:cs="Times New Roman"/>
          <w:szCs w:val="24"/>
          <w:lang w:val="en-US"/>
        </w:rPr>
        <w:t>Please submit your comments in writing on or before</w:t>
      </w:r>
      <w:r w:rsidR="00467F4D">
        <w:rPr>
          <w:rFonts w:cs="Times New Roman"/>
          <w:szCs w:val="24"/>
          <w:lang w:val="en-US"/>
        </w:rPr>
        <w:t xml:space="preserve"> March 3,</w:t>
      </w:r>
      <w:r w:rsidRPr="00FF57CF">
        <w:rPr>
          <w:rFonts w:cs="Times New Roman"/>
          <w:szCs w:val="24"/>
          <w:lang w:val="en-US"/>
        </w:rPr>
        <w:t xml:space="preserve"> 202</w:t>
      </w:r>
      <w:r w:rsidR="00467F4D">
        <w:rPr>
          <w:rFonts w:cs="Times New Roman"/>
          <w:szCs w:val="24"/>
          <w:lang w:val="en-US"/>
        </w:rPr>
        <w:t>1.</w:t>
      </w:r>
      <w:r w:rsidRPr="00FF57CF">
        <w:rPr>
          <w:rFonts w:cs="Times New Roman"/>
          <w:szCs w:val="24"/>
          <w:lang w:val="en-US"/>
        </w:rPr>
        <w:t xml:space="preserve"> Please send your comments by email in Microsoft Word format.</w:t>
      </w:r>
    </w:p>
    <w:p w14:paraId="720E2B74" w14:textId="77777777" w:rsidR="00FF57CF" w:rsidRPr="00FF57CF" w:rsidRDefault="00FF57CF" w:rsidP="00FF57CF">
      <w:pPr>
        <w:spacing w:before="0" w:after="200" w:line="276" w:lineRule="auto"/>
        <w:rPr>
          <w:rFonts w:cs="Times New Roman"/>
          <w:szCs w:val="24"/>
          <w:lang w:val="en-US"/>
        </w:rPr>
      </w:pPr>
      <w:r w:rsidRPr="00FF57CF">
        <w:rPr>
          <w:rFonts w:cs="Times New Roman"/>
          <w:szCs w:val="24"/>
          <w:lang w:val="en-US"/>
        </w:rPr>
        <w:t>Please address your submission to all members of the CSA as follows:</w:t>
      </w:r>
    </w:p>
    <w:p w14:paraId="24A5F7E7" w14:textId="77777777" w:rsidR="00FF57CF" w:rsidRPr="00FF57CF" w:rsidRDefault="00FF57CF" w:rsidP="006110C2">
      <w:pPr>
        <w:spacing w:before="0" w:after="0"/>
        <w:rPr>
          <w:rFonts w:cs="Times New Roman"/>
          <w:szCs w:val="24"/>
          <w:lang w:val="en-US"/>
        </w:rPr>
      </w:pPr>
      <w:r w:rsidRPr="00FF57CF">
        <w:rPr>
          <w:rFonts w:cs="Times New Roman"/>
          <w:szCs w:val="24"/>
          <w:lang w:val="en-US"/>
        </w:rPr>
        <w:t>British Columbia Securities Commission</w:t>
      </w:r>
    </w:p>
    <w:p w14:paraId="0E242F04" w14:textId="77777777" w:rsidR="00FF57CF" w:rsidRPr="00FF57CF" w:rsidRDefault="00FF57CF" w:rsidP="006110C2">
      <w:pPr>
        <w:spacing w:before="0" w:after="0"/>
        <w:rPr>
          <w:rFonts w:cs="Times New Roman"/>
          <w:szCs w:val="24"/>
          <w:lang w:val="en-US"/>
        </w:rPr>
      </w:pPr>
      <w:r w:rsidRPr="00FF57CF">
        <w:rPr>
          <w:rFonts w:cs="Times New Roman"/>
          <w:szCs w:val="24"/>
          <w:lang w:val="en-US"/>
        </w:rPr>
        <w:t>Alberta Securities Commission</w:t>
      </w:r>
    </w:p>
    <w:p w14:paraId="1D2C549E" w14:textId="77777777" w:rsidR="00FF57CF" w:rsidRPr="00FF57CF" w:rsidRDefault="00FF57CF" w:rsidP="006110C2">
      <w:pPr>
        <w:spacing w:before="0" w:after="0"/>
        <w:rPr>
          <w:rFonts w:cs="Times New Roman"/>
          <w:szCs w:val="24"/>
          <w:lang w:val="en-US"/>
        </w:rPr>
      </w:pPr>
      <w:r w:rsidRPr="00FF57CF">
        <w:rPr>
          <w:rFonts w:cs="Times New Roman"/>
          <w:szCs w:val="24"/>
          <w:lang w:val="en-US"/>
        </w:rPr>
        <w:t>Financial and Consumer Affairs Authority of Saskatchewan</w:t>
      </w:r>
    </w:p>
    <w:p w14:paraId="48B6F2A9" w14:textId="77777777" w:rsidR="00FF57CF" w:rsidRPr="00FF57CF" w:rsidRDefault="00FF57CF" w:rsidP="006110C2">
      <w:pPr>
        <w:spacing w:before="0" w:after="0"/>
        <w:rPr>
          <w:rFonts w:cs="Times New Roman"/>
          <w:szCs w:val="24"/>
          <w:lang w:val="en-US"/>
        </w:rPr>
      </w:pPr>
      <w:r w:rsidRPr="00FF57CF">
        <w:rPr>
          <w:rFonts w:cs="Times New Roman"/>
          <w:szCs w:val="24"/>
          <w:lang w:val="en-US"/>
        </w:rPr>
        <w:lastRenderedPageBreak/>
        <w:t>The Manitoba Securities Commission</w:t>
      </w:r>
    </w:p>
    <w:p w14:paraId="2D881F41" w14:textId="77777777" w:rsidR="00FF57CF" w:rsidRPr="00FF57CF" w:rsidRDefault="00FF57CF" w:rsidP="006110C2">
      <w:pPr>
        <w:spacing w:before="0" w:after="0"/>
        <w:rPr>
          <w:rFonts w:cs="Times New Roman"/>
          <w:szCs w:val="24"/>
          <w:lang w:val="en-US"/>
        </w:rPr>
      </w:pPr>
      <w:r w:rsidRPr="00FF57CF">
        <w:rPr>
          <w:rFonts w:cs="Times New Roman"/>
          <w:szCs w:val="24"/>
          <w:lang w:val="en-US"/>
        </w:rPr>
        <w:t>Ontario Securities Commission</w:t>
      </w:r>
    </w:p>
    <w:p w14:paraId="5A23BCA1" w14:textId="77777777" w:rsidR="00FF57CF" w:rsidRPr="00FF57CF" w:rsidRDefault="00FF57CF" w:rsidP="006110C2">
      <w:pPr>
        <w:spacing w:before="0" w:after="0"/>
        <w:rPr>
          <w:rFonts w:cs="Times New Roman"/>
          <w:szCs w:val="24"/>
          <w:lang w:val="en-US"/>
        </w:rPr>
      </w:pPr>
      <w:r w:rsidRPr="00FF57CF">
        <w:rPr>
          <w:rFonts w:cs="Times New Roman"/>
          <w:szCs w:val="24"/>
          <w:lang w:val="en-US"/>
        </w:rPr>
        <w:t>Autorité des marchés financiers</w:t>
      </w:r>
    </w:p>
    <w:p w14:paraId="28085949" w14:textId="77777777" w:rsidR="00FF57CF" w:rsidRPr="00FF57CF" w:rsidRDefault="00FF57CF" w:rsidP="006110C2">
      <w:pPr>
        <w:spacing w:before="0" w:after="0"/>
        <w:rPr>
          <w:rFonts w:cs="Times New Roman"/>
          <w:szCs w:val="24"/>
          <w:lang w:val="en-US"/>
        </w:rPr>
      </w:pPr>
      <w:r w:rsidRPr="00FF57CF">
        <w:rPr>
          <w:rFonts w:cs="Times New Roman"/>
          <w:szCs w:val="24"/>
          <w:lang w:val="en-US"/>
        </w:rPr>
        <w:t xml:space="preserve">Financial and Consumer Services Commission </w:t>
      </w:r>
      <w:r w:rsidR="00CE6624">
        <w:rPr>
          <w:rFonts w:cs="Times New Roman"/>
          <w:szCs w:val="24"/>
          <w:lang w:val="en-US"/>
        </w:rPr>
        <w:t>(</w:t>
      </w:r>
      <w:r w:rsidRPr="00FF57CF">
        <w:rPr>
          <w:rFonts w:cs="Times New Roman"/>
          <w:szCs w:val="24"/>
          <w:lang w:val="en-US"/>
        </w:rPr>
        <w:t>New Brunswick</w:t>
      </w:r>
      <w:r w:rsidR="00CE6624">
        <w:rPr>
          <w:rFonts w:cs="Times New Roman"/>
          <w:szCs w:val="24"/>
          <w:lang w:val="en-US"/>
        </w:rPr>
        <w:t>)</w:t>
      </w:r>
    </w:p>
    <w:p w14:paraId="63561577" w14:textId="77777777" w:rsidR="00FF57CF" w:rsidRPr="00FF57CF" w:rsidRDefault="00FF57CF" w:rsidP="006110C2">
      <w:pPr>
        <w:spacing w:before="0" w:after="0"/>
        <w:rPr>
          <w:rFonts w:cs="Times New Roman"/>
          <w:szCs w:val="24"/>
          <w:lang w:val="en-US"/>
        </w:rPr>
      </w:pPr>
      <w:r w:rsidRPr="00FF57CF">
        <w:rPr>
          <w:rFonts w:cs="Times New Roman"/>
          <w:szCs w:val="24"/>
          <w:lang w:val="en-US"/>
        </w:rPr>
        <w:t>Superintendent of Securities, Prince Edward Island</w:t>
      </w:r>
    </w:p>
    <w:p w14:paraId="78826F29" w14:textId="77777777" w:rsidR="00FF57CF" w:rsidRPr="00FF57CF" w:rsidRDefault="00FF57CF" w:rsidP="006110C2">
      <w:pPr>
        <w:spacing w:before="0" w:after="0"/>
        <w:rPr>
          <w:rFonts w:cs="Times New Roman"/>
          <w:szCs w:val="24"/>
          <w:lang w:val="en-US"/>
        </w:rPr>
      </w:pPr>
      <w:r w:rsidRPr="00FF57CF">
        <w:rPr>
          <w:rFonts w:cs="Times New Roman"/>
          <w:szCs w:val="24"/>
          <w:lang w:val="en-US"/>
        </w:rPr>
        <w:t>Nova Scotia Securities Commission</w:t>
      </w:r>
    </w:p>
    <w:p w14:paraId="3EEF7E8B" w14:textId="77777777" w:rsidR="00FF57CF" w:rsidRPr="00FF57CF" w:rsidRDefault="00FF57CF" w:rsidP="006110C2">
      <w:pPr>
        <w:spacing w:before="0" w:after="0"/>
        <w:rPr>
          <w:rFonts w:cs="Times New Roman"/>
          <w:szCs w:val="24"/>
          <w:lang w:val="en-US"/>
        </w:rPr>
      </w:pPr>
      <w:r w:rsidRPr="00FF57CF">
        <w:rPr>
          <w:rFonts w:cs="Times New Roman"/>
          <w:szCs w:val="24"/>
          <w:lang w:val="en-US"/>
        </w:rPr>
        <w:t>Superintendent of Securities, Newfoundland and Labrador</w:t>
      </w:r>
    </w:p>
    <w:p w14:paraId="04D65DB6" w14:textId="77777777" w:rsidR="00FF57CF" w:rsidRPr="00FF57CF" w:rsidRDefault="00FF57CF" w:rsidP="006110C2">
      <w:pPr>
        <w:spacing w:before="0" w:after="0"/>
        <w:rPr>
          <w:rFonts w:cs="Times New Roman"/>
          <w:szCs w:val="24"/>
          <w:lang w:val="en-US"/>
        </w:rPr>
      </w:pPr>
      <w:r w:rsidRPr="00FF57CF">
        <w:rPr>
          <w:rFonts w:cs="Times New Roman"/>
          <w:szCs w:val="24"/>
          <w:lang w:val="en-US"/>
        </w:rPr>
        <w:t>Superintendent of Securities, Yukon Territory</w:t>
      </w:r>
    </w:p>
    <w:p w14:paraId="2ED5BFF9" w14:textId="77777777" w:rsidR="00FF57CF" w:rsidRPr="00FF57CF" w:rsidRDefault="00FF57CF" w:rsidP="006110C2">
      <w:pPr>
        <w:spacing w:before="0" w:after="0"/>
        <w:rPr>
          <w:rFonts w:cs="Times New Roman"/>
          <w:szCs w:val="24"/>
          <w:lang w:val="en-US"/>
        </w:rPr>
      </w:pPr>
      <w:r w:rsidRPr="00FF57CF">
        <w:rPr>
          <w:rFonts w:cs="Times New Roman"/>
          <w:szCs w:val="24"/>
          <w:lang w:val="en-US"/>
        </w:rPr>
        <w:t>Superintendent of Securities, Northwest Territories</w:t>
      </w:r>
    </w:p>
    <w:p w14:paraId="5932776A" w14:textId="77777777" w:rsidR="00FF57CF" w:rsidRPr="00FF57CF" w:rsidRDefault="00FF57CF" w:rsidP="006110C2">
      <w:pPr>
        <w:spacing w:before="0" w:after="0"/>
        <w:rPr>
          <w:rFonts w:cs="Times New Roman"/>
          <w:szCs w:val="24"/>
          <w:lang w:val="en-US"/>
        </w:rPr>
      </w:pPr>
      <w:r w:rsidRPr="00FF57CF">
        <w:rPr>
          <w:rFonts w:cs="Times New Roman"/>
          <w:szCs w:val="24"/>
          <w:lang w:val="en-US"/>
        </w:rPr>
        <w:t>Superintendent of Securities, Nunavut</w:t>
      </w:r>
    </w:p>
    <w:p w14:paraId="001C140C" w14:textId="77777777" w:rsidR="00103BB4" w:rsidRDefault="00103BB4" w:rsidP="00FF57CF">
      <w:pPr>
        <w:spacing w:before="0" w:after="200" w:line="276" w:lineRule="auto"/>
        <w:rPr>
          <w:rFonts w:cs="Times New Roman"/>
          <w:szCs w:val="24"/>
          <w:lang w:val="en-US"/>
        </w:rPr>
      </w:pPr>
    </w:p>
    <w:p w14:paraId="5039D179" w14:textId="77777777" w:rsidR="00FF57CF" w:rsidRPr="00FF57CF" w:rsidRDefault="00FF57CF" w:rsidP="00FF57CF">
      <w:pPr>
        <w:spacing w:before="0" w:after="200" w:line="276" w:lineRule="auto"/>
        <w:rPr>
          <w:rFonts w:cs="Times New Roman"/>
          <w:szCs w:val="24"/>
          <w:lang w:val="en-US"/>
        </w:rPr>
      </w:pPr>
      <w:r w:rsidRPr="00FF57CF">
        <w:rPr>
          <w:rFonts w:cs="Times New Roman"/>
          <w:szCs w:val="24"/>
          <w:lang w:val="en-US"/>
        </w:rPr>
        <w:t>Please deliver your comments only to the addresses below. Your comments will be distributed to the other participating CSA members.</w:t>
      </w:r>
    </w:p>
    <w:p w14:paraId="5525E2E1" w14:textId="77777777" w:rsidR="00FF57CF" w:rsidRPr="00FF57CF" w:rsidRDefault="00FF57CF" w:rsidP="006110C2">
      <w:pPr>
        <w:spacing w:before="0" w:after="0"/>
        <w:rPr>
          <w:rFonts w:cs="Times New Roman"/>
          <w:szCs w:val="24"/>
          <w:lang w:val="en-US"/>
        </w:rPr>
      </w:pPr>
      <w:r w:rsidRPr="00FF57CF">
        <w:rPr>
          <w:rFonts w:cs="Times New Roman"/>
          <w:szCs w:val="24"/>
          <w:lang w:val="en-US"/>
        </w:rPr>
        <w:t>Me Philippe Lebel</w:t>
      </w:r>
    </w:p>
    <w:p w14:paraId="297DA463" w14:textId="77777777" w:rsidR="00FF57CF" w:rsidRPr="00FF57CF" w:rsidRDefault="00FF57CF" w:rsidP="006110C2">
      <w:pPr>
        <w:spacing w:before="0" w:after="0"/>
        <w:rPr>
          <w:rFonts w:cs="Times New Roman"/>
          <w:szCs w:val="24"/>
          <w:lang w:val="en-US"/>
        </w:rPr>
      </w:pPr>
      <w:r w:rsidRPr="00FF57CF">
        <w:rPr>
          <w:rFonts w:cs="Times New Roman"/>
          <w:szCs w:val="24"/>
          <w:lang w:val="en-US"/>
        </w:rPr>
        <w:t>Corporate Secretary and Executive Director, Legal Affairs</w:t>
      </w:r>
    </w:p>
    <w:p w14:paraId="54182ADA" w14:textId="77777777" w:rsidR="00FF57CF" w:rsidRPr="00FF57CF" w:rsidRDefault="00FF57CF" w:rsidP="006110C2">
      <w:pPr>
        <w:spacing w:before="0" w:after="0"/>
        <w:rPr>
          <w:rFonts w:cs="Times New Roman"/>
          <w:szCs w:val="24"/>
          <w:lang w:val="en-US"/>
        </w:rPr>
      </w:pPr>
      <w:r w:rsidRPr="00FF57CF">
        <w:rPr>
          <w:rFonts w:cs="Times New Roman"/>
          <w:szCs w:val="24"/>
          <w:lang w:val="en-US"/>
        </w:rPr>
        <w:t>Autorité des marchés financiers</w:t>
      </w:r>
    </w:p>
    <w:p w14:paraId="3E30D293" w14:textId="77777777" w:rsidR="00FF57CF" w:rsidRPr="00FF57CF" w:rsidRDefault="00FF57CF" w:rsidP="006110C2">
      <w:pPr>
        <w:spacing w:before="0" w:after="0"/>
        <w:rPr>
          <w:rFonts w:cs="Times New Roman"/>
          <w:szCs w:val="24"/>
          <w:lang w:val="en-US"/>
        </w:rPr>
      </w:pPr>
      <w:r w:rsidRPr="00FF57CF">
        <w:rPr>
          <w:rFonts w:cs="Times New Roman"/>
          <w:szCs w:val="24"/>
          <w:lang w:val="en-US"/>
        </w:rPr>
        <w:t>Place de la Cité, tour Cominar</w:t>
      </w:r>
    </w:p>
    <w:p w14:paraId="720B2206" w14:textId="77777777" w:rsidR="00FF57CF" w:rsidRPr="00FF57CF" w:rsidRDefault="00FF57CF" w:rsidP="006110C2">
      <w:pPr>
        <w:spacing w:before="0" w:after="0"/>
        <w:rPr>
          <w:rFonts w:cs="Times New Roman"/>
          <w:szCs w:val="24"/>
          <w:lang w:val="en-US"/>
        </w:rPr>
      </w:pPr>
      <w:r w:rsidRPr="00FF57CF">
        <w:rPr>
          <w:rFonts w:cs="Times New Roman"/>
          <w:szCs w:val="24"/>
          <w:lang w:val="en-US"/>
        </w:rPr>
        <w:t>2640, boulevard Laurier, bureau 400</w:t>
      </w:r>
    </w:p>
    <w:p w14:paraId="30252B1B" w14:textId="77777777" w:rsidR="00FF57CF" w:rsidRPr="00FF57CF" w:rsidRDefault="00FF57CF" w:rsidP="006110C2">
      <w:pPr>
        <w:spacing w:before="0" w:after="0"/>
        <w:rPr>
          <w:rFonts w:cs="Times New Roman"/>
          <w:szCs w:val="24"/>
          <w:lang w:val="en-US"/>
        </w:rPr>
      </w:pPr>
      <w:r w:rsidRPr="00FF57CF">
        <w:rPr>
          <w:rFonts w:cs="Times New Roman"/>
          <w:szCs w:val="24"/>
          <w:lang w:val="en-US"/>
        </w:rPr>
        <w:t>Québec (Québec) G1V 5C1</w:t>
      </w:r>
    </w:p>
    <w:p w14:paraId="1CF36614" w14:textId="77777777" w:rsidR="00FF57CF" w:rsidRPr="00FF57CF" w:rsidRDefault="00FF57CF" w:rsidP="006110C2">
      <w:pPr>
        <w:spacing w:before="0" w:after="0"/>
        <w:rPr>
          <w:rFonts w:cs="Times New Roman"/>
          <w:szCs w:val="24"/>
          <w:lang w:val="en-US"/>
        </w:rPr>
      </w:pPr>
      <w:r w:rsidRPr="00FF57CF">
        <w:rPr>
          <w:rFonts w:cs="Times New Roman"/>
          <w:szCs w:val="24"/>
          <w:lang w:val="en-US"/>
        </w:rPr>
        <w:t>Fax: (514) 864-8381</w:t>
      </w:r>
    </w:p>
    <w:p w14:paraId="409FDABE" w14:textId="77777777" w:rsidR="00FF57CF" w:rsidRDefault="00FF57CF" w:rsidP="006110C2">
      <w:pPr>
        <w:spacing w:before="0" w:after="0"/>
        <w:rPr>
          <w:rFonts w:cs="Times New Roman"/>
          <w:szCs w:val="24"/>
          <w:lang w:val="en-US"/>
        </w:rPr>
      </w:pPr>
      <w:r w:rsidRPr="00FF57CF">
        <w:rPr>
          <w:rFonts w:cs="Times New Roman"/>
          <w:szCs w:val="24"/>
          <w:lang w:val="en-US"/>
        </w:rPr>
        <w:t xml:space="preserve">E-mail: </w:t>
      </w:r>
      <w:hyperlink r:id="rId18" w:history="1">
        <w:r w:rsidR="00103BB4" w:rsidRPr="00825A66">
          <w:rPr>
            <w:rStyle w:val="Hyperlink"/>
            <w:rFonts w:cs="Times New Roman"/>
            <w:szCs w:val="24"/>
            <w:lang w:val="en-US"/>
          </w:rPr>
          <w:t>consultation-en-cours@lautorite.qc.ca</w:t>
        </w:r>
      </w:hyperlink>
    </w:p>
    <w:p w14:paraId="4F977DD2" w14:textId="77777777" w:rsidR="00103BB4" w:rsidRPr="00FF57CF" w:rsidRDefault="00103BB4" w:rsidP="006110C2">
      <w:pPr>
        <w:spacing w:before="0" w:after="0"/>
        <w:rPr>
          <w:rFonts w:cs="Times New Roman"/>
          <w:szCs w:val="24"/>
          <w:lang w:val="en-US"/>
        </w:rPr>
      </w:pPr>
    </w:p>
    <w:p w14:paraId="01C2B01E" w14:textId="77777777" w:rsidR="00FF57CF" w:rsidRPr="00FF57CF" w:rsidRDefault="00FF57CF" w:rsidP="006110C2">
      <w:pPr>
        <w:spacing w:before="0" w:after="0"/>
        <w:rPr>
          <w:rFonts w:cs="Times New Roman"/>
          <w:szCs w:val="24"/>
          <w:lang w:val="en-US"/>
        </w:rPr>
      </w:pPr>
      <w:r w:rsidRPr="00FF57CF">
        <w:rPr>
          <w:rFonts w:cs="Times New Roman"/>
          <w:szCs w:val="24"/>
          <w:lang w:val="en-US"/>
        </w:rPr>
        <w:t>The Secretary</w:t>
      </w:r>
    </w:p>
    <w:p w14:paraId="24EB25AC" w14:textId="77777777" w:rsidR="00FF57CF" w:rsidRPr="00FF57CF" w:rsidRDefault="00FF57CF" w:rsidP="006110C2">
      <w:pPr>
        <w:spacing w:before="0" w:after="0"/>
        <w:rPr>
          <w:rFonts w:cs="Times New Roman"/>
          <w:szCs w:val="24"/>
          <w:lang w:val="en-US"/>
        </w:rPr>
      </w:pPr>
      <w:r w:rsidRPr="00FF57CF">
        <w:rPr>
          <w:rFonts w:cs="Times New Roman"/>
          <w:szCs w:val="24"/>
          <w:lang w:val="en-US"/>
        </w:rPr>
        <w:t>Ontario Securities Commission</w:t>
      </w:r>
    </w:p>
    <w:p w14:paraId="6C1108DB" w14:textId="77777777" w:rsidR="00FF57CF" w:rsidRPr="00FF57CF" w:rsidRDefault="00FF57CF" w:rsidP="006110C2">
      <w:pPr>
        <w:spacing w:before="0" w:after="0"/>
        <w:rPr>
          <w:rFonts w:cs="Times New Roman"/>
          <w:szCs w:val="24"/>
          <w:lang w:val="en-US"/>
        </w:rPr>
      </w:pPr>
      <w:r w:rsidRPr="00FF57CF">
        <w:rPr>
          <w:rFonts w:cs="Times New Roman"/>
          <w:szCs w:val="24"/>
          <w:lang w:val="en-US"/>
        </w:rPr>
        <w:t>20 Queen Street West</w:t>
      </w:r>
    </w:p>
    <w:p w14:paraId="648DB470" w14:textId="77777777" w:rsidR="00FF57CF" w:rsidRPr="00FF57CF" w:rsidRDefault="00FF57CF" w:rsidP="006110C2">
      <w:pPr>
        <w:spacing w:before="0" w:after="0"/>
        <w:rPr>
          <w:rFonts w:cs="Times New Roman"/>
          <w:szCs w:val="24"/>
          <w:lang w:val="en-US"/>
        </w:rPr>
      </w:pPr>
      <w:r w:rsidRPr="00FF57CF">
        <w:rPr>
          <w:rFonts w:cs="Times New Roman"/>
          <w:szCs w:val="24"/>
          <w:lang w:val="en-US"/>
        </w:rPr>
        <w:t>22nd Floor</w:t>
      </w:r>
    </w:p>
    <w:p w14:paraId="2B5028B2" w14:textId="77777777" w:rsidR="00FF57CF" w:rsidRPr="00FF57CF" w:rsidRDefault="00FF57CF" w:rsidP="006110C2">
      <w:pPr>
        <w:spacing w:before="0" w:after="0"/>
        <w:rPr>
          <w:rFonts w:cs="Times New Roman"/>
          <w:szCs w:val="24"/>
          <w:lang w:val="en-US"/>
        </w:rPr>
      </w:pPr>
      <w:r w:rsidRPr="00FF57CF">
        <w:rPr>
          <w:rFonts w:cs="Times New Roman"/>
          <w:szCs w:val="24"/>
          <w:lang w:val="en-US"/>
        </w:rPr>
        <w:t>Toronto, Ontario M5H 3S8</w:t>
      </w:r>
    </w:p>
    <w:p w14:paraId="3D35FFBE" w14:textId="77777777" w:rsidR="00FF57CF" w:rsidRPr="00FF57CF" w:rsidRDefault="00FF57CF" w:rsidP="006110C2">
      <w:pPr>
        <w:spacing w:before="0" w:after="0"/>
        <w:rPr>
          <w:rFonts w:cs="Times New Roman"/>
          <w:szCs w:val="24"/>
          <w:lang w:val="en-US"/>
        </w:rPr>
      </w:pPr>
      <w:r w:rsidRPr="00FF57CF">
        <w:rPr>
          <w:rFonts w:cs="Times New Roman"/>
          <w:szCs w:val="24"/>
          <w:lang w:val="en-US"/>
        </w:rPr>
        <w:t>Fax: (416) 593-2318</w:t>
      </w:r>
    </w:p>
    <w:p w14:paraId="5BA0F603" w14:textId="77777777" w:rsidR="00FF57CF" w:rsidRDefault="00FF57CF" w:rsidP="00202BAD">
      <w:pPr>
        <w:spacing w:before="0" w:after="0"/>
        <w:rPr>
          <w:rFonts w:cs="Times New Roman"/>
          <w:szCs w:val="24"/>
          <w:lang w:val="en-US"/>
        </w:rPr>
      </w:pPr>
      <w:r w:rsidRPr="00FF57CF">
        <w:rPr>
          <w:rFonts w:cs="Times New Roman"/>
          <w:szCs w:val="24"/>
          <w:lang w:val="en-US"/>
        </w:rPr>
        <w:t xml:space="preserve">E-mail: </w:t>
      </w:r>
      <w:hyperlink r:id="rId19" w:history="1">
        <w:r w:rsidR="00103BB4" w:rsidRPr="00825A66">
          <w:rPr>
            <w:rStyle w:val="Hyperlink"/>
            <w:rFonts w:cs="Times New Roman"/>
            <w:szCs w:val="24"/>
            <w:lang w:val="en-US"/>
          </w:rPr>
          <w:t>comments@osc.gov.on.ca</w:t>
        </w:r>
      </w:hyperlink>
    </w:p>
    <w:p w14:paraId="490AB0B3" w14:textId="34FD0006" w:rsidR="00FF57CF" w:rsidRDefault="00FF57CF" w:rsidP="00202BAD">
      <w:pPr>
        <w:spacing w:before="0" w:after="0"/>
        <w:rPr>
          <w:rFonts w:cs="Times New Roman"/>
          <w:szCs w:val="24"/>
          <w:lang w:val="en-US"/>
        </w:rPr>
      </w:pPr>
    </w:p>
    <w:p w14:paraId="68F6B933" w14:textId="77777777" w:rsidR="008E1C3F" w:rsidRPr="00FF57CF" w:rsidRDefault="008E1C3F" w:rsidP="00202BAD">
      <w:pPr>
        <w:spacing w:before="0" w:after="0"/>
        <w:rPr>
          <w:rFonts w:cs="Times New Roman"/>
          <w:szCs w:val="24"/>
          <w:lang w:val="en-US"/>
        </w:rPr>
      </w:pPr>
    </w:p>
    <w:p w14:paraId="3A29942D" w14:textId="22152B58" w:rsidR="00FF57CF" w:rsidRPr="00103BB4" w:rsidRDefault="00FF57CF" w:rsidP="00202BAD">
      <w:pPr>
        <w:spacing w:before="0" w:after="0"/>
        <w:rPr>
          <w:rFonts w:cs="Times New Roman"/>
          <w:b/>
          <w:szCs w:val="24"/>
          <w:lang w:val="en-US"/>
        </w:rPr>
      </w:pPr>
      <w:r w:rsidRPr="00103BB4">
        <w:rPr>
          <w:rFonts w:cs="Times New Roman"/>
          <w:b/>
          <w:szCs w:val="24"/>
          <w:lang w:val="en-US"/>
        </w:rPr>
        <w:t>Questions</w:t>
      </w:r>
    </w:p>
    <w:p w14:paraId="68265152" w14:textId="28D7004E" w:rsidR="00FF57CF" w:rsidRDefault="00FF57CF" w:rsidP="00FF57CF">
      <w:pPr>
        <w:spacing w:before="0" w:after="200" w:line="276" w:lineRule="auto"/>
        <w:rPr>
          <w:rFonts w:cs="Times New Roman"/>
          <w:szCs w:val="24"/>
          <w:lang w:val="en-US"/>
        </w:rPr>
      </w:pPr>
      <w:r w:rsidRPr="00FF57CF">
        <w:rPr>
          <w:rFonts w:cs="Times New Roman"/>
          <w:szCs w:val="24"/>
          <w:lang w:val="en-US"/>
        </w:rPr>
        <w:t>Please refer your questions to any of the following:</w:t>
      </w:r>
    </w:p>
    <w:p w14:paraId="5B3389E0" w14:textId="77777777" w:rsidR="00BC37D8" w:rsidRPr="00FF57CF" w:rsidRDefault="00BC37D8" w:rsidP="00FF57CF">
      <w:pPr>
        <w:spacing w:before="0" w:after="200" w:line="276" w:lineRule="auto"/>
        <w:rPr>
          <w:rFonts w:cs="Times New Roman"/>
          <w:szCs w:val="24"/>
          <w:lang w:val="en-US"/>
        </w:rPr>
      </w:pPr>
      <w:bookmarkStart w:id="14" w:name="_GoBack"/>
      <w:bookmarkEnd w:id="14"/>
    </w:p>
    <w:tbl>
      <w:tblPr>
        <w:tblStyle w:val="TableGrid1"/>
        <w:tblW w:w="0" w:type="auto"/>
        <w:tblInd w:w="13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536"/>
        <w:gridCol w:w="4536"/>
        <w:gridCol w:w="141"/>
      </w:tblGrid>
      <w:tr w:rsidR="00786292" w:rsidRPr="00786292" w14:paraId="30CEA267" w14:textId="77777777" w:rsidTr="008E1C3F">
        <w:trPr>
          <w:gridAfter w:val="1"/>
          <w:wAfter w:w="141" w:type="dxa"/>
          <w:trHeight w:val="416"/>
        </w:trPr>
        <w:tc>
          <w:tcPr>
            <w:tcW w:w="9072" w:type="dxa"/>
            <w:gridSpan w:val="2"/>
            <w:vAlign w:val="center"/>
          </w:tcPr>
          <w:p w14:paraId="7723BB20" w14:textId="77777777" w:rsidR="00786292" w:rsidRPr="00786292" w:rsidRDefault="00786292" w:rsidP="00786292">
            <w:pPr>
              <w:spacing w:before="0"/>
              <w:rPr>
                <w:rFonts w:eastAsia="Calibri" w:cs="Times New Roman"/>
              </w:rPr>
            </w:pPr>
            <w:r w:rsidRPr="00786292">
              <w:rPr>
                <w:rFonts w:eastAsia="Calibri" w:cs="Times New Roman"/>
                <w:b/>
                <w:szCs w:val="24"/>
                <w:lang w:val="en-US"/>
              </w:rPr>
              <w:t>Autorité des marchés financiers</w:t>
            </w:r>
          </w:p>
        </w:tc>
      </w:tr>
      <w:tr w:rsidR="00786292" w:rsidRPr="00786292" w14:paraId="167D24AF" w14:textId="77777777" w:rsidTr="008E1C3F">
        <w:trPr>
          <w:gridAfter w:val="1"/>
          <w:wAfter w:w="141" w:type="dxa"/>
          <w:trHeight w:val="2154"/>
        </w:trPr>
        <w:tc>
          <w:tcPr>
            <w:tcW w:w="4536" w:type="dxa"/>
          </w:tcPr>
          <w:p w14:paraId="023912ED" w14:textId="77777777" w:rsidR="00786292" w:rsidRPr="00786292" w:rsidRDefault="00786292" w:rsidP="00786292">
            <w:pPr>
              <w:spacing w:before="0" w:after="0"/>
              <w:rPr>
                <w:rFonts w:eastAsia="Calibri" w:cs="Times New Roman"/>
              </w:rPr>
            </w:pPr>
            <w:r w:rsidRPr="00786292">
              <w:rPr>
                <w:rFonts w:eastAsia="Calibri" w:cs="Times New Roman"/>
              </w:rPr>
              <w:t xml:space="preserve">Serge Boisvert </w:t>
            </w:r>
          </w:p>
          <w:p w14:paraId="6297C8D7" w14:textId="77777777" w:rsidR="00786292" w:rsidRPr="00786292" w:rsidRDefault="00786292" w:rsidP="00786292">
            <w:pPr>
              <w:spacing w:before="0" w:after="0"/>
              <w:rPr>
                <w:rFonts w:eastAsia="Calibri" w:cs="Times New Roman"/>
              </w:rPr>
            </w:pPr>
            <w:r w:rsidRPr="00786292">
              <w:rPr>
                <w:rFonts w:eastAsia="Calibri" w:cs="Times New Roman"/>
              </w:rPr>
              <w:t xml:space="preserve">Analyste à la réglementation </w:t>
            </w:r>
          </w:p>
          <w:p w14:paraId="7400C987" w14:textId="77777777" w:rsidR="00786292" w:rsidRPr="00786292" w:rsidRDefault="00786292" w:rsidP="00786292">
            <w:pPr>
              <w:spacing w:before="0" w:after="0"/>
              <w:rPr>
                <w:rFonts w:eastAsia="Calibri" w:cs="Times New Roman"/>
              </w:rPr>
            </w:pPr>
            <w:r w:rsidRPr="00786292">
              <w:rPr>
                <w:rFonts w:eastAsia="Calibri" w:cs="Times New Roman"/>
              </w:rPr>
              <w:t xml:space="preserve">Direction de l’encadrement des bourses et des OAR </w:t>
            </w:r>
          </w:p>
          <w:p w14:paraId="5D4046B0" w14:textId="77777777" w:rsidR="00786292" w:rsidRPr="00786292" w:rsidRDefault="00786292" w:rsidP="00786292">
            <w:pPr>
              <w:spacing w:before="0" w:after="0"/>
              <w:rPr>
                <w:rFonts w:eastAsia="Calibri" w:cs="Times New Roman"/>
              </w:rPr>
            </w:pPr>
            <w:r w:rsidRPr="00786292">
              <w:rPr>
                <w:rFonts w:eastAsia="Calibri" w:cs="Times New Roman"/>
              </w:rPr>
              <w:t>514-395-0558, poste 4358</w:t>
            </w:r>
          </w:p>
          <w:p w14:paraId="05E4B784" w14:textId="77777777" w:rsidR="00786292" w:rsidRPr="00786292" w:rsidRDefault="00786292" w:rsidP="00786292">
            <w:pPr>
              <w:spacing w:before="0" w:after="0"/>
              <w:rPr>
                <w:rFonts w:eastAsia="Calibri" w:cs="Times New Roman"/>
              </w:rPr>
            </w:pPr>
            <w:r w:rsidRPr="00786292">
              <w:rPr>
                <w:rFonts w:eastAsia="Calibri" w:cs="Times New Roman"/>
              </w:rPr>
              <w:t>1 877 525-0337, poste 4358</w:t>
            </w:r>
          </w:p>
          <w:p w14:paraId="3260F3CF" w14:textId="77777777" w:rsidR="00786292" w:rsidRPr="00786292" w:rsidRDefault="00994510" w:rsidP="00786292">
            <w:pPr>
              <w:spacing w:before="0" w:after="0"/>
              <w:rPr>
                <w:rFonts w:eastAsia="Calibri" w:cs="Times New Roman"/>
              </w:rPr>
            </w:pPr>
            <w:hyperlink r:id="rId20" w:history="1">
              <w:r w:rsidR="00786292" w:rsidRPr="00786292">
                <w:rPr>
                  <w:rFonts w:eastAsia="Calibri" w:cs="Times New Roman"/>
                  <w:color w:val="0000FF"/>
                  <w:u w:val="single"/>
                </w:rPr>
                <w:t>serge.boisvert@lautorite.qc.ca</w:t>
              </w:r>
            </w:hyperlink>
          </w:p>
          <w:p w14:paraId="34EF1986" w14:textId="77777777" w:rsidR="00786292" w:rsidRDefault="00786292" w:rsidP="00786292">
            <w:pPr>
              <w:spacing w:before="0" w:after="0"/>
              <w:rPr>
                <w:rFonts w:eastAsia="Calibri" w:cs="Times New Roman"/>
              </w:rPr>
            </w:pPr>
          </w:p>
          <w:p w14:paraId="4C761029" w14:textId="39F63229" w:rsidR="00F2014B" w:rsidRPr="00786292" w:rsidRDefault="00F2014B" w:rsidP="00786292">
            <w:pPr>
              <w:spacing w:before="0" w:after="0"/>
              <w:rPr>
                <w:rFonts w:eastAsia="Calibri" w:cs="Times New Roman"/>
              </w:rPr>
            </w:pPr>
          </w:p>
        </w:tc>
        <w:tc>
          <w:tcPr>
            <w:tcW w:w="4536" w:type="dxa"/>
          </w:tcPr>
          <w:p w14:paraId="6856C511" w14:textId="77777777" w:rsidR="00786292" w:rsidRPr="00786292" w:rsidRDefault="00786292" w:rsidP="00786292">
            <w:pPr>
              <w:spacing w:before="0" w:after="0"/>
              <w:rPr>
                <w:rFonts w:eastAsia="Calibri" w:cs="Times New Roman"/>
              </w:rPr>
            </w:pPr>
            <w:r w:rsidRPr="00786292">
              <w:rPr>
                <w:rFonts w:eastAsia="Calibri" w:cs="Times New Roman"/>
              </w:rPr>
              <w:t>Roland Geiling</w:t>
            </w:r>
          </w:p>
          <w:p w14:paraId="63D304A6" w14:textId="77777777" w:rsidR="00786292" w:rsidRPr="00786292" w:rsidRDefault="00786292" w:rsidP="00786292">
            <w:pPr>
              <w:spacing w:before="0" w:after="0"/>
              <w:rPr>
                <w:rFonts w:eastAsia="Calibri" w:cs="Times New Roman"/>
              </w:rPr>
            </w:pPr>
            <w:r w:rsidRPr="00786292">
              <w:rPr>
                <w:rFonts w:eastAsia="Calibri" w:cs="Times New Roman"/>
              </w:rPr>
              <w:t>Analyste en produits dérivés</w:t>
            </w:r>
          </w:p>
          <w:p w14:paraId="31664E97" w14:textId="77777777" w:rsidR="00786292" w:rsidRPr="00786292" w:rsidRDefault="00786292" w:rsidP="00786292">
            <w:pPr>
              <w:spacing w:before="0" w:after="0"/>
              <w:rPr>
                <w:rFonts w:eastAsia="Calibri" w:cs="Times New Roman"/>
              </w:rPr>
            </w:pPr>
            <w:r w:rsidRPr="00786292">
              <w:rPr>
                <w:rFonts w:eastAsia="Calibri" w:cs="Times New Roman"/>
              </w:rPr>
              <w:t>Direction de l’encadrement des bourses et des OAR</w:t>
            </w:r>
          </w:p>
          <w:p w14:paraId="3CE1BB1E" w14:textId="77777777" w:rsidR="00786292" w:rsidRPr="00786292" w:rsidRDefault="00786292" w:rsidP="00786292">
            <w:pPr>
              <w:spacing w:before="0" w:after="0"/>
              <w:rPr>
                <w:rFonts w:eastAsia="Calibri" w:cs="Times New Roman"/>
              </w:rPr>
            </w:pPr>
            <w:r w:rsidRPr="00786292">
              <w:rPr>
                <w:rFonts w:eastAsia="Calibri" w:cs="Times New Roman"/>
              </w:rPr>
              <w:t>514 395-0337, poste 4323</w:t>
            </w:r>
          </w:p>
          <w:p w14:paraId="3AD43395" w14:textId="77777777" w:rsidR="00786292" w:rsidRPr="00786292" w:rsidRDefault="00786292" w:rsidP="00786292">
            <w:pPr>
              <w:spacing w:before="0" w:after="0"/>
              <w:rPr>
                <w:rFonts w:eastAsia="Calibri" w:cs="Times New Roman"/>
              </w:rPr>
            </w:pPr>
            <w:r w:rsidRPr="00786292">
              <w:rPr>
                <w:rFonts w:eastAsia="Calibri" w:cs="Times New Roman"/>
              </w:rPr>
              <w:t>1 877 525-0337, poste 4323</w:t>
            </w:r>
          </w:p>
          <w:p w14:paraId="79CBB21E" w14:textId="77777777" w:rsidR="00786292" w:rsidRPr="00786292" w:rsidRDefault="00994510" w:rsidP="00786292">
            <w:pPr>
              <w:spacing w:before="0" w:after="0"/>
              <w:rPr>
                <w:rFonts w:eastAsia="Calibri" w:cs="Times New Roman"/>
              </w:rPr>
            </w:pPr>
            <w:hyperlink r:id="rId21" w:history="1">
              <w:r w:rsidR="00786292" w:rsidRPr="00786292">
                <w:rPr>
                  <w:rFonts w:eastAsia="Calibri" w:cs="Times New Roman"/>
                  <w:color w:val="0000FF"/>
                  <w:u w:val="single"/>
                </w:rPr>
                <w:t>roland.geiling@lautorite.qc.ca</w:t>
              </w:r>
            </w:hyperlink>
          </w:p>
        </w:tc>
      </w:tr>
      <w:tr w:rsidR="00786292" w:rsidRPr="00786292" w14:paraId="6E59E176" w14:textId="77777777" w:rsidTr="008E1C3F">
        <w:trPr>
          <w:gridAfter w:val="1"/>
          <w:wAfter w:w="141" w:type="dxa"/>
          <w:trHeight w:val="2352"/>
        </w:trPr>
        <w:tc>
          <w:tcPr>
            <w:tcW w:w="4536" w:type="dxa"/>
          </w:tcPr>
          <w:p w14:paraId="59F503BF" w14:textId="77777777" w:rsidR="00786292" w:rsidRPr="00786292" w:rsidRDefault="00786292" w:rsidP="00786292">
            <w:pPr>
              <w:spacing w:before="0" w:after="0"/>
              <w:rPr>
                <w:rFonts w:eastAsia="Calibri" w:cs="Times New Roman"/>
              </w:rPr>
            </w:pPr>
            <w:r w:rsidRPr="00786292">
              <w:rPr>
                <w:rFonts w:eastAsia="Calibri" w:cs="Times New Roman"/>
              </w:rPr>
              <w:lastRenderedPageBreak/>
              <w:t>Catherine Lefebvre</w:t>
            </w:r>
          </w:p>
          <w:p w14:paraId="279D9CBE" w14:textId="77777777" w:rsidR="00786292" w:rsidRPr="00786292" w:rsidRDefault="00786292" w:rsidP="00786292">
            <w:pPr>
              <w:spacing w:before="0" w:after="0"/>
              <w:rPr>
                <w:rFonts w:eastAsia="Calibri" w:cs="Times New Roman"/>
              </w:rPr>
            </w:pPr>
            <w:r w:rsidRPr="00786292">
              <w:rPr>
                <w:rFonts w:eastAsia="Calibri" w:cs="Times New Roman"/>
              </w:rPr>
              <w:t>Analyste experte aux OAR</w:t>
            </w:r>
          </w:p>
          <w:p w14:paraId="6492DD25" w14:textId="77777777" w:rsidR="00786292" w:rsidRPr="00786292" w:rsidRDefault="00786292" w:rsidP="00786292">
            <w:pPr>
              <w:spacing w:before="0" w:after="0"/>
              <w:rPr>
                <w:rFonts w:eastAsia="Calibri" w:cs="Times New Roman"/>
              </w:rPr>
            </w:pPr>
            <w:r w:rsidRPr="00786292">
              <w:rPr>
                <w:rFonts w:eastAsia="Calibri" w:cs="Times New Roman"/>
              </w:rPr>
              <w:t>Direction de l’encadrement des bourses et des OAR</w:t>
            </w:r>
          </w:p>
          <w:p w14:paraId="713AB027" w14:textId="77777777" w:rsidR="00786292" w:rsidRPr="00786292" w:rsidRDefault="00786292" w:rsidP="00786292">
            <w:pPr>
              <w:spacing w:before="0" w:after="0"/>
              <w:rPr>
                <w:rFonts w:eastAsia="Calibri" w:cs="Times New Roman"/>
              </w:rPr>
            </w:pPr>
            <w:r w:rsidRPr="00786292">
              <w:rPr>
                <w:rFonts w:eastAsia="Calibri" w:cs="Times New Roman"/>
              </w:rPr>
              <w:t>514 395-0337, poste 4348</w:t>
            </w:r>
          </w:p>
          <w:p w14:paraId="7384AE98" w14:textId="77777777" w:rsidR="00786292" w:rsidRPr="00786292" w:rsidRDefault="00786292" w:rsidP="00786292">
            <w:pPr>
              <w:spacing w:before="0" w:after="0"/>
              <w:rPr>
                <w:rFonts w:eastAsia="Calibri" w:cs="Times New Roman"/>
              </w:rPr>
            </w:pPr>
            <w:r w:rsidRPr="00786292">
              <w:rPr>
                <w:rFonts w:eastAsia="Calibri" w:cs="Times New Roman"/>
              </w:rPr>
              <w:t>1 877 525-0337, poste 4348</w:t>
            </w:r>
          </w:p>
          <w:p w14:paraId="442AE2BF" w14:textId="77777777" w:rsidR="00786292" w:rsidRPr="00786292" w:rsidRDefault="00994510" w:rsidP="00786292">
            <w:pPr>
              <w:spacing w:before="0" w:after="0"/>
              <w:rPr>
                <w:rFonts w:eastAsia="Calibri" w:cs="Times New Roman"/>
              </w:rPr>
            </w:pPr>
            <w:hyperlink r:id="rId22" w:history="1">
              <w:r w:rsidR="00786292" w:rsidRPr="00786292">
                <w:rPr>
                  <w:rFonts w:eastAsia="Calibri" w:cs="Times New Roman"/>
                  <w:color w:val="0000FF"/>
                  <w:u w:val="single"/>
                </w:rPr>
                <w:t>catherine.lefebvre@lautorite.qc.ca</w:t>
              </w:r>
            </w:hyperlink>
          </w:p>
        </w:tc>
        <w:tc>
          <w:tcPr>
            <w:tcW w:w="4536" w:type="dxa"/>
          </w:tcPr>
          <w:p w14:paraId="3C499806" w14:textId="77777777" w:rsidR="00786292" w:rsidRPr="00786292" w:rsidRDefault="00786292" w:rsidP="00786292">
            <w:pPr>
              <w:rPr>
                <w:rFonts w:eastAsia="Calibri" w:cs="Times New Roman"/>
              </w:rPr>
            </w:pPr>
          </w:p>
        </w:tc>
      </w:tr>
      <w:tr w:rsidR="00786292" w:rsidRPr="00786292" w14:paraId="628478C8" w14:textId="77777777" w:rsidTr="008E1C3F">
        <w:trPr>
          <w:gridAfter w:val="1"/>
          <w:wAfter w:w="141" w:type="dxa"/>
          <w:trHeight w:val="515"/>
        </w:trPr>
        <w:tc>
          <w:tcPr>
            <w:tcW w:w="9072" w:type="dxa"/>
            <w:gridSpan w:val="2"/>
            <w:vAlign w:val="center"/>
          </w:tcPr>
          <w:p w14:paraId="092B706B" w14:textId="77777777" w:rsidR="00786292" w:rsidRPr="00786292" w:rsidRDefault="00786292" w:rsidP="00786292">
            <w:pPr>
              <w:spacing w:before="0"/>
              <w:rPr>
                <w:rFonts w:eastAsia="Calibri" w:cs="Times New Roman"/>
                <w:b/>
                <w:szCs w:val="24"/>
                <w:lang w:val="en-US"/>
              </w:rPr>
            </w:pPr>
            <w:r w:rsidRPr="00786292">
              <w:rPr>
                <w:rFonts w:eastAsia="Calibri" w:cs="Times New Roman"/>
                <w:b/>
                <w:szCs w:val="24"/>
                <w:lang w:val="en-US"/>
              </w:rPr>
              <w:t>British Columbia Securities Commission</w:t>
            </w:r>
          </w:p>
        </w:tc>
      </w:tr>
      <w:tr w:rsidR="00786292" w:rsidRPr="00786292" w14:paraId="460DB0E7" w14:textId="77777777" w:rsidTr="008E1C3F">
        <w:trPr>
          <w:gridAfter w:val="1"/>
          <w:wAfter w:w="141" w:type="dxa"/>
          <w:trHeight w:val="1587"/>
        </w:trPr>
        <w:tc>
          <w:tcPr>
            <w:tcW w:w="4536" w:type="dxa"/>
          </w:tcPr>
          <w:p w14:paraId="0F1A8E8A" w14:textId="77777777" w:rsidR="00786292" w:rsidRPr="00786292" w:rsidRDefault="00786292" w:rsidP="00786292">
            <w:pPr>
              <w:spacing w:before="0" w:after="0"/>
              <w:rPr>
                <w:rFonts w:eastAsia="Calibri" w:cs="Times New Roman"/>
              </w:rPr>
            </w:pPr>
            <w:r w:rsidRPr="00786292">
              <w:rPr>
                <w:rFonts w:eastAsia="Calibri" w:cs="Times New Roman"/>
              </w:rPr>
              <w:t>Kathryn Anthistle</w:t>
            </w:r>
          </w:p>
          <w:p w14:paraId="08DAFD9B" w14:textId="77777777" w:rsidR="00786292" w:rsidRPr="00786292" w:rsidRDefault="00786292" w:rsidP="00786292">
            <w:pPr>
              <w:spacing w:before="0" w:after="0"/>
              <w:rPr>
                <w:rFonts w:eastAsia="Calibri" w:cs="Times New Roman"/>
              </w:rPr>
            </w:pPr>
            <w:r w:rsidRPr="00786292">
              <w:rPr>
                <w:rFonts w:eastAsia="Calibri" w:cs="Times New Roman"/>
              </w:rPr>
              <w:t>Senior Legal Counsel, Legal Services</w:t>
            </w:r>
          </w:p>
          <w:p w14:paraId="543FE2FF" w14:textId="77777777" w:rsidR="00786292" w:rsidRPr="00786292" w:rsidRDefault="00786292" w:rsidP="00786292">
            <w:pPr>
              <w:spacing w:before="0" w:after="0"/>
              <w:rPr>
                <w:rFonts w:eastAsia="Calibri" w:cs="Times New Roman"/>
              </w:rPr>
            </w:pPr>
            <w:r w:rsidRPr="00786292">
              <w:rPr>
                <w:rFonts w:eastAsia="Calibri" w:cs="Times New Roman"/>
              </w:rPr>
              <w:t>Capital Markets Regulation Division</w:t>
            </w:r>
          </w:p>
          <w:p w14:paraId="31F4399D" w14:textId="77777777" w:rsidR="00786292" w:rsidRPr="00786292" w:rsidRDefault="00786292" w:rsidP="00786292">
            <w:pPr>
              <w:spacing w:before="0" w:after="0"/>
              <w:rPr>
                <w:rFonts w:eastAsia="Calibri" w:cs="Times New Roman"/>
              </w:rPr>
            </w:pPr>
            <w:r w:rsidRPr="00786292">
              <w:rPr>
                <w:rFonts w:eastAsia="Calibri" w:cs="Times New Roman"/>
              </w:rPr>
              <w:t>604-899-6536</w:t>
            </w:r>
          </w:p>
          <w:p w14:paraId="015301DF" w14:textId="77777777" w:rsidR="00786292" w:rsidRPr="00786292" w:rsidRDefault="00994510" w:rsidP="00786292">
            <w:pPr>
              <w:spacing w:before="0" w:after="0"/>
              <w:rPr>
                <w:rFonts w:eastAsia="Calibri" w:cs="Times New Roman"/>
              </w:rPr>
            </w:pPr>
            <w:hyperlink r:id="rId23" w:history="1">
              <w:r w:rsidR="00786292" w:rsidRPr="00786292">
                <w:rPr>
                  <w:rFonts w:eastAsia="Calibri" w:cs="Times New Roman"/>
                  <w:color w:val="0000FF"/>
                  <w:u w:val="single"/>
                </w:rPr>
                <w:t>kanthistle@bcsc.bc.ca</w:t>
              </w:r>
            </w:hyperlink>
          </w:p>
        </w:tc>
        <w:tc>
          <w:tcPr>
            <w:tcW w:w="4536" w:type="dxa"/>
          </w:tcPr>
          <w:p w14:paraId="687B8693" w14:textId="77777777" w:rsidR="00786292" w:rsidRPr="00786292" w:rsidRDefault="00786292" w:rsidP="00786292">
            <w:pPr>
              <w:spacing w:before="0" w:after="0"/>
              <w:rPr>
                <w:rFonts w:eastAsia="Calibri" w:cs="Times New Roman"/>
              </w:rPr>
            </w:pPr>
            <w:r w:rsidRPr="00786292">
              <w:rPr>
                <w:rFonts w:eastAsia="Calibri" w:cs="Times New Roman"/>
              </w:rPr>
              <w:t>Eric Pau</w:t>
            </w:r>
          </w:p>
          <w:p w14:paraId="65E6A8F1" w14:textId="77777777" w:rsidR="00786292" w:rsidRPr="00786292" w:rsidRDefault="00786292" w:rsidP="00786292">
            <w:pPr>
              <w:spacing w:before="0" w:after="0"/>
              <w:rPr>
                <w:rFonts w:eastAsia="Calibri" w:cs="Times New Roman"/>
              </w:rPr>
            </w:pPr>
            <w:r w:rsidRPr="00786292">
              <w:rPr>
                <w:rFonts w:eastAsia="Calibri" w:cs="Times New Roman"/>
              </w:rPr>
              <w:t>Senior Legal Counsel, Legal Services</w:t>
            </w:r>
          </w:p>
          <w:p w14:paraId="5CEC0E4D" w14:textId="77777777" w:rsidR="00786292" w:rsidRPr="00786292" w:rsidRDefault="00786292" w:rsidP="00786292">
            <w:pPr>
              <w:spacing w:before="0" w:after="0"/>
              <w:rPr>
                <w:rFonts w:eastAsia="Calibri" w:cs="Times New Roman"/>
              </w:rPr>
            </w:pPr>
            <w:r w:rsidRPr="00786292">
              <w:rPr>
                <w:rFonts w:eastAsia="Calibri" w:cs="Times New Roman"/>
              </w:rPr>
              <w:t xml:space="preserve">Corporate Finance </w:t>
            </w:r>
          </w:p>
          <w:p w14:paraId="66ED7743" w14:textId="77777777" w:rsidR="00786292" w:rsidRPr="00786292" w:rsidRDefault="00786292" w:rsidP="00786292">
            <w:pPr>
              <w:spacing w:before="0" w:after="0"/>
              <w:rPr>
                <w:rFonts w:eastAsia="Calibri" w:cs="Times New Roman"/>
              </w:rPr>
            </w:pPr>
            <w:r w:rsidRPr="00786292">
              <w:rPr>
                <w:rFonts w:eastAsia="Calibri" w:cs="Times New Roman"/>
              </w:rPr>
              <w:t>604-899-6764</w:t>
            </w:r>
          </w:p>
          <w:p w14:paraId="3F0536A2" w14:textId="77777777" w:rsidR="00786292" w:rsidRPr="00786292" w:rsidRDefault="00994510" w:rsidP="00786292">
            <w:pPr>
              <w:spacing w:before="0" w:after="0"/>
              <w:rPr>
                <w:rFonts w:eastAsia="Calibri" w:cs="Times New Roman"/>
              </w:rPr>
            </w:pPr>
            <w:hyperlink r:id="rId24" w:history="1">
              <w:r w:rsidR="00786292" w:rsidRPr="00786292">
                <w:rPr>
                  <w:rFonts w:eastAsia="Calibri" w:cs="Times New Roman"/>
                  <w:color w:val="0000FF"/>
                  <w:u w:val="single"/>
                </w:rPr>
                <w:t>epau@bcsc.bc.ca</w:t>
              </w:r>
            </w:hyperlink>
          </w:p>
        </w:tc>
      </w:tr>
      <w:tr w:rsidR="00786292" w:rsidRPr="00786292" w14:paraId="15252714" w14:textId="77777777" w:rsidTr="008E1C3F">
        <w:trPr>
          <w:gridAfter w:val="1"/>
          <w:wAfter w:w="141" w:type="dxa"/>
          <w:trHeight w:val="1872"/>
        </w:trPr>
        <w:tc>
          <w:tcPr>
            <w:tcW w:w="4536" w:type="dxa"/>
          </w:tcPr>
          <w:p w14:paraId="164875C5" w14:textId="77777777" w:rsidR="00786292" w:rsidRPr="00786292" w:rsidRDefault="00786292" w:rsidP="00786292">
            <w:pPr>
              <w:spacing w:before="0" w:after="0"/>
              <w:rPr>
                <w:rFonts w:eastAsia="Calibri" w:cs="Times New Roman"/>
              </w:rPr>
            </w:pPr>
            <w:r w:rsidRPr="00786292">
              <w:rPr>
                <w:rFonts w:eastAsia="Calibri" w:cs="Times New Roman"/>
              </w:rPr>
              <w:t>Jennifer Whately</w:t>
            </w:r>
          </w:p>
          <w:p w14:paraId="74DAD6F6" w14:textId="77777777" w:rsidR="00786292" w:rsidRPr="00786292" w:rsidRDefault="00786292" w:rsidP="00786292">
            <w:pPr>
              <w:spacing w:before="0" w:after="0"/>
              <w:rPr>
                <w:rFonts w:eastAsia="Calibri" w:cs="Times New Roman"/>
              </w:rPr>
            </w:pPr>
            <w:r w:rsidRPr="00786292">
              <w:rPr>
                <w:rFonts w:eastAsia="Calibri" w:cs="Times New Roman"/>
              </w:rPr>
              <w:t>Senior Enforcement Counsel</w:t>
            </w:r>
          </w:p>
          <w:p w14:paraId="0A7597C0" w14:textId="77777777" w:rsidR="00786292" w:rsidRPr="00786292" w:rsidRDefault="00786292" w:rsidP="00786292">
            <w:pPr>
              <w:spacing w:before="0" w:after="0"/>
              <w:rPr>
                <w:rFonts w:eastAsia="Calibri" w:cs="Times New Roman"/>
              </w:rPr>
            </w:pPr>
            <w:r w:rsidRPr="00786292">
              <w:rPr>
                <w:rFonts w:eastAsia="Calibri" w:cs="Times New Roman"/>
              </w:rPr>
              <w:t xml:space="preserve">Enforcement </w:t>
            </w:r>
          </w:p>
          <w:p w14:paraId="5C4B684E" w14:textId="77777777" w:rsidR="00786292" w:rsidRPr="00786292" w:rsidRDefault="00786292" w:rsidP="00786292">
            <w:pPr>
              <w:spacing w:before="0" w:after="0"/>
              <w:rPr>
                <w:rFonts w:eastAsia="Calibri" w:cs="Times New Roman"/>
              </w:rPr>
            </w:pPr>
            <w:r w:rsidRPr="00786292">
              <w:rPr>
                <w:rFonts w:eastAsia="Calibri" w:cs="Times New Roman"/>
              </w:rPr>
              <w:t>(604) 899-6625</w:t>
            </w:r>
          </w:p>
          <w:p w14:paraId="53ED6415" w14:textId="77777777" w:rsidR="00786292" w:rsidRPr="00786292" w:rsidRDefault="00994510" w:rsidP="00786292">
            <w:pPr>
              <w:spacing w:before="0" w:after="0"/>
              <w:rPr>
                <w:rFonts w:eastAsia="Calibri" w:cs="Times New Roman"/>
              </w:rPr>
            </w:pPr>
            <w:hyperlink r:id="rId25" w:history="1">
              <w:r w:rsidR="00786292" w:rsidRPr="00786292">
                <w:rPr>
                  <w:rFonts w:eastAsia="Calibri" w:cs="Times New Roman"/>
                  <w:color w:val="0000FF"/>
                  <w:u w:val="single"/>
                </w:rPr>
                <w:t>jwhately@bcsc.bc.ca</w:t>
              </w:r>
            </w:hyperlink>
          </w:p>
        </w:tc>
        <w:tc>
          <w:tcPr>
            <w:tcW w:w="4536" w:type="dxa"/>
          </w:tcPr>
          <w:p w14:paraId="55255B1C" w14:textId="77777777" w:rsidR="00786292" w:rsidRPr="00786292" w:rsidRDefault="00786292" w:rsidP="00786292">
            <w:pPr>
              <w:rPr>
                <w:rFonts w:eastAsia="Calibri" w:cs="Times New Roman"/>
              </w:rPr>
            </w:pPr>
          </w:p>
        </w:tc>
      </w:tr>
      <w:tr w:rsidR="00786292" w:rsidRPr="00786292" w14:paraId="656D91A0" w14:textId="77777777" w:rsidTr="008E1C3F">
        <w:trPr>
          <w:gridAfter w:val="1"/>
          <w:wAfter w:w="141" w:type="dxa"/>
          <w:trHeight w:val="181"/>
        </w:trPr>
        <w:tc>
          <w:tcPr>
            <w:tcW w:w="9072" w:type="dxa"/>
            <w:gridSpan w:val="2"/>
          </w:tcPr>
          <w:p w14:paraId="4D58DEF1" w14:textId="77777777" w:rsidR="00786292" w:rsidRPr="00786292" w:rsidRDefault="00786292" w:rsidP="00786292">
            <w:pPr>
              <w:spacing w:before="0"/>
              <w:rPr>
                <w:rFonts w:eastAsia="Calibri" w:cs="Times New Roman"/>
              </w:rPr>
            </w:pPr>
            <w:r w:rsidRPr="00786292">
              <w:rPr>
                <w:rFonts w:eastAsia="Calibri" w:cs="Times New Roman"/>
                <w:b/>
                <w:szCs w:val="24"/>
                <w:lang w:val="en-US"/>
              </w:rPr>
              <w:t>Alberta Securities Commission</w:t>
            </w:r>
          </w:p>
        </w:tc>
      </w:tr>
      <w:tr w:rsidR="00786292" w:rsidRPr="00786292" w14:paraId="5E9727DD" w14:textId="77777777" w:rsidTr="008E1C3F">
        <w:trPr>
          <w:gridAfter w:val="1"/>
          <w:wAfter w:w="141" w:type="dxa"/>
          <w:trHeight w:val="1336"/>
        </w:trPr>
        <w:tc>
          <w:tcPr>
            <w:tcW w:w="4536" w:type="dxa"/>
          </w:tcPr>
          <w:p w14:paraId="37788B4E" w14:textId="77777777" w:rsidR="00786292" w:rsidRPr="00786292" w:rsidRDefault="00786292" w:rsidP="00786292">
            <w:pPr>
              <w:spacing w:before="0" w:after="0"/>
              <w:rPr>
                <w:rFonts w:eastAsia="Calibri" w:cs="Times New Roman"/>
              </w:rPr>
            </w:pPr>
            <w:r w:rsidRPr="00786292">
              <w:rPr>
                <w:rFonts w:eastAsia="Calibri" w:cs="Times New Roman"/>
              </w:rPr>
              <w:t xml:space="preserve">Jesse Ahlan </w:t>
            </w:r>
          </w:p>
          <w:p w14:paraId="2685038F" w14:textId="77777777" w:rsidR="00786292" w:rsidRPr="00786292" w:rsidRDefault="00786292" w:rsidP="00786292">
            <w:pPr>
              <w:spacing w:before="0" w:after="0"/>
              <w:rPr>
                <w:rFonts w:eastAsia="Calibri" w:cs="Times New Roman"/>
              </w:rPr>
            </w:pPr>
            <w:r w:rsidRPr="00786292">
              <w:rPr>
                <w:rFonts w:eastAsia="Calibri" w:cs="Times New Roman"/>
              </w:rPr>
              <w:t>Regulatory Analyst, Market Structure</w:t>
            </w:r>
          </w:p>
          <w:p w14:paraId="57E63EB8" w14:textId="77777777" w:rsidR="00786292" w:rsidRPr="00786292" w:rsidRDefault="00786292" w:rsidP="00786292">
            <w:pPr>
              <w:spacing w:before="0" w:after="0"/>
              <w:rPr>
                <w:rFonts w:eastAsia="Calibri" w:cs="Times New Roman"/>
              </w:rPr>
            </w:pPr>
            <w:r w:rsidRPr="00786292">
              <w:rPr>
                <w:rFonts w:eastAsia="Calibri" w:cs="Times New Roman"/>
              </w:rPr>
              <w:t>403.297.2098</w:t>
            </w:r>
          </w:p>
          <w:p w14:paraId="6F7BA6B8" w14:textId="47428A3E" w:rsidR="00786292" w:rsidRDefault="00994510" w:rsidP="00786292">
            <w:pPr>
              <w:spacing w:before="0" w:after="0"/>
              <w:rPr>
                <w:rFonts w:eastAsia="Calibri" w:cs="Times New Roman"/>
              </w:rPr>
            </w:pPr>
            <w:hyperlink r:id="rId26" w:history="1">
              <w:r w:rsidR="000902F5" w:rsidRPr="00FB6359">
                <w:rPr>
                  <w:rStyle w:val="Hyperlink"/>
                  <w:rFonts w:eastAsia="Calibri" w:cs="Times New Roman"/>
                </w:rPr>
                <w:t>Jesse.Ahlan@asc.ca</w:t>
              </w:r>
            </w:hyperlink>
          </w:p>
          <w:p w14:paraId="3700F468" w14:textId="016DE1CA" w:rsidR="000902F5" w:rsidRPr="00786292" w:rsidRDefault="000902F5" w:rsidP="00786292">
            <w:pPr>
              <w:spacing w:before="0" w:after="0"/>
              <w:rPr>
                <w:rFonts w:eastAsia="Calibri" w:cs="Times New Roman"/>
              </w:rPr>
            </w:pPr>
          </w:p>
        </w:tc>
        <w:tc>
          <w:tcPr>
            <w:tcW w:w="4536" w:type="dxa"/>
          </w:tcPr>
          <w:p w14:paraId="3AAD1246" w14:textId="77777777" w:rsidR="00786292" w:rsidRPr="00786292" w:rsidRDefault="00786292" w:rsidP="00786292">
            <w:pPr>
              <w:spacing w:before="0" w:after="0"/>
              <w:rPr>
                <w:rFonts w:eastAsia="Calibri" w:cs="Times New Roman"/>
              </w:rPr>
            </w:pPr>
            <w:r w:rsidRPr="00786292">
              <w:rPr>
                <w:rFonts w:eastAsia="Calibri" w:cs="Times New Roman"/>
              </w:rPr>
              <w:t xml:space="preserve">Jan Bagh </w:t>
            </w:r>
          </w:p>
          <w:p w14:paraId="1CA2CEC4" w14:textId="77777777" w:rsidR="00786292" w:rsidRPr="00786292" w:rsidRDefault="00786292" w:rsidP="00786292">
            <w:pPr>
              <w:spacing w:before="0" w:after="0"/>
              <w:rPr>
                <w:rFonts w:eastAsia="Calibri" w:cs="Times New Roman"/>
              </w:rPr>
            </w:pPr>
            <w:r w:rsidRPr="00786292">
              <w:rPr>
                <w:rFonts w:eastAsia="Calibri" w:cs="Times New Roman"/>
              </w:rPr>
              <w:t xml:space="preserve">Senior Legal Counsel, </w:t>
            </w:r>
          </w:p>
          <w:p w14:paraId="2CE2E5AF" w14:textId="77777777" w:rsidR="00786292" w:rsidRPr="00786292" w:rsidRDefault="00786292" w:rsidP="00786292">
            <w:pPr>
              <w:spacing w:before="0" w:after="0"/>
              <w:rPr>
                <w:rFonts w:eastAsia="Calibri" w:cs="Times New Roman"/>
              </w:rPr>
            </w:pPr>
            <w:r w:rsidRPr="00786292">
              <w:rPr>
                <w:rFonts w:eastAsia="Calibri" w:cs="Times New Roman"/>
              </w:rPr>
              <w:t>403.355.2804</w:t>
            </w:r>
          </w:p>
          <w:p w14:paraId="494D71C3" w14:textId="11801DE3" w:rsidR="00786292" w:rsidRDefault="00994510" w:rsidP="00786292">
            <w:pPr>
              <w:spacing w:before="0" w:after="0"/>
              <w:rPr>
                <w:rFonts w:eastAsia="Calibri" w:cs="Times New Roman"/>
              </w:rPr>
            </w:pPr>
            <w:hyperlink r:id="rId27" w:history="1">
              <w:r w:rsidR="0037375E" w:rsidRPr="00FB6359">
                <w:rPr>
                  <w:rStyle w:val="Hyperlink"/>
                  <w:rFonts w:eastAsia="Calibri" w:cs="Times New Roman"/>
                </w:rPr>
                <w:t>Jan.Bagh@asc.ca</w:t>
              </w:r>
            </w:hyperlink>
          </w:p>
          <w:p w14:paraId="4D0E0E86" w14:textId="77777777" w:rsidR="000902F5" w:rsidRDefault="000902F5" w:rsidP="00786292">
            <w:pPr>
              <w:spacing w:before="0" w:after="0"/>
              <w:rPr>
                <w:rFonts w:eastAsia="Calibri" w:cs="Times New Roman"/>
              </w:rPr>
            </w:pPr>
          </w:p>
          <w:p w14:paraId="1792320F" w14:textId="6CDF3051" w:rsidR="000902F5" w:rsidRPr="00786292" w:rsidRDefault="000902F5" w:rsidP="00786292">
            <w:pPr>
              <w:spacing w:before="0" w:after="0"/>
              <w:rPr>
                <w:rFonts w:eastAsia="Calibri" w:cs="Times New Roman"/>
              </w:rPr>
            </w:pPr>
          </w:p>
        </w:tc>
      </w:tr>
      <w:tr w:rsidR="00786292" w:rsidRPr="00786292" w14:paraId="78B34E9E" w14:textId="77777777" w:rsidTr="008E1C3F">
        <w:trPr>
          <w:gridAfter w:val="1"/>
          <w:wAfter w:w="141" w:type="dxa"/>
          <w:trHeight w:val="1529"/>
        </w:trPr>
        <w:tc>
          <w:tcPr>
            <w:tcW w:w="4536" w:type="dxa"/>
          </w:tcPr>
          <w:p w14:paraId="67E12EE3" w14:textId="77777777" w:rsidR="00786292" w:rsidRPr="00786292" w:rsidRDefault="00786292" w:rsidP="0037375E">
            <w:pPr>
              <w:spacing w:before="0" w:after="0"/>
              <w:rPr>
                <w:rFonts w:eastAsia="Calibri" w:cs="Times New Roman"/>
              </w:rPr>
            </w:pPr>
            <w:r w:rsidRPr="00786292">
              <w:rPr>
                <w:rFonts w:eastAsia="Calibri" w:cs="Times New Roman"/>
              </w:rPr>
              <w:t>Jay Mitchell</w:t>
            </w:r>
          </w:p>
          <w:p w14:paraId="44D09FFE" w14:textId="77777777" w:rsidR="00786292" w:rsidRPr="00786292" w:rsidRDefault="00786292" w:rsidP="0037375E">
            <w:pPr>
              <w:spacing w:before="0" w:after="0"/>
              <w:rPr>
                <w:rFonts w:eastAsia="Calibri" w:cs="Times New Roman"/>
                <w:lang w:val="en-US"/>
              </w:rPr>
            </w:pPr>
            <w:r w:rsidRPr="00786292">
              <w:rPr>
                <w:rFonts w:eastAsia="Calibri" w:cs="Times New Roman"/>
                <w:lang w:val="en-US"/>
              </w:rPr>
              <w:t>Securities Analyst</w:t>
            </w:r>
          </w:p>
          <w:p w14:paraId="1296B1D6" w14:textId="77777777" w:rsidR="00786292" w:rsidRPr="00786292" w:rsidRDefault="00786292" w:rsidP="0037375E">
            <w:pPr>
              <w:spacing w:before="0" w:after="0"/>
              <w:rPr>
                <w:rFonts w:eastAsia="Calibri" w:cs="Times New Roman"/>
                <w:lang w:val="en-US"/>
              </w:rPr>
            </w:pPr>
            <w:r w:rsidRPr="00786292">
              <w:rPr>
                <w:rFonts w:eastAsia="Calibri" w:cs="Times New Roman"/>
                <w:lang w:val="en-US"/>
              </w:rPr>
              <w:t>403.355.4486</w:t>
            </w:r>
          </w:p>
          <w:p w14:paraId="08E7F0C2" w14:textId="29861678" w:rsidR="00786292" w:rsidRPr="0037375E" w:rsidRDefault="00994510" w:rsidP="0037375E">
            <w:pPr>
              <w:spacing w:before="0" w:after="0"/>
              <w:rPr>
                <w:rFonts w:eastAsia="Calibri" w:cs="Times New Roman"/>
                <w:lang w:val="en-US"/>
              </w:rPr>
            </w:pPr>
            <w:hyperlink r:id="rId28" w:history="1">
              <w:r w:rsidR="0037375E" w:rsidRPr="00FB6359">
                <w:rPr>
                  <w:rStyle w:val="Hyperlink"/>
                  <w:rFonts w:eastAsia="Calibri" w:cs="Times New Roman"/>
                  <w:lang w:val="en-US"/>
                </w:rPr>
                <w:t>Jay.Mitchell@asc.ca</w:t>
              </w:r>
            </w:hyperlink>
            <w:r w:rsidR="0037375E">
              <w:rPr>
                <w:rFonts w:eastAsia="Calibri" w:cs="Times New Roman"/>
                <w:lang w:val="en-US"/>
              </w:rPr>
              <w:t xml:space="preserve"> </w:t>
            </w:r>
          </w:p>
        </w:tc>
        <w:tc>
          <w:tcPr>
            <w:tcW w:w="4536" w:type="dxa"/>
          </w:tcPr>
          <w:p w14:paraId="450C01F1" w14:textId="77777777" w:rsidR="00786292" w:rsidRPr="00786292" w:rsidRDefault="00786292" w:rsidP="00786292">
            <w:pPr>
              <w:rPr>
                <w:rFonts w:eastAsia="Calibri" w:cs="Times New Roman"/>
              </w:rPr>
            </w:pPr>
          </w:p>
        </w:tc>
      </w:tr>
      <w:tr w:rsidR="00786292" w:rsidRPr="00786292" w14:paraId="3F5DC9E2" w14:textId="77777777" w:rsidTr="008E1C3F">
        <w:trPr>
          <w:trHeight w:val="416"/>
        </w:trPr>
        <w:tc>
          <w:tcPr>
            <w:tcW w:w="9213" w:type="dxa"/>
            <w:gridSpan w:val="3"/>
          </w:tcPr>
          <w:p w14:paraId="11DBFBF6" w14:textId="77777777" w:rsidR="00786292" w:rsidRPr="00786292" w:rsidRDefault="00786292" w:rsidP="0037375E">
            <w:pPr>
              <w:spacing w:before="0" w:after="0"/>
              <w:rPr>
                <w:rFonts w:eastAsia="Calibri" w:cs="Times New Roman"/>
                <w:b/>
                <w:szCs w:val="24"/>
                <w:lang w:val="en-US"/>
              </w:rPr>
            </w:pPr>
            <w:r w:rsidRPr="00786292">
              <w:rPr>
                <w:rFonts w:eastAsia="Calibri" w:cs="Times New Roman"/>
                <w:b/>
                <w:szCs w:val="24"/>
                <w:lang w:val="en-US"/>
              </w:rPr>
              <w:t>Manitoba Securities Commission</w:t>
            </w:r>
          </w:p>
        </w:tc>
      </w:tr>
      <w:tr w:rsidR="00786292" w:rsidRPr="00786292" w14:paraId="3FEED909" w14:textId="77777777" w:rsidTr="008E1C3F">
        <w:trPr>
          <w:trHeight w:val="1542"/>
        </w:trPr>
        <w:tc>
          <w:tcPr>
            <w:tcW w:w="4536" w:type="dxa"/>
          </w:tcPr>
          <w:p w14:paraId="0C16C1D0" w14:textId="77777777" w:rsidR="00786292" w:rsidRPr="00786292" w:rsidRDefault="00786292" w:rsidP="00786292">
            <w:pPr>
              <w:spacing w:before="0" w:after="0"/>
              <w:rPr>
                <w:rFonts w:eastAsia="Calibri" w:cs="Times New Roman"/>
              </w:rPr>
            </w:pPr>
            <w:r w:rsidRPr="00786292">
              <w:rPr>
                <w:rFonts w:eastAsia="Calibri" w:cs="Times New Roman"/>
              </w:rPr>
              <w:t>Tyler Ritchie</w:t>
            </w:r>
          </w:p>
          <w:p w14:paraId="601612D1" w14:textId="77777777" w:rsidR="00786292" w:rsidRPr="00786292" w:rsidRDefault="00786292" w:rsidP="00786292">
            <w:pPr>
              <w:spacing w:before="0" w:after="0"/>
              <w:rPr>
                <w:rFonts w:eastAsia="Calibri" w:cs="Times New Roman"/>
              </w:rPr>
            </w:pPr>
            <w:r w:rsidRPr="00786292">
              <w:rPr>
                <w:rFonts w:eastAsia="Calibri" w:cs="Times New Roman"/>
              </w:rPr>
              <w:t>Investigator</w:t>
            </w:r>
          </w:p>
          <w:p w14:paraId="49DCB5FD" w14:textId="77777777" w:rsidR="00786292" w:rsidRPr="00786292" w:rsidRDefault="00786292" w:rsidP="00786292">
            <w:pPr>
              <w:spacing w:before="0" w:after="0"/>
              <w:rPr>
                <w:rFonts w:eastAsia="Calibri" w:cs="Times New Roman"/>
              </w:rPr>
            </w:pPr>
            <w:r w:rsidRPr="00786292">
              <w:rPr>
                <w:rFonts w:eastAsia="Calibri" w:cs="Times New Roman"/>
              </w:rPr>
              <w:t>204-945-6922</w:t>
            </w:r>
          </w:p>
          <w:p w14:paraId="4C5EE2DE" w14:textId="77777777" w:rsidR="00786292" w:rsidRDefault="00994510" w:rsidP="00786292">
            <w:pPr>
              <w:spacing w:before="0" w:after="0"/>
              <w:rPr>
                <w:rFonts w:eastAsia="Calibri" w:cs="Times New Roman"/>
                <w:color w:val="0000FF"/>
                <w:u w:val="single"/>
              </w:rPr>
            </w:pPr>
            <w:hyperlink r:id="rId29" w:history="1">
              <w:r w:rsidR="00786292" w:rsidRPr="00786292">
                <w:rPr>
                  <w:rFonts w:eastAsia="Calibri" w:cs="Times New Roman"/>
                  <w:color w:val="0000FF"/>
                  <w:u w:val="single"/>
                </w:rPr>
                <w:t>tyler.ritchie@gov.mb.ca</w:t>
              </w:r>
            </w:hyperlink>
          </w:p>
          <w:p w14:paraId="333E917D" w14:textId="7731CBA8" w:rsidR="00202BAD" w:rsidRPr="00786292" w:rsidRDefault="00202BAD" w:rsidP="00786292">
            <w:pPr>
              <w:spacing w:before="0" w:after="0"/>
              <w:rPr>
                <w:rFonts w:eastAsia="Calibri" w:cs="Times New Roman"/>
              </w:rPr>
            </w:pPr>
          </w:p>
        </w:tc>
        <w:tc>
          <w:tcPr>
            <w:tcW w:w="4677" w:type="dxa"/>
            <w:gridSpan w:val="2"/>
          </w:tcPr>
          <w:p w14:paraId="02603571" w14:textId="77777777" w:rsidR="00786292" w:rsidRPr="00786292" w:rsidRDefault="00786292" w:rsidP="00786292">
            <w:pPr>
              <w:rPr>
                <w:rFonts w:eastAsia="Calibri" w:cs="Times New Roman"/>
              </w:rPr>
            </w:pPr>
          </w:p>
        </w:tc>
      </w:tr>
      <w:tr w:rsidR="00786292" w:rsidRPr="00786292" w14:paraId="7C970B2D" w14:textId="77777777" w:rsidTr="008E1C3F">
        <w:trPr>
          <w:trHeight w:val="375"/>
        </w:trPr>
        <w:tc>
          <w:tcPr>
            <w:tcW w:w="9213" w:type="dxa"/>
            <w:gridSpan w:val="3"/>
          </w:tcPr>
          <w:p w14:paraId="37F7BA72" w14:textId="77777777" w:rsidR="00202BAD" w:rsidRDefault="00202BAD" w:rsidP="00786292">
            <w:pPr>
              <w:spacing w:before="0"/>
              <w:rPr>
                <w:rFonts w:eastAsia="Calibri" w:cs="Times New Roman"/>
                <w:b/>
                <w:szCs w:val="24"/>
                <w:lang w:val="en-US"/>
              </w:rPr>
            </w:pPr>
          </w:p>
          <w:p w14:paraId="42BFF44D" w14:textId="77777777" w:rsidR="00202BAD" w:rsidRDefault="00202BAD" w:rsidP="00786292">
            <w:pPr>
              <w:spacing w:before="0"/>
              <w:rPr>
                <w:rFonts w:eastAsia="Calibri" w:cs="Times New Roman"/>
                <w:b/>
                <w:szCs w:val="24"/>
                <w:lang w:val="en-US"/>
              </w:rPr>
            </w:pPr>
          </w:p>
          <w:p w14:paraId="490915D3" w14:textId="568EE3A4" w:rsidR="00786292" w:rsidRPr="00786292" w:rsidRDefault="00786292" w:rsidP="00786292">
            <w:pPr>
              <w:spacing w:before="0"/>
              <w:rPr>
                <w:rFonts w:eastAsia="Calibri" w:cs="Times New Roman"/>
                <w:b/>
                <w:szCs w:val="24"/>
                <w:lang w:val="en-US"/>
              </w:rPr>
            </w:pPr>
            <w:r w:rsidRPr="00786292">
              <w:rPr>
                <w:rFonts w:eastAsia="Calibri" w:cs="Times New Roman"/>
                <w:b/>
                <w:szCs w:val="24"/>
                <w:lang w:val="en-US"/>
              </w:rPr>
              <w:lastRenderedPageBreak/>
              <w:t>Ontario Securities Commission</w:t>
            </w:r>
          </w:p>
        </w:tc>
      </w:tr>
      <w:tr w:rsidR="00786292" w:rsidRPr="00786292" w14:paraId="784DFF14" w14:textId="77777777" w:rsidTr="008E1C3F">
        <w:trPr>
          <w:trHeight w:val="1568"/>
        </w:trPr>
        <w:tc>
          <w:tcPr>
            <w:tcW w:w="4536" w:type="dxa"/>
          </w:tcPr>
          <w:p w14:paraId="4994C125" w14:textId="77777777" w:rsidR="00786292" w:rsidRPr="00786292" w:rsidRDefault="00786292" w:rsidP="00786292">
            <w:pPr>
              <w:spacing w:before="0" w:after="0"/>
              <w:rPr>
                <w:rFonts w:eastAsia="Calibri" w:cs="Times New Roman"/>
              </w:rPr>
            </w:pPr>
            <w:r w:rsidRPr="00786292">
              <w:rPr>
                <w:rFonts w:eastAsia="Calibri" w:cs="Times New Roman"/>
              </w:rPr>
              <w:lastRenderedPageBreak/>
              <w:t>Timothy Baikie</w:t>
            </w:r>
          </w:p>
          <w:p w14:paraId="6AC295C2" w14:textId="77777777" w:rsidR="00786292" w:rsidRPr="00786292" w:rsidRDefault="00786292" w:rsidP="00786292">
            <w:pPr>
              <w:spacing w:before="0" w:after="0"/>
              <w:rPr>
                <w:rFonts w:eastAsia="Calibri" w:cs="Times New Roman"/>
              </w:rPr>
            </w:pPr>
            <w:r w:rsidRPr="00786292">
              <w:rPr>
                <w:rFonts w:eastAsia="Calibri" w:cs="Times New Roman"/>
              </w:rPr>
              <w:t>Senior Legal Counsel, Market Regulation</w:t>
            </w:r>
          </w:p>
          <w:p w14:paraId="45F83434" w14:textId="77777777" w:rsidR="00786292" w:rsidRPr="00786292" w:rsidRDefault="00786292" w:rsidP="00786292">
            <w:pPr>
              <w:spacing w:before="0" w:after="0"/>
              <w:rPr>
                <w:rFonts w:eastAsia="Calibri" w:cs="Times New Roman"/>
              </w:rPr>
            </w:pPr>
            <w:r w:rsidRPr="00786292">
              <w:rPr>
                <w:rFonts w:eastAsia="Calibri" w:cs="Times New Roman"/>
              </w:rPr>
              <w:t>416-593-8136</w:t>
            </w:r>
          </w:p>
          <w:p w14:paraId="5DF78AFA" w14:textId="77777777" w:rsidR="00786292" w:rsidRPr="00786292" w:rsidRDefault="00994510" w:rsidP="00786292">
            <w:pPr>
              <w:spacing w:before="0" w:after="0"/>
              <w:rPr>
                <w:rFonts w:eastAsia="Calibri" w:cs="Times New Roman"/>
              </w:rPr>
            </w:pPr>
            <w:hyperlink r:id="rId30" w:history="1">
              <w:r w:rsidR="00786292" w:rsidRPr="00786292">
                <w:rPr>
                  <w:rFonts w:eastAsia="Calibri" w:cs="Times New Roman"/>
                  <w:color w:val="0000FF"/>
                  <w:u w:val="single"/>
                </w:rPr>
                <w:t>tbaikie@osc.gov.on.ca</w:t>
              </w:r>
            </w:hyperlink>
          </w:p>
        </w:tc>
        <w:tc>
          <w:tcPr>
            <w:tcW w:w="4677" w:type="dxa"/>
            <w:gridSpan w:val="2"/>
          </w:tcPr>
          <w:p w14:paraId="7C9B7BB9" w14:textId="77777777" w:rsidR="00786292" w:rsidRPr="00786292" w:rsidRDefault="00786292" w:rsidP="00786292">
            <w:pPr>
              <w:spacing w:before="0" w:after="0"/>
              <w:rPr>
                <w:rFonts w:eastAsia="Calibri" w:cs="Times New Roman"/>
              </w:rPr>
            </w:pPr>
            <w:r w:rsidRPr="00786292">
              <w:rPr>
                <w:rFonts w:eastAsia="Calibri" w:cs="Times New Roman"/>
              </w:rPr>
              <w:t>Paloma Ellard</w:t>
            </w:r>
          </w:p>
          <w:p w14:paraId="73E65F6A" w14:textId="77777777" w:rsidR="00786292" w:rsidRPr="00786292" w:rsidRDefault="00786292" w:rsidP="00786292">
            <w:pPr>
              <w:spacing w:before="0" w:after="0"/>
              <w:rPr>
                <w:rFonts w:eastAsia="Calibri" w:cs="Times New Roman"/>
              </w:rPr>
            </w:pPr>
            <w:r w:rsidRPr="00786292">
              <w:rPr>
                <w:rFonts w:eastAsia="Calibri" w:cs="Times New Roman"/>
              </w:rPr>
              <w:t>Manager, General Counsel’s Office</w:t>
            </w:r>
          </w:p>
          <w:p w14:paraId="67E76569" w14:textId="77777777" w:rsidR="00786292" w:rsidRPr="00786292" w:rsidRDefault="00786292" w:rsidP="00786292">
            <w:pPr>
              <w:spacing w:before="0" w:after="0"/>
              <w:rPr>
                <w:rFonts w:eastAsia="Calibri" w:cs="Times New Roman"/>
              </w:rPr>
            </w:pPr>
            <w:r w:rsidRPr="00786292">
              <w:rPr>
                <w:rFonts w:eastAsia="Calibri" w:cs="Times New Roman"/>
              </w:rPr>
              <w:t>416-595-8906</w:t>
            </w:r>
          </w:p>
          <w:p w14:paraId="332A4962" w14:textId="77777777" w:rsidR="00786292" w:rsidRPr="00786292" w:rsidRDefault="00994510" w:rsidP="00786292">
            <w:pPr>
              <w:spacing w:before="0" w:after="0"/>
              <w:rPr>
                <w:rFonts w:eastAsia="Calibri" w:cs="Times New Roman"/>
              </w:rPr>
            </w:pPr>
            <w:hyperlink r:id="rId31" w:history="1">
              <w:r w:rsidR="00786292" w:rsidRPr="00786292">
                <w:rPr>
                  <w:rFonts w:eastAsia="Calibri" w:cs="Times New Roman"/>
                  <w:color w:val="0000FF"/>
                  <w:u w:val="single"/>
                </w:rPr>
                <w:t>pellard@osc.gov.on.ca</w:t>
              </w:r>
            </w:hyperlink>
          </w:p>
        </w:tc>
      </w:tr>
      <w:tr w:rsidR="00786292" w:rsidRPr="00786292" w14:paraId="7C0F09B8" w14:textId="77777777" w:rsidTr="008E1C3F">
        <w:trPr>
          <w:trHeight w:val="1409"/>
        </w:trPr>
        <w:tc>
          <w:tcPr>
            <w:tcW w:w="4536" w:type="dxa"/>
          </w:tcPr>
          <w:p w14:paraId="633F913C" w14:textId="77777777" w:rsidR="00786292" w:rsidRPr="00786292" w:rsidRDefault="00786292" w:rsidP="00786292">
            <w:pPr>
              <w:spacing w:before="0" w:after="0"/>
              <w:rPr>
                <w:rFonts w:eastAsia="Calibri" w:cs="Times New Roman"/>
              </w:rPr>
            </w:pPr>
            <w:r w:rsidRPr="00786292">
              <w:rPr>
                <w:rFonts w:eastAsia="Calibri" w:cs="Times New Roman"/>
              </w:rPr>
              <w:t>Steven Oh</w:t>
            </w:r>
          </w:p>
          <w:p w14:paraId="18B38517" w14:textId="77777777" w:rsidR="00786292" w:rsidRPr="00786292" w:rsidRDefault="00786292" w:rsidP="00786292">
            <w:pPr>
              <w:spacing w:before="0" w:after="0"/>
              <w:rPr>
                <w:rFonts w:eastAsia="Calibri" w:cs="Times New Roman"/>
              </w:rPr>
            </w:pPr>
            <w:r w:rsidRPr="00786292">
              <w:rPr>
                <w:rFonts w:eastAsia="Calibri" w:cs="Times New Roman"/>
              </w:rPr>
              <w:t>Senior Legal Counsel, Corporate Finance</w:t>
            </w:r>
          </w:p>
          <w:p w14:paraId="3A05721D" w14:textId="77777777" w:rsidR="00786292" w:rsidRPr="00786292" w:rsidRDefault="00786292" w:rsidP="00786292">
            <w:pPr>
              <w:spacing w:before="0" w:after="0"/>
              <w:rPr>
                <w:rFonts w:eastAsia="Calibri" w:cs="Times New Roman"/>
              </w:rPr>
            </w:pPr>
            <w:r w:rsidRPr="00786292">
              <w:rPr>
                <w:rFonts w:eastAsia="Calibri" w:cs="Times New Roman"/>
              </w:rPr>
              <w:t>416-595-8778</w:t>
            </w:r>
          </w:p>
          <w:p w14:paraId="1CDBFCF3" w14:textId="77777777" w:rsidR="00786292" w:rsidRDefault="00994510" w:rsidP="00786292">
            <w:pPr>
              <w:spacing w:before="0" w:after="0"/>
              <w:rPr>
                <w:rFonts w:eastAsia="Calibri" w:cs="Times New Roman"/>
                <w:color w:val="0000FF"/>
                <w:u w:val="single"/>
              </w:rPr>
            </w:pPr>
            <w:hyperlink r:id="rId32" w:history="1">
              <w:r w:rsidR="00786292" w:rsidRPr="00786292">
                <w:rPr>
                  <w:rFonts w:eastAsia="Calibri" w:cs="Times New Roman"/>
                  <w:color w:val="0000FF"/>
                  <w:u w:val="single"/>
                </w:rPr>
                <w:t>soh@osc.gov.on.ca</w:t>
              </w:r>
            </w:hyperlink>
          </w:p>
          <w:p w14:paraId="26358BBD" w14:textId="1D79D120" w:rsidR="008E1C3F" w:rsidRDefault="008E1C3F" w:rsidP="00786292">
            <w:pPr>
              <w:spacing w:before="0" w:after="0"/>
              <w:rPr>
                <w:rFonts w:eastAsia="Calibri" w:cs="Times New Roman"/>
                <w:color w:val="0000FF"/>
                <w:u w:val="single"/>
              </w:rPr>
            </w:pPr>
          </w:p>
          <w:p w14:paraId="65586D4C" w14:textId="77777777" w:rsidR="008E1C3F" w:rsidRDefault="008E1C3F" w:rsidP="00786292">
            <w:pPr>
              <w:spacing w:before="0" w:after="0"/>
              <w:rPr>
                <w:rFonts w:eastAsia="Calibri" w:cs="Times New Roman"/>
                <w:color w:val="0000FF"/>
                <w:u w:val="single"/>
              </w:rPr>
            </w:pPr>
          </w:p>
          <w:p w14:paraId="2B655EC1" w14:textId="77777777" w:rsidR="008E1C3F" w:rsidRPr="00786292" w:rsidRDefault="008E1C3F" w:rsidP="008E1C3F">
            <w:pPr>
              <w:spacing w:before="0" w:after="0"/>
              <w:rPr>
                <w:rFonts w:eastAsia="Calibri" w:cs="Times New Roman"/>
              </w:rPr>
            </w:pPr>
            <w:r w:rsidRPr="00786292">
              <w:rPr>
                <w:rFonts w:eastAsia="Calibri" w:cs="Times New Roman"/>
              </w:rPr>
              <w:t>Kevin Yang</w:t>
            </w:r>
          </w:p>
          <w:p w14:paraId="6AF0E189" w14:textId="77777777" w:rsidR="008E1C3F" w:rsidRPr="00786292" w:rsidRDefault="008E1C3F" w:rsidP="008E1C3F">
            <w:pPr>
              <w:spacing w:before="0" w:after="0"/>
              <w:rPr>
                <w:rFonts w:eastAsia="Calibri" w:cs="Times New Roman"/>
              </w:rPr>
            </w:pPr>
            <w:r w:rsidRPr="00786292">
              <w:rPr>
                <w:rFonts w:eastAsia="Calibri" w:cs="Times New Roman"/>
              </w:rPr>
              <w:t>Senior Research Analyst, Regulatory Strategy and Research</w:t>
            </w:r>
          </w:p>
          <w:p w14:paraId="3609334A" w14:textId="77777777" w:rsidR="008E1C3F" w:rsidRPr="00786292" w:rsidRDefault="008E1C3F" w:rsidP="008E1C3F">
            <w:pPr>
              <w:spacing w:before="0" w:after="0"/>
              <w:rPr>
                <w:rFonts w:eastAsia="Calibri" w:cs="Times New Roman"/>
              </w:rPr>
            </w:pPr>
            <w:r w:rsidRPr="00786292">
              <w:rPr>
                <w:rFonts w:eastAsia="Calibri" w:cs="Times New Roman"/>
              </w:rPr>
              <w:t>416-204-8983</w:t>
            </w:r>
          </w:p>
          <w:p w14:paraId="1A0174BA" w14:textId="77777777" w:rsidR="008E1C3F" w:rsidRPr="00786292" w:rsidRDefault="00994510" w:rsidP="008E1C3F">
            <w:pPr>
              <w:spacing w:before="0" w:after="0"/>
              <w:rPr>
                <w:rFonts w:eastAsia="Calibri" w:cs="Times New Roman"/>
              </w:rPr>
            </w:pPr>
            <w:hyperlink r:id="rId33" w:history="1">
              <w:r w:rsidR="008E1C3F" w:rsidRPr="00786292">
                <w:rPr>
                  <w:rFonts w:eastAsia="Calibri" w:cs="Times New Roman"/>
                  <w:color w:val="0000FF"/>
                  <w:u w:val="single"/>
                </w:rPr>
                <w:t>kyang@osc.gov.on.ca</w:t>
              </w:r>
            </w:hyperlink>
          </w:p>
          <w:p w14:paraId="7DF78332" w14:textId="3B96E0A9" w:rsidR="008E1C3F" w:rsidRPr="00786292" w:rsidRDefault="008E1C3F" w:rsidP="00786292">
            <w:pPr>
              <w:spacing w:before="0" w:after="0"/>
              <w:rPr>
                <w:rFonts w:eastAsia="Calibri" w:cs="Times New Roman"/>
              </w:rPr>
            </w:pPr>
          </w:p>
        </w:tc>
        <w:tc>
          <w:tcPr>
            <w:tcW w:w="4677" w:type="dxa"/>
            <w:gridSpan w:val="2"/>
          </w:tcPr>
          <w:p w14:paraId="1B710C01" w14:textId="77777777" w:rsidR="00786292" w:rsidRPr="00786292" w:rsidRDefault="00786292" w:rsidP="00786292">
            <w:pPr>
              <w:spacing w:before="0" w:after="0"/>
              <w:rPr>
                <w:rFonts w:eastAsia="Calibri" w:cs="Times New Roman"/>
              </w:rPr>
            </w:pPr>
            <w:r w:rsidRPr="00786292">
              <w:rPr>
                <w:rFonts w:eastAsia="Calibri" w:cs="Times New Roman"/>
              </w:rPr>
              <w:t>Ruxandra Smith</w:t>
            </w:r>
          </w:p>
          <w:p w14:paraId="5AE63922" w14:textId="77777777" w:rsidR="00786292" w:rsidRPr="00786292" w:rsidRDefault="00786292" w:rsidP="00786292">
            <w:pPr>
              <w:spacing w:before="0" w:after="0"/>
              <w:rPr>
                <w:rFonts w:eastAsia="Calibri" w:cs="Times New Roman"/>
              </w:rPr>
            </w:pPr>
            <w:r w:rsidRPr="00786292">
              <w:rPr>
                <w:rFonts w:eastAsia="Calibri" w:cs="Times New Roman"/>
              </w:rPr>
              <w:t>Senior Accountant, Market Regulation</w:t>
            </w:r>
          </w:p>
          <w:p w14:paraId="4D2AC516" w14:textId="77777777" w:rsidR="00786292" w:rsidRPr="00786292" w:rsidRDefault="00786292" w:rsidP="00786292">
            <w:pPr>
              <w:spacing w:before="0" w:after="0"/>
              <w:rPr>
                <w:rFonts w:eastAsia="Calibri" w:cs="Times New Roman"/>
              </w:rPr>
            </w:pPr>
            <w:r w:rsidRPr="00786292">
              <w:rPr>
                <w:rFonts w:eastAsia="Calibri" w:cs="Times New Roman"/>
              </w:rPr>
              <w:t>416-593-8322</w:t>
            </w:r>
          </w:p>
          <w:p w14:paraId="4440EA7A" w14:textId="77777777" w:rsidR="00786292" w:rsidRDefault="00994510" w:rsidP="00786292">
            <w:pPr>
              <w:spacing w:before="0" w:after="0"/>
              <w:rPr>
                <w:rFonts w:eastAsia="Calibri" w:cs="Times New Roman"/>
                <w:color w:val="0000FF"/>
                <w:u w:val="single"/>
              </w:rPr>
            </w:pPr>
            <w:hyperlink r:id="rId34" w:history="1">
              <w:r w:rsidR="00786292" w:rsidRPr="00786292">
                <w:rPr>
                  <w:rFonts w:eastAsia="Calibri" w:cs="Times New Roman"/>
                  <w:color w:val="0000FF"/>
                  <w:u w:val="single"/>
                </w:rPr>
                <w:t>rsmith@osc.gov.on.ca</w:t>
              </w:r>
            </w:hyperlink>
          </w:p>
          <w:p w14:paraId="65096AA6" w14:textId="77777777" w:rsidR="008E1C3F" w:rsidRDefault="008E1C3F" w:rsidP="00786292">
            <w:pPr>
              <w:spacing w:before="0" w:after="0"/>
              <w:rPr>
                <w:rFonts w:eastAsia="Calibri" w:cs="Times New Roman"/>
                <w:color w:val="0000FF"/>
                <w:u w:val="single"/>
              </w:rPr>
            </w:pPr>
          </w:p>
          <w:p w14:paraId="7CD7C0DE" w14:textId="7425B122" w:rsidR="008E1C3F" w:rsidRPr="00786292" w:rsidRDefault="008E1C3F" w:rsidP="008E1C3F">
            <w:pPr>
              <w:spacing w:before="0" w:after="0"/>
              <w:ind w:left="-4697"/>
              <w:rPr>
                <w:rFonts w:eastAsia="Calibri" w:cs="Times New Roman"/>
              </w:rPr>
            </w:pPr>
          </w:p>
        </w:tc>
      </w:tr>
      <w:tr w:rsidR="00786292" w:rsidRPr="00786292" w14:paraId="6009DA8A" w14:textId="77777777" w:rsidTr="008E1C3F">
        <w:trPr>
          <w:trHeight w:val="2154"/>
        </w:trPr>
        <w:tc>
          <w:tcPr>
            <w:tcW w:w="4536" w:type="dxa"/>
          </w:tcPr>
          <w:p w14:paraId="016342F3" w14:textId="77777777" w:rsidR="00786292" w:rsidRPr="00786292" w:rsidRDefault="00786292" w:rsidP="008E1C3F">
            <w:pPr>
              <w:spacing w:before="0" w:after="0"/>
              <w:rPr>
                <w:rFonts w:eastAsia="Calibri" w:cs="Times New Roman"/>
              </w:rPr>
            </w:pPr>
          </w:p>
        </w:tc>
        <w:tc>
          <w:tcPr>
            <w:tcW w:w="4677" w:type="dxa"/>
            <w:gridSpan w:val="2"/>
          </w:tcPr>
          <w:p w14:paraId="580C0432" w14:textId="77777777" w:rsidR="00786292" w:rsidRPr="00786292" w:rsidRDefault="00786292" w:rsidP="00786292">
            <w:pPr>
              <w:rPr>
                <w:rFonts w:eastAsia="Calibri" w:cs="Times New Roman"/>
              </w:rPr>
            </w:pPr>
          </w:p>
        </w:tc>
      </w:tr>
    </w:tbl>
    <w:p w14:paraId="1628B310" w14:textId="524B0217" w:rsidR="00046B4C" w:rsidRPr="00D721D9" w:rsidRDefault="00046B4C" w:rsidP="008E1C3F">
      <w:pPr>
        <w:rPr>
          <w:rFonts w:cs="Times New Roman"/>
          <w:szCs w:val="24"/>
          <w:lang w:val="en-US"/>
        </w:rPr>
      </w:pPr>
    </w:p>
    <w:sectPr w:rsidR="00046B4C" w:rsidRPr="00D721D9" w:rsidSect="00011B9A">
      <w:headerReference w:type="default" r:id="rId35"/>
      <w:foot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BABDA" w14:textId="77777777" w:rsidR="00994510" w:rsidRDefault="00994510" w:rsidP="00DE43B4">
      <w:pPr>
        <w:spacing w:after="0"/>
      </w:pPr>
      <w:r>
        <w:separator/>
      </w:r>
    </w:p>
  </w:endnote>
  <w:endnote w:type="continuationSeparator" w:id="0">
    <w:p w14:paraId="6A5BEED4" w14:textId="77777777" w:rsidR="00994510" w:rsidRDefault="00994510" w:rsidP="00DE43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0376193"/>
      <w:docPartObj>
        <w:docPartGallery w:val="Page Numbers (Bottom of Page)"/>
        <w:docPartUnique/>
      </w:docPartObj>
    </w:sdtPr>
    <w:sdtEndPr>
      <w:rPr>
        <w:noProof/>
      </w:rPr>
    </w:sdtEndPr>
    <w:sdtContent>
      <w:p w14:paraId="49FB801A" w14:textId="32B1458A" w:rsidR="00994510" w:rsidRDefault="00994510">
        <w:pPr>
          <w:pStyle w:val="Footer"/>
          <w:jc w:val="right"/>
        </w:pPr>
        <w:r>
          <w:fldChar w:fldCharType="begin"/>
        </w:r>
        <w:r>
          <w:instrText xml:space="preserve"> PAGE   \* MERGEFORMAT </w:instrText>
        </w:r>
        <w:r>
          <w:fldChar w:fldCharType="separate"/>
        </w:r>
        <w:r w:rsidR="00BC37D8">
          <w:rPr>
            <w:noProof/>
          </w:rPr>
          <w:t>1</w:t>
        </w:r>
        <w:r>
          <w:rPr>
            <w:noProof/>
          </w:rPr>
          <w:fldChar w:fldCharType="end"/>
        </w:r>
      </w:p>
    </w:sdtContent>
  </w:sdt>
  <w:p w14:paraId="506E3099" w14:textId="77777777" w:rsidR="00994510" w:rsidRPr="00866024" w:rsidRDefault="00994510" w:rsidP="0086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B7DB6" w14:textId="77777777" w:rsidR="00994510" w:rsidRDefault="00994510" w:rsidP="00DE43B4">
      <w:pPr>
        <w:spacing w:after="0"/>
      </w:pPr>
      <w:r>
        <w:separator/>
      </w:r>
    </w:p>
  </w:footnote>
  <w:footnote w:type="continuationSeparator" w:id="0">
    <w:p w14:paraId="70803638" w14:textId="77777777" w:rsidR="00994510" w:rsidRDefault="00994510" w:rsidP="00DE43B4">
      <w:pPr>
        <w:spacing w:after="0"/>
      </w:pPr>
      <w:r>
        <w:continuationSeparator/>
      </w:r>
    </w:p>
  </w:footnote>
  <w:footnote w:id="1">
    <w:p w14:paraId="18831849" w14:textId="58F6EB7D" w:rsidR="00994510" w:rsidRPr="00E65133" w:rsidRDefault="00994510" w:rsidP="00EC113D">
      <w:pPr>
        <w:pStyle w:val="footnote"/>
      </w:pPr>
      <w:r w:rsidRPr="009D56FE">
        <w:rPr>
          <w:rStyle w:val="FootnoteReference"/>
        </w:rPr>
        <w:footnoteRef/>
      </w:r>
      <w:r w:rsidRPr="00EC113D">
        <w:t xml:space="preserve"> See e.g.</w:t>
      </w:r>
      <w:r>
        <w:t>,</w:t>
      </w:r>
      <w:r w:rsidRPr="00EC113D">
        <w:t xml:space="preserve"> Barbara Shecter, </w:t>
      </w:r>
      <w:hyperlink r:id="rId1" w:history="1">
        <w:r w:rsidRPr="00EC113D">
          <w:rPr>
            <w:rStyle w:val="Hyperlink"/>
            <w:color w:val="auto"/>
            <w:u w:val="none"/>
          </w:rPr>
          <w:t>“Activist short-sellers are increasingly targeting Canadian companies – is Canada ready?”</w:t>
        </w:r>
      </w:hyperlink>
      <w:r w:rsidRPr="00EC113D">
        <w:t>,</w:t>
      </w:r>
      <w:r>
        <w:t xml:space="preserve"> </w:t>
      </w:r>
      <w:r w:rsidRPr="00827E5A">
        <w:rPr>
          <w:i/>
          <w:iCs/>
        </w:rPr>
        <w:t>Financial Post</w:t>
      </w:r>
      <w:r w:rsidRPr="00EC113D">
        <w:t xml:space="preserve"> (6 October 2017)</w:t>
      </w:r>
      <w:r>
        <w:t xml:space="preserve"> [Shecter]; </w:t>
      </w:r>
      <w:r w:rsidRPr="00F60B48">
        <w:t>Orestes Pasparakis, Walied Soliman &amp; Joe Bricker</w:t>
      </w:r>
      <w:hyperlink r:id="rId2" w:history="1">
        <w:r w:rsidRPr="003E0127">
          <w:rPr>
            <w:rStyle w:val="Hyperlink"/>
            <w:color w:val="auto"/>
            <w:u w:val="none"/>
          </w:rPr>
          <w:t>, “It’s time for legislators to crack down on abusive short-selling”</w:t>
        </w:r>
      </w:hyperlink>
      <w:r w:rsidRPr="003E0127">
        <w:t xml:space="preserve">, </w:t>
      </w:r>
      <w:r w:rsidRPr="00F60B48">
        <w:rPr>
          <w:i/>
          <w:iCs/>
        </w:rPr>
        <w:t>Globe and Mail Op-ed</w:t>
      </w:r>
      <w:r w:rsidRPr="00F60B48">
        <w:t xml:space="preserve"> (18 January 2019) [Pasparakis, Soliman &amp; Bricker]; and Pete Evans, </w:t>
      </w:r>
      <w:hyperlink r:id="rId3" w:history="1">
        <w:r w:rsidRPr="003E0127">
          <w:rPr>
            <w:rStyle w:val="Hyperlink"/>
            <w:color w:val="auto"/>
            <w:u w:val="none"/>
          </w:rPr>
          <w:t>“Canada needs to toughen short selling rules to weed out abuse, market watchers say”,</w:t>
        </w:r>
      </w:hyperlink>
      <w:r w:rsidRPr="003E0127">
        <w:t xml:space="preserve"> </w:t>
      </w:r>
      <w:r w:rsidRPr="00F60B48">
        <w:rPr>
          <w:i/>
          <w:iCs/>
        </w:rPr>
        <w:t>CBC News</w:t>
      </w:r>
      <w:r w:rsidRPr="00F60B48">
        <w:t xml:space="preserve"> (11 February 2019) [Evans]</w:t>
      </w:r>
      <w:r>
        <w:t xml:space="preserve">; Yves </w:t>
      </w:r>
      <w:r w:rsidRPr="00D03B70">
        <w:t>Allaire “</w:t>
      </w:r>
      <w:hyperlink r:id="rId4" w:history="1">
        <w:r w:rsidRPr="00D03B70">
          <w:t>Short-seller heists: Why do institutional investors support activist hedge funds only out for a quick profit?</w:t>
        </w:r>
      </w:hyperlink>
      <w:r w:rsidRPr="00D03B70">
        <w:t xml:space="preserve">”, </w:t>
      </w:r>
      <w:r w:rsidRPr="00D03B70">
        <w:rPr>
          <w:i/>
        </w:rPr>
        <w:t>Financial Post Op-ed</w:t>
      </w:r>
      <w:r w:rsidRPr="00D03B70">
        <w:t xml:space="preserve"> (13 December 13 2019) </w:t>
      </w:r>
    </w:p>
  </w:footnote>
  <w:footnote w:id="2">
    <w:p w14:paraId="784773F8" w14:textId="13B507A9" w:rsidR="00994510" w:rsidRPr="00A007EE" w:rsidRDefault="00994510" w:rsidP="00E73A99">
      <w:pPr>
        <w:pStyle w:val="footnote"/>
        <w:rPr>
          <w:lang w:val="en-US"/>
        </w:rPr>
      </w:pPr>
      <w:r w:rsidRPr="00541FB6">
        <w:rPr>
          <w:rStyle w:val="FootnoteReference"/>
        </w:rPr>
        <w:footnoteRef/>
      </w:r>
      <w:r>
        <w:rPr>
          <w:lang w:val="en-US"/>
        </w:rPr>
        <w:t xml:space="preserve"> </w:t>
      </w:r>
      <w:r w:rsidRPr="00541FB6">
        <w:rPr>
          <w:lang w:val="en-US"/>
        </w:rPr>
        <w:t>See e.g.</w:t>
      </w:r>
      <w:r>
        <w:rPr>
          <w:lang w:val="en-US"/>
        </w:rPr>
        <w:t>,</w:t>
      </w:r>
      <w:r w:rsidRPr="00541FB6">
        <w:rPr>
          <w:lang w:val="en-US"/>
        </w:rPr>
        <w:t xml:space="preserve"> </w:t>
      </w:r>
      <w:r>
        <w:rPr>
          <w:lang w:val="en-US"/>
        </w:rPr>
        <w:t>Larry MacDonald, “</w:t>
      </w:r>
      <w:r w:rsidRPr="00FC0715">
        <w:rPr>
          <w:lang w:val="en-US"/>
        </w:rPr>
        <w:t>Regulations to rein in short-sellers must not undercut activists' positive effects</w:t>
      </w:r>
      <w:r>
        <w:rPr>
          <w:lang w:val="en-US"/>
        </w:rPr>
        <w:t xml:space="preserve">”, </w:t>
      </w:r>
      <w:r w:rsidRPr="2E96ABE4">
        <w:rPr>
          <w:i/>
          <w:iCs/>
          <w:lang w:val="en-US"/>
        </w:rPr>
        <w:t>The Globe and Mail</w:t>
      </w:r>
      <w:r>
        <w:rPr>
          <w:lang w:val="en-US"/>
        </w:rPr>
        <w:t xml:space="preserve"> (30 January 2020) </w:t>
      </w:r>
    </w:p>
  </w:footnote>
  <w:footnote w:id="3">
    <w:p w14:paraId="6838EDEC" w14:textId="77777777" w:rsidR="00994510" w:rsidRPr="00EC113D" w:rsidRDefault="00994510" w:rsidP="00EC113D">
      <w:pPr>
        <w:pStyle w:val="footnote"/>
      </w:pPr>
      <w:r w:rsidRPr="002C06C7">
        <w:rPr>
          <w:rStyle w:val="FootnoteReference"/>
        </w:rPr>
        <w:footnoteRef/>
      </w:r>
      <w:r w:rsidRPr="006C44A4">
        <w:rPr>
          <w:vertAlign w:val="superscript"/>
        </w:rPr>
        <w:t xml:space="preserve"> </w:t>
      </w:r>
      <w:r>
        <w:t>For further details on the mechanics of short selling, see Part I, Section B below.  S</w:t>
      </w:r>
      <w:r w:rsidRPr="00D03B70">
        <w:t xml:space="preserve">ee </w:t>
      </w:r>
      <w:r>
        <w:t xml:space="preserve">also </w:t>
      </w:r>
      <w:r w:rsidRPr="00D03B70">
        <w:t>e.g.</w:t>
      </w:r>
      <w:r>
        <w:t>,</w:t>
      </w:r>
      <w:r w:rsidRPr="00D03B70">
        <w:t xml:space="preserve"> Wuyang Zhao, “Activist Short-Selling and Corporate Opacity” (January 28, 2020)</w:t>
      </w:r>
      <w:r>
        <w:t>,</w:t>
      </w:r>
      <w:r w:rsidRPr="00D03B70">
        <w:t xml:space="preserve"> </w:t>
      </w:r>
      <w:r>
        <w:t>a</w:t>
      </w:r>
      <w:r w:rsidRPr="00D03B70">
        <w:t xml:space="preserve">vailable at </w:t>
      </w:r>
      <w:hyperlink r:id="rId5" w:history="1">
        <w:r w:rsidRPr="00D03B70">
          <w:t>SSRN</w:t>
        </w:r>
      </w:hyperlink>
      <w:r w:rsidRPr="00D03B70">
        <w:t xml:space="preserve"> [Zhao]; and Alexander Ljungqvist &amp; Wenlan Qian, “How Constraining Are Limits to Arbitrage?” (March 5, 2016)</w:t>
      </w:r>
      <w:r>
        <w:t>,</w:t>
      </w:r>
      <w:r w:rsidRPr="00D03B70">
        <w:t xml:space="preserve"> </w:t>
      </w:r>
      <w:r w:rsidRPr="006675BA">
        <w:t>Institute of Global Finance Working Paper No. 7</w:t>
      </w:r>
      <w:r>
        <w:t>, a</w:t>
      </w:r>
      <w:r w:rsidRPr="00D03B70">
        <w:t xml:space="preserve">vailable at </w:t>
      </w:r>
      <w:hyperlink r:id="rId6" w:history="1">
        <w:r w:rsidRPr="00D03B70">
          <w:t>SSRN</w:t>
        </w:r>
      </w:hyperlink>
      <w:r w:rsidRPr="00D03B70">
        <w:t xml:space="preserve"> [Ljungqvist &amp; Qian].  Some academics also refer to this type of activity as “negative activism”, see Joshua Mitts, “A Legal Perspective on Technology and the Capital Markets: Social Media, Short</w:t>
      </w:r>
      <w:r w:rsidRPr="00EC113D">
        <w:t xml:space="preserve"> </w:t>
      </w:r>
      <w:r w:rsidRPr="00D03B70">
        <w:t>Activism and the Algorithmic Revolution” (October 28, 2019)</w:t>
      </w:r>
      <w:r>
        <w:t>,</w:t>
      </w:r>
      <w:r w:rsidRPr="00D03B70">
        <w:t xml:space="preserve"> </w:t>
      </w:r>
      <w:r w:rsidRPr="006675BA">
        <w:t>Columbia Law and Economics Working Paper No. 615</w:t>
      </w:r>
      <w:r>
        <w:t>, a</w:t>
      </w:r>
      <w:r w:rsidRPr="00D03B70">
        <w:t xml:space="preserve">vailable at </w:t>
      </w:r>
      <w:hyperlink r:id="rId7" w:history="1">
        <w:r w:rsidRPr="00D03B70">
          <w:t>SSRN</w:t>
        </w:r>
      </w:hyperlink>
      <w:r w:rsidRPr="00D03B70">
        <w:t>.</w:t>
      </w:r>
      <w:r w:rsidRPr="00EC113D">
        <w:t xml:space="preserve"> </w:t>
      </w:r>
    </w:p>
  </w:footnote>
  <w:footnote w:id="4">
    <w:p w14:paraId="6B0C6840" w14:textId="77777777" w:rsidR="00994510" w:rsidRPr="0090239A" w:rsidRDefault="00994510" w:rsidP="00B808AC">
      <w:pPr>
        <w:pStyle w:val="footnote"/>
      </w:pPr>
      <w:r>
        <w:rPr>
          <w:rStyle w:val="FootnoteReference"/>
        </w:rPr>
        <w:footnoteRef/>
      </w:r>
      <w:r>
        <w:t xml:space="preserve"> </w:t>
      </w:r>
      <w:r w:rsidRPr="00D03B70">
        <w:rPr>
          <w:rStyle w:val="footnoteChar"/>
        </w:rPr>
        <w:t xml:space="preserve">Directional short sellers anticipate a decline in the market price of a security sold, in contrast to other short sellers who hedge a </w:t>
      </w:r>
      <w:r w:rsidRPr="0090239A">
        <w:rPr>
          <w:rStyle w:val="footnoteChar"/>
        </w:rPr>
        <w:t xml:space="preserve">long position or take advantage of an arbitrage opportunity </w:t>
      </w:r>
      <w:r>
        <w:rPr>
          <w:rStyle w:val="footnoteChar"/>
        </w:rPr>
        <w:t>and who will not</w:t>
      </w:r>
      <w:r w:rsidRPr="0090239A">
        <w:rPr>
          <w:rStyle w:val="footnoteChar"/>
        </w:rPr>
        <w:t xml:space="preserve"> benefit from </w:t>
      </w:r>
      <w:r>
        <w:rPr>
          <w:rStyle w:val="footnoteChar"/>
        </w:rPr>
        <w:t xml:space="preserve">subsequent </w:t>
      </w:r>
      <w:r w:rsidRPr="0090239A">
        <w:rPr>
          <w:rStyle w:val="footnoteChar"/>
        </w:rPr>
        <w:t>downward or upward price movement</w:t>
      </w:r>
      <w:r>
        <w:rPr>
          <w:rStyle w:val="footnoteChar"/>
        </w:rPr>
        <w:t>s</w:t>
      </w:r>
      <w:r w:rsidRPr="0090239A">
        <w:rPr>
          <w:rStyle w:val="footnoteChar"/>
        </w:rPr>
        <w:t>.</w:t>
      </w:r>
    </w:p>
  </w:footnote>
  <w:footnote w:id="5">
    <w:p w14:paraId="56084035" w14:textId="77777777" w:rsidR="00994510" w:rsidRPr="00F60B48" w:rsidRDefault="00994510" w:rsidP="00B808AC">
      <w:pPr>
        <w:pStyle w:val="footnote"/>
      </w:pPr>
      <w:r w:rsidRPr="00D809DD">
        <w:rPr>
          <w:rStyle w:val="FootnoteReference"/>
        </w:rPr>
        <w:footnoteRef/>
      </w:r>
      <w:r w:rsidRPr="00D809DD">
        <w:rPr>
          <w:vertAlign w:val="superscript"/>
        </w:rPr>
        <w:t xml:space="preserve"> </w:t>
      </w:r>
      <w:r w:rsidRPr="0090239A">
        <w:t>See Adam Kornblum “</w:t>
      </w:r>
      <w:hyperlink r:id="rId8" w:history="1">
        <w:r w:rsidRPr="0090239A">
          <w:rPr>
            <w:rStyle w:val="Hyperlink"/>
            <w:color w:val="auto"/>
            <w:u w:val="none"/>
          </w:rPr>
          <w:t>11 Tweets that Turned the Stock Market Upside Down</w:t>
        </w:r>
      </w:hyperlink>
      <w:r w:rsidRPr="0090239A">
        <w:t xml:space="preserve">” </w:t>
      </w:r>
      <w:r w:rsidRPr="003A5262">
        <w:rPr>
          <w:i/>
        </w:rPr>
        <w:t>Ogilvy Insights</w:t>
      </w:r>
      <w:r w:rsidRPr="0090239A">
        <w:t xml:space="preserve"> (13 August 2018).</w:t>
      </w:r>
      <w:r w:rsidRPr="00F60B48">
        <w:t xml:space="preserve"> </w:t>
      </w:r>
    </w:p>
  </w:footnote>
  <w:footnote w:id="6">
    <w:p w14:paraId="15940CE5" w14:textId="77777777" w:rsidR="00994510" w:rsidRPr="00E73A99" w:rsidRDefault="00994510" w:rsidP="00B808AC">
      <w:pPr>
        <w:pStyle w:val="footnote"/>
        <w:rPr>
          <w:lang w:val="en-US"/>
        </w:rPr>
      </w:pPr>
      <w:r>
        <w:rPr>
          <w:rStyle w:val="FootnoteReference"/>
        </w:rPr>
        <w:footnoteRef/>
      </w:r>
      <w:r>
        <w:t xml:space="preserve"> </w:t>
      </w:r>
      <w:r w:rsidRPr="00B808AC">
        <w:rPr>
          <w:rStyle w:val="footnoteChar"/>
        </w:rPr>
        <w:t>Michael P. Regan, “</w:t>
      </w:r>
      <w:hyperlink r:id="rId9" w:history="1">
        <w:r w:rsidRPr="00B808AC">
          <w:rPr>
            <w:rStyle w:val="footnoteChar"/>
          </w:rPr>
          <w:t>The Tiny Activist Fund That Reaped 24% Return by Unearthing ‘Cockroaches</w:t>
        </w:r>
      </w:hyperlink>
      <w:r w:rsidRPr="00B808AC">
        <w:rPr>
          <w:rStyle w:val="footnoteChar"/>
        </w:rPr>
        <w:t xml:space="preserve">”, </w:t>
      </w:r>
      <w:r w:rsidRPr="003A5262">
        <w:rPr>
          <w:rStyle w:val="footnoteChar"/>
          <w:i/>
        </w:rPr>
        <w:t>Bloomberg Markets</w:t>
      </w:r>
      <w:r w:rsidRPr="00B808AC">
        <w:rPr>
          <w:rStyle w:val="footnoteChar"/>
        </w:rPr>
        <w:t xml:space="preserve"> (20 May 2019)</w:t>
      </w:r>
      <w:r>
        <w:rPr>
          <w:rStyle w:val="footnoteChar"/>
        </w:rPr>
        <w:t>.</w:t>
      </w:r>
      <w:r>
        <w:t xml:space="preserve"> </w:t>
      </w:r>
    </w:p>
  </w:footnote>
  <w:footnote w:id="7">
    <w:p w14:paraId="6BBF6649" w14:textId="77777777" w:rsidR="00994510" w:rsidRPr="00F60B48" w:rsidRDefault="00994510" w:rsidP="00B808AC">
      <w:pPr>
        <w:pStyle w:val="footnote"/>
      </w:pPr>
      <w:r w:rsidRPr="003A1006">
        <w:rPr>
          <w:rStyle w:val="FootnoteReference"/>
        </w:rPr>
        <w:footnoteRef/>
      </w:r>
      <w:r w:rsidRPr="003A1006">
        <w:rPr>
          <w:vertAlign w:val="superscript"/>
        </w:rPr>
        <w:t xml:space="preserve"> </w:t>
      </w:r>
      <w:hyperlink r:id="rId10" w:history="1">
        <w:r w:rsidRPr="00B808AC">
          <w:t>Letter</w:t>
        </w:r>
      </w:hyperlink>
      <w:r w:rsidRPr="00B808AC">
        <w:t xml:space="preserve"> from Fahmi Quadir, Chief Investment Officer, Safkhet Capital Management LLC to Dr. Jean-Pierre Bussalb, Head of Short Selling Section, Bundesanstalt für Finanzdienstleistungsaufsicht dated March 15, 2019.</w:t>
      </w:r>
      <w:r w:rsidRPr="00F60B48">
        <w:t xml:space="preserve"> </w:t>
      </w:r>
      <w:r>
        <w:t>[Safkhet Open Letter]</w:t>
      </w:r>
    </w:p>
  </w:footnote>
  <w:footnote w:id="8">
    <w:p w14:paraId="28C3E818" w14:textId="77777777" w:rsidR="00994510" w:rsidRPr="00F60B48" w:rsidRDefault="00994510" w:rsidP="00B808AC">
      <w:pPr>
        <w:pStyle w:val="footnote"/>
      </w:pPr>
      <w:r w:rsidRPr="003A1006">
        <w:rPr>
          <w:rStyle w:val="FootnoteReference"/>
        </w:rPr>
        <w:footnoteRef/>
      </w:r>
      <w:r w:rsidRPr="00F60B48">
        <w:t xml:space="preserve"> </w:t>
      </w:r>
      <w:r>
        <w:t xml:space="preserve">As noted by Partoy et al., “unlike positive activism, which often carries a powerful and positive normative presumption, negative activism faces an uphill normative battle, the presumption being that it destroys shareholder value.” </w:t>
      </w:r>
      <w:r w:rsidRPr="00F60B48">
        <w:t>Barbara A Bliss, Peter Molk &amp; Frank Partnoy, “Negative Activism” (February 25, 2019) 97 Washington University Law Review, Forthcoming. University of Florida Levin College of Law Research Paper No</w:t>
      </w:r>
      <w:r>
        <w:t>.</w:t>
      </w:r>
      <w:r w:rsidRPr="00F60B48">
        <w:t xml:space="preserve"> 19-19 at 11. Available at</w:t>
      </w:r>
      <w:r>
        <w:t xml:space="preserve"> </w:t>
      </w:r>
      <w:hyperlink r:id="rId11" w:history="1">
        <w:r w:rsidRPr="003A1006">
          <w:rPr>
            <w:rStyle w:val="Hyperlink"/>
            <w:color w:val="auto"/>
            <w:u w:val="none"/>
          </w:rPr>
          <w:t>SSRN</w:t>
        </w:r>
      </w:hyperlink>
      <w:r>
        <w:rPr>
          <w:rStyle w:val="Hyperlink"/>
          <w:color w:val="auto"/>
          <w:u w:val="none"/>
        </w:rPr>
        <w:t>.</w:t>
      </w:r>
      <w:r>
        <w:t xml:space="preserve"> [</w:t>
      </w:r>
      <w:r w:rsidRPr="00F60B48">
        <w:t>Bliss, Molk &amp; Partnoy]</w:t>
      </w:r>
    </w:p>
  </w:footnote>
  <w:footnote w:id="9">
    <w:p w14:paraId="7EABB802" w14:textId="5455D369" w:rsidR="00994510" w:rsidRPr="00F60B48" w:rsidRDefault="00994510" w:rsidP="00B808AC">
      <w:pPr>
        <w:pStyle w:val="footnote"/>
      </w:pPr>
      <w:r w:rsidRPr="008134C1">
        <w:rPr>
          <w:rStyle w:val="FootnoteReference"/>
        </w:rPr>
        <w:footnoteRef/>
      </w:r>
      <w:r w:rsidRPr="008134C1">
        <w:rPr>
          <w:vertAlign w:val="superscript"/>
        </w:rPr>
        <w:t xml:space="preserve"> </w:t>
      </w:r>
      <w:r w:rsidRPr="008134C1">
        <w:t>As discussed in</w:t>
      </w:r>
      <w:r>
        <w:t xml:space="preserve"> Part</w:t>
      </w:r>
      <w:r w:rsidRPr="008134C1">
        <w:t xml:space="preserve"> </w:t>
      </w:r>
      <w:r>
        <w:fldChar w:fldCharType="begin"/>
      </w:r>
      <w:r>
        <w:instrText xml:space="preserve"> REF _Ref35271582 \r \h </w:instrText>
      </w:r>
      <w:r>
        <w:fldChar w:fldCharType="separate"/>
      </w:r>
      <w:r w:rsidR="00BC37D8">
        <w:t>III.D</w:t>
      </w:r>
      <w:r>
        <w:fldChar w:fldCharType="end"/>
      </w:r>
      <w:r>
        <w:t>,</w:t>
      </w:r>
      <w:r w:rsidRPr="008134C1">
        <w:t xml:space="preserve"> concerns about short selling and activist short selling have also </w:t>
      </w:r>
      <w:r>
        <w:t>seen a resurgence</w:t>
      </w:r>
      <w:r w:rsidRPr="008134C1">
        <w:t xml:space="preserve"> in other jurisdictions.</w:t>
      </w:r>
    </w:p>
  </w:footnote>
  <w:footnote w:id="10">
    <w:p w14:paraId="1CBF1605" w14:textId="77777777" w:rsidR="00994510" w:rsidRPr="00F60B48" w:rsidRDefault="00994510" w:rsidP="00B808AC">
      <w:pPr>
        <w:pStyle w:val="footnote"/>
      </w:pPr>
      <w:r w:rsidRPr="003A1006">
        <w:rPr>
          <w:rStyle w:val="FootnoteReference"/>
        </w:rPr>
        <w:footnoteRef/>
      </w:r>
      <w:r w:rsidRPr="00F60B48">
        <w:t xml:space="preserve"> See e.g.</w:t>
      </w:r>
      <w:r>
        <w:t>,</w:t>
      </w:r>
      <w:r w:rsidRPr="00F60B48">
        <w:t xml:space="preserve"> </w:t>
      </w:r>
      <w:r>
        <w:t xml:space="preserve">Shecter, </w:t>
      </w:r>
      <w:r>
        <w:rPr>
          <w:i/>
        </w:rPr>
        <w:t xml:space="preserve">supra </w:t>
      </w:r>
      <w:r>
        <w:t xml:space="preserve">note 1; </w:t>
      </w:r>
      <w:r w:rsidRPr="00F60B48">
        <w:t>Pasparakis, Soliman &amp; Bricker</w:t>
      </w:r>
      <w:r>
        <w:t xml:space="preserve">, </w:t>
      </w:r>
      <w:r>
        <w:rPr>
          <w:i/>
        </w:rPr>
        <w:t xml:space="preserve">supra </w:t>
      </w:r>
      <w:r>
        <w:t xml:space="preserve">note 1; </w:t>
      </w:r>
      <w:r w:rsidRPr="00F60B48">
        <w:t>Evans</w:t>
      </w:r>
      <w:r>
        <w:t xml:space="preserve"> </w:t>
      </w:r>
      <w:r>
        <w:rPr>
          <w:i/>
        </w:rPr>
        <w:t xml:space="preserve">supra </w:t>
      </w:r>
      <w:r>
        <w:t>note 1</w:t>
      </w:r>
      <w:r w:rsidRPr="00F60B48">
        <w:t xml:space="preserve">. </w:t>
      </w:r>
    </w:p>
  </w:footnote>
  <w:footnote w:id="11">
    <w:p w14:paraId="69BC89DE" w14:textId="77777777" w:rsidR="00994510" w:rsidRPr="00782A7D" w:rsidRDefault="00994510" w:rsidP="00782A7D">
      <w:pPr>
        <w:pStyle w:val="footnote"/>
      </w:pPr>
      <w:r w:rsidRPr="003A1006">
        <w:rPr>
          <w:rStyle w:val="FootnoteReference"/>
        </w:rPr>
        <w:footnoteRef/>
      </w:r>
      <w:r w:rsidRPr="003A1006">
        <w:rPr>
          <w:vertAlign w:val="superscript"/>
        </w:rPr>
        <w:t xml:space="preserve"> </w:t>
      </w:r>
      <w:r w:rsidRPr="00E80A2A">
        <w:t xml:space="preserve">See e.g., Justice Perell’s statement in </w:t>
      </w:r>
      <w:r w:rsidRPr="00E80A2A">
        <w:rPr>
          <w:i/>
        </w:rPr>
        <w:t>Harrington Global Opportunities Fund S.A.R.L. v Investment Industry Regulatory Organization of Canada</w:t>
      </w:r>
      <w:r w:rsidRPr="00E80A2A">
        <w:t xml:space="preserve">, </w:t>
      </w:r>
      <w:hyperlink r:id="rId12" w:history="1">
        <w:r w:rsidRPr="00E80A2A">
          <w:t>2018 ONSC 7739</w:t>
        </w:r>
      </w:hyperlink>
      <w:r w:rsidRPr="00E80A2A">
        <w:t xml:space="preserve"> at para. 11: “There is a perception that the regulation of shorting [</w:t>
      </w:r>
      <w:r w:rsidRPr="00E80A2A">
        <w:rPr>
          <w:i/>
        </w:rPr>
        <w:t>sic</w:t>
      </w:r>
      <w:r w:rsidRPr="00E80A2A">
        <w:t>] selling is permissive and lax in Canada compared to other capital markets.”</w:t>
      </w:r>
      <w:r>
        <w:t xml:space="preserve"> [Harrington]</w:t>
      </w:r>
    </w:p>
  </w:footnote>
  <w:footnote w:id="12">
    <w:p w14:paraId="0101F181" w14:textId="77777777" w:rsidR="00994510" w:rsidRPr="005A47A2" w:rsidRDefault="00994510" w:rsidP="00782A7D">
      <w:pPr>
        <w:pStyle w:val="footnote"/>
      </w:pPr>
      <w:r w:rsidRPr="00782A7D">
        <w:rPr>
          <w:rStyle w:val="FootnoteReference"/>
        </w:rPr>
        <w:footnoteRef/>
      </w:r>
      <w:r w:rsidRPr="00782A7D">
        <w:rPr>
          <w:vertAlign w:val="superscript"/>
        </w:rPr>
        <w:t xml:space="preserve"> </w:t>
      </w:r>
      <w:r w:rsidRPr="005A47A2">
        <w:t xml:space="preserve">Paul Davis et al, </w:t>
      </w:r>
      <w:hyperlink r:id="rId13" w:history="1">
        <w:r w:rsidRPr="005A47A2">
          <w:t>“An Analysis of the Short Selling Landscape in Canada: A New Path Forward is Needed to Improve Market Efficiency and Reduce Systemic Risk”</w:t>
        </w:r>
      </w:hyperlink>
      <w:r w:rsidRPr="005A47A2">
        <w:t xml:space="preserve"> (2019) </w:t>
      </w:r>
      <w:r w:rsidRPr="0051225D">
        <w:rPr>
          <w:i/>
        </w:rPr>
        <w:t>McMillan LLP</w:t>
      </w:r>
      <w:r>
        <w:rPr>
          <w:i/>
        </w:rPr>
        <w:t>.</w:t>
      </w:r>
      <w:r w:rsidRPr="005A47A2">
        <w:t xml:space="preserve"> [Davis</w:t>
      </w:r>
      <w:r>
        <w:t xml:space="preserve"> et al.</w:t>
      </w:r>
      <w:r w:rsidRPr="005A47A2">
        <w:t xml:space="preserve">] </w:t>
      </w:r>
    </w:p>
  </w:footnote>
  <w:footnote w:id="13">
    <w:p w14:paraId="429A8BE6" w14:textId="77777777" w:rsidR="00994510" w:rsidRPr="00782A7D" w:rsidRDefault="00994510" w:rsidP="00782A7D">
      <w:pPr>
        <w:pStyle w:val="footnote"/>
      </w:pPr>
      <w:r w:rsidRPr="00782A7D">
        <w:rPr>
          <w:rStyle w:val="FootnoteReference"/>
        </w:rPr>
        <w:footnoteRef/>
      </w:r>
      <w:r w:rsidRPr="00782A7D">
        <w:t xml:space="preserve"> </w:t>
      </w:r>
      <w:r w:rsidRPr="0012037F">
        <w:t xml:space="preserve">See e.g., Shecter, </w:t>
      </w:r>
      <w:r w:rsidRPr="006110C2">
        <w:rPr>
          <w:i/>
        </w:rPr>
        <w:t>supra</w:t>
      </w:r>
      <w:r w:rsidRPr="0012037F">
        <w:t xml:space="preserve"> note 1.</w:t>
      </w:r>
      <w:r w:rsidRPr="00782A7D">
        <w:t xml:space="preserve"> </w:t>
      </w:r>
    </w:p>
  </w:footnote>
  <w:footnote w:id="14">
    <w:p w14:paraId="3DF5CC93" w14:textId="22F38B6E" w:rsidR="00994510" w:rsidRPr="00782A7D" w:rsidRDefault="00994510" w:rsidP="00782A7D">
      <w:pPr>
        <w:pStyle w:val="footnote"/>
      </w:pPr>
      <w:r w:rsidRPr="00782A7D">
        <w:rPr>
          <w:rStyle w:val="FootnoteReference"/>
        </w:rPr>
        <w:footnoteRef/>
      </w:r>
      <w:r w:rsidRPr="00782A7D">
        <w:t xml:space="preserve"> </w:t>
      </w:r>
      <w:bookmarkStart w:id="0" w:name="_Hlk34640534"/>
      <w:r w:rsidRPr="00782A7D">
        <w:t>See e.g.</w:t>
      </w:r>
      <w:r>
        <w:t>,</w:t>
      </w:r>
      <w:r w:rsidRPr="00782A7D">
        <w:t xml:space="preserve"> Ben Axler </w:t>
      </w:r>
      <w:hyperlink r:id="rId14" w:history="1">
        <w:r w:rsidRPr="00782A7D">
          <w:rPr>
            <w:rStyle w:val="Hyperlink"/>
            <w:color w:val="auto"/>
            <w:u w:val="none"/>
          </w:rPr>
          <w:t>“Counterpoint: Short sellers like us create real value for public markets by telling Canadian investors the truth”</w:t>
        </w:r>
      </w:hyperlink>
      <w:r w:rsidRPr="00782A7D">
        <w:t xml:space="preserve">, </w:t>
      </w:r>
      <w:r w:rsidRPr="00DB1927">
        <w:rPr>
          <w:i/>
        </w:rPr>
        <w:t>Financial Post</w:t>
      </w:r>
      <w:r w:rsidRPr="00782A7D">
        <w:t xml:space="preserve"> (17 December 2019)</w:t>
      </w:r>
      <w:r>
        <w:t xml:space="preserve">. </w:t>
      </w:r>
      <w:bookmarkEnd w:id="0"/>
    </w:p>
  </w:footnote>
  <w:footnote w:id="15">
    <w:p w14:paraId="19B5F66D" w14:textId="77777777" w:rsidR="00994510" w:rsidRPr="00782A7D" w:rsidRDefault="00994510" w:rsidP="00B97E62">
      <w:pPr>
        <w:pStyle w:val="footnote"/>
      </w:pPr>
      <w:r w:rsidRPr="00782A7D">
        <w:rPr>
          <w:rStyle w:val="FootnoteReference"/>
        </w:rPr>
        <w:footnoteRef/>
      </w:r>
      <w:r w:rsidRPr="00782A7D">
        <w:t xml:space="preserve"> See </w:t>
      </w:r>
      <w:r w:rsidRPr="00812FB3">
        <w:t>Safk</w:t>
      </w:r>
      <w:r>
        <w:t>h</w:t>
      </w:r>
      <w:r w:rsidRPr="00812FB3">
        <w:t>et Open Letter</w:t>
      </w:r>
      <w:r>
        <w:t xml:space="preserve">, </w:t>
      </w:r>
      <w:r>
        <w:rPr>
          <w:i/>
        </w:rPr>
        <w:t xml:space="preserve">supra </w:t>
      </w:r>
      <w:r>
        <w:t>note 7,</w:t>
      </w:r>
      <w:r w:rsidRPr="00782A7D">
        <w:t xml:space="preserve"> criticizing the short sale ban on Wirecard: “Short selling, writ large, affords positive externalities on the broader market, and more specifically to the investors which regulators have a duty to protect…the data does not support the existence of any material level of short seller manipulation.”</w:t>
      </w:r>
      <w:r>
        <w:t xml:space="preserve">  </w:t>
      </w:r>
    </w:p>
  </w:footnote>
  <w:footnote w:id="16">
    <w:p w14:paraId="74BB70F6" w14:textId="77777777" w:rsidR="00994510" w:rsidRPr="000A71DE" w:rsidRDefault="00994510" w:rsidP="000C1B8A">
      <w:pPr>
        <w:pStyle w:val="FootnoteText"/>
        <w:spacing w:before="0"/>
      </w:pPr>
      <w:r>
        <w:rPr>
          <w:rStyle w:val="FootnoteReference"/>
        </w:rPr>
        <w:footnoteRef/>
      </w:r>
      <w:r>
        <w:t xml:space="preserve"> </w:t>
      </w:r>
      <w:r w:rsidRPr="00E039FD">
        <w:rPr>
          <w:rStyle w:val="footnoteChar"/>
        </w:rPr>
        <w:t>Universal Market Integrity Rule (UMIR),</w:t>
      </w:r>
      <w:r w:rsidRPr="00013FA2">
        <w:rPr>
          <w:rStyle w:val="footnoteChar"/>
        </w:rPr>
        <w:t xml:space="preserve"> Part 1 - </w:t>
      </w:r>
      <w:r w:rsidRPr="00013FA2">
        <w:rPr>
          <w:rStyle w:val="footnoteChar"/>
          <w:i/>
        </w:rPr>
        <w:t>Definitions and Interpretation</w:t>
      </w:r>
      <w:r w:rsidRPr="00013FA2">
        <w:rPr>
          <w:rStyle w:val="footnoteChar"/>
        </w:rPr>
        <w:t xml:space="preserve">, </w:t>
      </w:r>
      <w:r>
        <w:rPr>
          <w:rStyle w:val="footnoteChar"/>
        </w:rPr>
        <w:t>Rule 1.1.</w:t>
      </w:r>
    </w:p>
  </w:footnote>
  <w:footnote w:id="17">
    <w:p w14:paraId="55E98481" w14:textId="77777777" w:rsidR="00994510" w:rsidRPr="00CD114B" w:rsidRDefault="00994510" w:rsidP="00CD114B">
      <w:pPr>
        <w:pStyle w:val="footnote"/>
      </w:pPr>
      <w:r w:rsidRPr="007169A5">
        <w:rPr>
          <w:rStyle w:val="FootnoteReference"/>
        </w:rPr>
        <w:footnoteRef/>
      </w:r>
      <w:r w:rsidRPr="00CD114B">
        <w:t xml:space="preserve"> Carole Comerton-Forde, Charles M Jones &amp; Talis J Putnins, “Shorting at Close Range: A Tale of Two Types” (March 18, 2015). </w:t>
      </w:r>
      <w:r w:rsidRPr="00835C15">
        <w:rPr>
          <w:i/>
        </w:rPr>
        <w:t>Journal of Financial Economics (JFE)</w:t>
      </w:r>
      <w:r w:rsidRPr="00CD114B">
        <w:t>, Forthcoming; AFA 2012 Chicago Meetings Paper; Columbia Business School Research Paper No. 12/22</w:t>
      </w:r>
      <w:r>
        <w:t>, a</w:t>
      </w:r>
      <w:r w:rsidRPr="00CD114B">
        <w:t xml:space="preserve">vailable at </w:t>
      </w:r>
      <w:hyperlink r:id="rId15" w:history="1">
        <w:r w:rsidRPr="00CD114B">
          <w:rPr>
            <w:rStyle w:val="Hyperlink"/>
            <w:color w:val="auto"/>
            <w:u w:val="none"/>
          </w:rPr>
          <w:t>SSRN</w:t>
        </w:r>
      </w:hyperlink>
      <w:r w:rsidRPr="00CD114B">
        <w:t xml:space="preserve">. </w:t>
      </w:r>
    </w:p>
  </w:footnote>
  <w:footnote w:id="18">
    <w:p w14:paraId="7A8D1B82" w14:textId="77777777" w:rsidR="00994510" w:rsidRPr="00CD114B" w:rsidRDefault="00994510" w:rsidP="00CD114B">
      <w:pPr>
        <w:pStyle w:val="footnote"/>
      </w:pPr>
      <w:r w:rsidRPr="007169A5">
        <w:rPr>
          <w:rStyle w:val="FootnoteReference"/>
        </w:rPr>
        <w:footnoteRef/>
      </w:r>
      <w:r w:rsidRPr="00CD114B">
        <w:t xml:space="preserve"> Ekkehart Boehmer and J Julie Wu, “Short Selling and the Price Discovery Process” (July 16, 2012). </w:t>
      </w:r>
      <w:r w:rsidRPr="00E81AC6">
        <w:rPr>
          <w:i/>
        </w:rPr>
        <w:t>Review of Financial Studies</w:t>
      </w:r>
      <w:r w:rsidRPr="00CD114B">
        <w:t>, Forthcoming</w:t>
      </w:r>
      <w:r>
        <w:t>, a</w:t>
      </w:r>
      <w:r w:rsidRPr="00CD114B">
        <w:t xml:space="preserve">vailable at </w:t>
      </w:r>
      <w:hyperlink r:id="rId16" w:history="1">
        <w:r w:rsidRPr="00CD114B">
          <w:rPr>
            <w:rStyle w:val="Hyperlink"/>
            <w:color w:val="auto"/>
            <w:u w:val="none"/>
          </w:rPr>
          <w:t>SSRN</w:t>
        </w:r>
      </w:hyperlink>
      <w:r w:rsidRPr="00CD114B">
        <w:t xml:space="preserve">. </w:t>
      </w:r>
    </w:p>
  </w:footnote>
  <w:footnote w:id="19">
    <w:p w14:paraId="1265317B" w14:textId="77777777" w:rsidR="00994510" w:rsidRPr="00E2043A" w:rsidRDefault="00994510" w:rsidP="00CD114B">
      <w:pPr>
        <w:pStyle w:val="footnote"/>
        <w:rPr>
          <w:lang w:val="en-US"/>
        </w:rPr>
      </w:pPr>
      <w:r w:rsidRPr="007169A5">
        <w:rPr>
          <w:rStyle w:val="FootnoteReference"/>
        </w:rPr>
        <w:footnoteRef/>
      </w:r>
      <w:r w:rsidRPr="00CD114B">
        <w:t xml:space="preserve"> See: </w:t>
      </w:r>
      <w:r w:rsidRPr="00F450FB">
        <w:rPr>
          <w:iCs/>
        </w:rPr>
        <w:t>Canadian Securities Administrators/Investment Industry Regulatory Organization of Canada</w:t>
      </w:r>
      <w:r>
        <w:rPr>
          <w:iCs/>
        </w:rPr>
        <w:t>,</w:t>
      </w:r>
      <w:r w:rsidRPr="00F450FB">
        <w:rPr>
          <w:iCs/>
        </w:rPr>
        <w:t xml:space="preserve"> </w:t>
      </w:r>
      <w:hyperlink r:id="rId17" w:history="1">
        <w:r w:rsidRPr="0051225D">
          <w:t>CSA/IIROC Joint Notice 23-312</w:t>
        </w:r>
      </w:hyperlink>
      <w:r>
        <w:t xml:space="preserve"> </w:t>
      </w:r>
      <w:r w:rsidRPr="006254D0">
        <w:rPr>
          <w:i/>
          <w:iCs/>
        </w:rPr>
        <w:t>Request for Comment – Transparency of Short Selling and Failed Trades</w:t>
      </w:r>
      <w:r w:rsidRPr="00CD114B">
        <w:t>, (2 March 2012)</w:t>
      </w:r>
      <w:r>
        <w:t>.</w:t>
      </w:r>
      <w:r w:rsidRPr="00CD114B">
        <w:t xml:space="preserve"> [Joint Notice 23-312].</w:t>
      </w:r>
      <w:r w:rsidRPr="00E2043A">
        <w:t xml:space="preserve"> </w:t>
      </w:r>
    </w:p>
  </w:footnote>
  <w:footnote w:id="20">
    <w:p w14:paraId="4F27FAD9" w14:textId="34BF7701" w:rsidR="00994510" w:rsidRPr="0034093E" w:rsidRDefault="00994510" w:rsidP="00FE70FB">
      <w:pPr>
        <w:pStyle w:val="footnote"/>
      </w:pPr>
      <w:r w:rsidRPr="009D6EE9">
        <w:rPr>
          <w:rStyle w:val="FootnoteReference"/>
        </w:rPr>
        <w:footnoteRef/>
      </w:r>
      <w:r w:rsidRPr="009D6EE9">
        <w:rPr>
          <w:vertAlign w:val="superscript"/>
        </w:rPr>
        <w:t xml:space="preserve"> </w:t>
      </w:r>
      <w:r w:rsidRPr="00E73A99">
        <w:t xml:space="preserve">Short sales made without prior arrangements to borrow or reasonable expectation to borrow the security first are considered “naked short sales” and not </w:t>
      </w:r>
      <w:r>
        <w:t>permitted</w:t>
      </w:r>
      <w:r w:rsidRPr="00E73A99">
        <w:t xml:space="preserve"> under </w:t>
      </w:r>
      <w:r>
        <w:t xml:space="preserve">securities legislation and </w:t>
      </w:r>
      <w:r w:rsidRPr="00E73A99">
        <w:t xml:space="preserve">UMIR except for short sales by market makers that provide liquidity in the stock </w:t>
      </w:r>
      <w:r>
        <w:t xml:space="preserve">(See </w:t>
      </w:r>
      <w:r w:rsidRPr="002E598D">
        <w:rPr>
          <w:i/>
          <w:iCs/>
        </w:rPr>
        <w:t xml:space="preserve">Rules Notice – Notice of Approval – </w:t>
      </w:r>
      <w:hyperlink r:id="rId18" w:history="1">
        <w:r w:rsidRPr="00E0786C">
          <w:rPr>
            <w:rStyle w:val="Hyperlink"/>
            <w:i/>
            <w:iCs/>
          </w:rPr>
          <w:t>Provisions Respecting Regulation of Short Sales and Failed Trades</w:t>
        </w:r>
      </w:hyperlink>
      <w:r w:rsidRPr="002E598D">
        <w:t>, IIROC Notice 12-0078 (2 March 2012)</w:t>
      </w:r>
      <w:r>
        <w:t xml:space="preserve"> [IIROC Notice 12-0078]).</w:t>
      </w:r>
      <w:r w:rsidRPr="00E73A99">
        <w:t xml:space="preserve"> Naked short sales can lead to failed trades when the seller is not able to deliver the shares within the two-day</w:t>
      </w:r>
      <w:r>
        <w:t xml:space="preserve"> </w:t>
      </w:r>
      <w:r w:rsidRPr="00E73A99">
        <w:t xml:space="preserve">settlement period. Discussed further in </w:t>
      </w:r>
      <w:r>
        <w:t>section</w:t>
      </w:r>
      <w:r w:rsidRPr="00624C0A">
        <w:t xml:space="preserve"> </w:t>
      </w:r>
      <w:r>
        <w:fldChar w:fldCharType="begin"/>
      </w:r>
      <w:r>
        <w:instrText xml:space="preserve"> REF _Ref35272014 \r \h </w:instrText>
      </w:r>
      <w:r>
        <w:fldChar w:fldCharType="separate"/>
      </w:r>
      <w:r w:rsidR="00BC37D8">
        <w:t>III.B</w:t>
      </w:r>
      <w:r>
        <w:fldChar w:fldCharType="end"/>
      </w:r>
      <w:r w:rsidRPr="00624C0A">
        <w:t>.</w:t>
      </w:r>
    </w:p>
  </w:footnote>
  <w:footnote w:id="21">
    <w:p w14:paraId="4BCF3564" w14:textId="0DE3B7BF" w:rsidR="00994510" w:rsidRPr="0034093E" w:rsidRDefault="00994510" w:rsidP="00FE70FB">
      <w:pPr>
        <w:pStyle w:val="footnote"/>
      </w:pPr>
      <w:r w:rsidRPr="009D6EE9">
        <w:rPr>
          <w:rStyle w:val="FootnoteReference"/>
        </w:rPr>
        <w:footnoteRef/>
      </w:r>
      <w:r w:rsidRPr="009D6EE9">
        <w:rPr>
          <w:vertAlign w:val="superscript"/>
        </w:rPr>
        <w:t xml:space="preserve"> </w:t>
      </w:r>
      <w:r w:rsidRPr="0034093E">
        <w:t>See Owen A</w:t>
      </w:r>
      <w:r>
        <w:t>.</w:t>
      </w:r>
      <w:r w:rsidRPr="0034093E">
        <w:t xml:space="preserve"> Lamont, “Go Down Fighting: Short Sellers vs. Firms” (July 24, 2009). Yale ICF Working Paper No. 04-20</w:t>
      </w:r>
      <w:r>
        <w:t>,</w:t>
      </w:r>
      <w:r w:rsidRPr="0034093E">
        <w:t xml:space="preserve"> </w:t>
      </w:r>
      <w:r>
        <w:t>a</w:t>
      </w:r>
      <w:r w:rsidRPr="0034093E">
        <w:t xml:space="preserve">vailable at </w:t>
      </w:r>
      <w:hyperlink r:id="rId19" w:history="1">
        <w:r w:rsidRPr="0034093E">
          <w:rPr>
            <w:rStyle w:val="Hyperlink"/>
            <w:color w:val="auto"/>
            <w:u w:val="none"/>
          </w:rPr>
          <w:t>SSRN</w:t>
        </w:r>
      </w:hyperlink>
      <w:r>
        <w:t xml:space="preserve"> [Lamont]</w:t>
      </w:r>
      <w:r w:rsidRPr="0034093E">
        <w:t xml:space="preserve">.  </w:t>
      </w:r>
    </w:p>
  </w:footnote>
  <w:footnote w:id="22">
    <w:p w14:paraId="67402002" w14:textId="26420779" w:rsidR="00994510" w:rsidRPr="0034093E" w:rsidRDefault="00994510" w:rsidP="00FE70FB">
      <w:pPr>
        <w:pStyle w:val="footnote"/>
      </w:pPr>
      <w:r w:rsidRPr="009D6EE9">
        <w:rPr>
          <w:rStyle w:val="FootnoteReference"/>
        </w:rPr>
        <w:footnoteRef/>
      </w:r>
      <w:r w:rsidRPr="009D6EE9">
        <w:rPr>
          <w:vertAlign w:val="superscript"/>
        </w:rPr>
        <w:t xml:space="preserve"> </w:t>
      </w:r>
      <w:r w:rsidRPr="0034093E">
        <w:t>F</w:t>
      </w:r>
      <w:r>
        <w:t xml:space="preserve">or example, in the years 2017-2019, </w:t>
      </w:r>
      <w:r w:rsidRPr="0034093E">
        <w:t>between 50% to 57% of listed issuers</w:t>
      </w:r>
      <w:r>
        <w:t xml:space="preserve"> in Canada’s two largest marketplaces (based on number of issuers)</w:t>
      </w:r>
      <w:r w:rsidRPr="0034093E">
        <w:t xml:space="preserve"> had fewer than 2,500 trades per year or an average of less than 10 trades per day.  Also, more than two-third</w:t>
      </w:r>
      <w:r>
        <w:t xml:space="preserve">s </w:t>
      </w:r>
      <w:r w:rsidRPr="0034093E">
        <w:t xml:space="preserve">of listed issuers had an annual traded volume of less than 25 million shares or an average daily traded volume of under 100,000 shares. </w:t>
      </w:r>
      <w:r>
        <w:t>(</w:t>
      </w:r>
      <w:r w:rsidRPr="00E73A99">
        <w:t>Based on aggregated annual trade counts and volume traded of TSX and TSXV issuers obtained from TMX listings data.</w:t>
      </w:r>
      <w:r>
        <w:t>)</w:t>
      </w:r>
      <w:r w:rsidRPr="007C471F">
        <w:rPr>
          <w:b/>
        </w:rPr>
        <w:t xml:space="preserve"> </w:t>
      </w:r>
    </w:p>
  </w:footnote>
  <w:footnote w:id="23">
    <w:p w14:paraId="2218CF09" w14:textId="77777777" w:rsidR="00994510" w:rsidRPr="0034093E" w:rsidRDefault="00994510" w:rsidP="00FE70FB">
      <w:pPr>
        <w:pStyle w:val="footnote"/>
      </w:pPr>
      <w:r w:rsidRPr="009D6EE9">
        <w:rPr>
          <w:rStyle w:val="FootnoteReference"/>
        </w:rPr>
        <w:footnoteRef/>
      </w:r>
      <w:r w:rsidRPr="009D6EE9">
        <w:rPr>
          <w:vertAlign w:val="superscript"/>
        </w:rPr>
        <w:t xml:space="preserve"> </w:t>
      </w:r>
      <w:r w:rsidRPr="0034093E">
        <w:t xml:space="preserve">Short sellers represent only one of many borrowers in the securities lending market. Since securities lending is a scale business, the lenders are typically large buy-side firms (pension funds, insurance firms, mutual fund/ETF providers etc.) that offer for loan their holdings of securities of mostly large and frequently traded issuers.  Additionally, IIROC’s fully-paid securities lending (FPL) program will only include certain </w:t>
      </w:r>
      <w:r>
        <w:t xml:space="preserve">equity </w:t>
      </w:r>
      <w:r w:rsidRPr="0034093E">
        <w:t xml:space="preserve">securities that meet at least one of three minimum requirements: volume-weighted </w:t>
      </w:r>
      <w:r>
        <w:t xml:space="preserve">average </w:t>
      </w:r>
      <w:r w:rsidRPr="0034093E">
        <w:t>price ($2.00), average trading volume (100,000 share) or average</w:t>
      </w:r>
      <w:r>
        <w:t xml:space="preserve"> free float</w:t>
      </w:r>
      <w:r w:rsidRPr="0034093E">
        <w:t xml:space="preserve"> market capitalization ($2 million) over a six-month period.  For more information on securities lending</w:t>
      </w:r>
      <w:r>
        <w:t>,</w:t>
      </w:r>
      <w:r w:rsidRPr="0034093E">
        <w:t xml:space="preserve"> see Bank of Canada, Staff Discussion Paper 2019-5, </w:t>
      </w:r>
      <w:hyperlink r:id="rId20" w:history="1">
        <w:r w:rsidRPr="004F6DDB">
          <w:rPr>
            <w:rStyle w:val="Hyperlink"/>
            <w:i/>
            <w:color w:val="auto"/>
            <w:u w:val="none"/>
          </w:rPr>
          <w:t>Canadian Securities Lending Market Ecology</w:t>
        </w:r>
      </w:hyperlink>
      <w:r w:rsidRPr="0034093E">
        <w:t xml:space="preserve"> (2019). For more information on IIROC’s FPL program see </w:t>
      </w:r>
      <w:hyperlink r:id="rId21" w:history="1">
        <w:r w:rsidRPr="001A11EE">
          <w:rPr>
            <w:rStyle w:val="Hyperlink"/>
            <w:color w:val="auto"/>
            <w:u w:val="none"/>
          </w:rPr>
          <w:t>IIROC Notice 19-0109</w:t>
        </w:r>
        <w:r w:rsidRPr="00874D8A">
          <w:rPr>
            <w:rStyle w:val="Hyperlink"/>
            <w:i/>
            <w:color w:val="auto"/>
            <w:u w:val="none"/>
          </w:rPr>
          <w:t xml:space="preserve"> Fully-paid Securities Lending</w:t>
        </w:r>
      </w:hyperlink>
      <w:r w:rsidRPr="00874D8A">
        <w:rPr>
          <w:i/>
        </w:rPr>
        <w:t xml:space="preserve"> </w:t>
      </w:r>
      <w:r w:rsidRPr="0034093E">
        <w:t xml:space="preserve">(June 17, 2019). </w:t>
      </w:r>
    </w:p>
  </w:footnote>
  <w:footnote w:id="24">
    <w:p w14:paraId="2CCB4BBC" w14:textId="42946F4F" w:rsidR="00994510" w:rsidRPr="0034093E" w:rsidRDefault="00994510" w:rsidP="00FE70FB">
      <w:pPr>
        <w:pStyle w:val="footnote"/>
      </w:pPr>
      <w:r w:rsidRPr="009D6EE9">
        <w:rPr>
          <w:rStyle w:val="FootnoteReference"/>
        </w:rPr>
        <w:footnoteRef/>
      </w:r>
      <w:r w:rsidRPr="0034093E">
        <w:t xml:space="preserve"> </w:t>
      </w:r>
      <w:r w:rsidRPr="00E73A99">
        <w:t xml:space="preserve">For example, as of </w:t>
      </w:r>
      <w:r>
        <w:t>March 11, 2020,</w:t>
      </w:r>
      <w:r w:rsidRPr="00E73A99">
        <w:t xml:space="preserve"> </w:t>
      </w:r>
      <w:r>
        <w:t xml:space="preserve">Canada’s primary options exchange, </w:t>
      </w:r>
      <w:r w:rsidRPr="00E73A99">
        <w:t>the Montreal Exchange</w:t>
      </w:r>
      <w:r>
        <w:t>,</w:t>
      </w:r>
      <w:r w:rsidRPr="00E73A99">
        <w:t xml:space="preserve"> listed </w:t>
      </w:r>
      <w:r>
        <w:t>fewer than 300</w:t>
      </w:r>
      <w:r w:rsidRPr="00E73A99">
        <w:t xml:space="preserve"> companies (</w:t>
      </w:r>
      <w:r>
        <w:t xml:space="preserve">under </w:t>
      </w:r>
      <w:r w:rsidRPr="00E73A99">
        <w:t>1</w:t>
      </w:r>
      <w:r>
        <w:t>0</w:t>
      </w:r>
      <w:r w:rsidRPr="00E73A99">
        <w:t xml:space="preserve">% of all TSX and TSXV issuers) on their equity options list </w:t>
      </w:r>
      <w:r>
        <w:t xml:space="preserve">and </w:t>
      </w:r>
      <w:r w:rsidRPr="00E73A99">
        <w:t xml:space="preserve">only </w:t>
      </w:r>
      <w:r>
        <w:t>223</w:t>
      </w:r>
      <w:r w:rsidRPr="00E73A99">
        <w:t xml:space="preserve"> of those had available options contracts on the market.</w:t>
      </w:r>
    </w:p>
  </w:footnote>
  <w:footnote w:id="25">
    <w:p w14:paraId="0E253F5F" w14:textId="1D399714" w:rsidR="00994510" w:rsidRPr="0034093E" w:rsidRDefault="00994510" w:rsidP="0034093E">
      <w:pPr>
        <w:pStyle w:val="footnote"/>
      </w:pPr>
      <w:r w:rsidRPr="009D6EE9">
        <w:rPr>
          <w:rStyle w:val="FootnoteReference"/>
        </w:rPr>
        <w:footnoteRef/>
      </w:r>
      <w:r w:rsidRPr="009D6EE9">
        <w:rPr>
          <w:vertAlign w:val="superscript"/>
        </w:rPr>
        <w:t xml:space="preserve"> </w:t>
      </w:r>
      <w:r w:rsidRPr="0034093E">
        <w:t>For example, activist short sellers would not be required to obtain registration under securities law requirements unless they otherwise meet a registration requirement, such as fund manager.</w:t>
      </w:r>
      <w:r>
        <w:t xml:space="preserve">  See also</w:t>
      </w:r>
      <w:r w:rsidRPr="003A49C4">
        <w:t xml:space="preserve"> in British Columbia where recent amendments to the </w:t>
      </w:r>
      <w:r w:rsidRPr="003A49C4">
        <w:rPr>
          <w:i/>
        </w:rPr>
        <w:t>Securities Act</w:t>
      </w:r>
      <w:r w:rsidRPr="003A49C4">
        <w:t xml:space="preserve"> introduced rule making authority over those engaged in “promotional activities.” </w:t>
      </w:r>
      <w:r>
        <w:t>“</w:t>
      </w:r>
      <w:r w:rsidRPr="003A49C4">
        <w:t>Promotional activities</w:t>
      </w:r>
      <w:r>
        <w:t>”</w:t>
      </w:r>
      <w:r w:rsidRPr="003A49C4">
        <w:t xml:space="preserve"> is defined to include any activity / communication that encourages a person to buy, not buy, sell or hold a security or derivative. Note there is rulemaking authority to prescribe that certain activities are not promotional activities.  </w:t>
      </w:r>
      <w:r>
        <w:t xml:space="preserve">See </w:t>
      </w:r>
      <w:r w:rsidRPr="00905ABD">
        <w:rPr>
          <w:i/>
        </w:rPr>
        <w:t>Securities Act</w:t>
      </w:r>
      <w:r>
        <w:rPr>
          <w:i/>
        </w:rPr>
        <w:t xml:space="preserve"> </w:t>
      </w:r>
      <w:r>
        <w:t>(British Columbia), RSBC 1996, c 418, s. 1 and 183(12.2)</w:t>
      </w:r>
      <w:r w:rsidRPr="003A49C4">
        <w:t xml:space="preserve">. </w:t>
      </w:r>
    </w:p>
  </w:footnote>
  <w:footnote w:id="26">
    <w:p w14:paraId="45FCCB58" w14:textId="77777777" w:rsidR="00994510" w:rsidRPr="00B879E0" w:rsidRDefault="00994510" w:rsidP="0034093E">
      <w:pPr>
        <w:pStyle w:val="footnote"/>
        <w:rPr>
          <w:lang w:val="en-US"/>
        </w:rPr>
      </w:pPr>
      <w:r w:rsidRPr="009D6EE9">
        <w:rPr>
          <w:rStyle w:val="FootnoteReference"/>
        </w:rPr>
        <w:footnoteRef/>
      </w:r>
      <w:r w:rsidRPr="009D6EE9">
        <w:rPr>
          <w:vertAlign w:val="superscript"/>
        </w:rPr>
        <w:t xml:space="preserve"> </w:t>
      </w:r>
      <w:r w:rsidRPr="00DF3BED">
        <w:t>See</w:t>
      </w:r>
      <w:r>
        <w:t xml:space="preserve"> e.g., </w:t>
      </w:r>
      <w:r w:rsidRPr="00E140DA">
        <w:rPr>
          <w:i/>
        </w:rPr>
        <w:t>Securities Act</w:t>
      </w:r>
      <w:r>
        <w:t xml:space="preserve"> (Ontario), RSO 1990, c S.5, ss 126.1 and 126.2; </w:t>
      </w:r>
      <w:r w:rsidRPr="00DF3BED">
        <w:rPr>
          <w:i/>
        </w:rPr>
        <w:t>Securities Act</w:t>
      </w:r>
      <w:r>
        <w:rPr>
          <w:i/>
        </w:rPr>
        <w:t xml:space="preserve"> </w:t>
      </w:r>
      <w:r>
        <w:t>(</w:t>
      </w:r>
      <w:r w:rsidRPr="004D05F7">
        <w:t>Québec</w:t>
      </w:r>
      <w:r>
        <w:t>), V-1.1, ss</w:t>
      </w:r>
      <w:r w:rsidRPr="00DF3BED">
        <w:t xml:space="preserve"> 199.1</w:t>
      </w:r>
      <w:r>
        <w:t xml:space="preserve"> and 196; </w:t>
      </w:r>
      <w:r w:rsidRPr="00905ABD">
        <w:rPr>
          <w:i/>
        </w:rPr>
        <w:t>Securities Act</w:t>
      </w:r>
      <w:r>
        <w:t xml:space="preserve"> (Alberta), RSA 2000, c S-4, ss 93 and 221.1; </w:t>
      </w:r>
      <w:r w:rsidRPr="00905ABD">
        <w:rPr>
          <w:i/>
        </w:rPr>
        <w:t>Securities Act</w:t>
      </w:r>
      <w:r>
        <w:rPr>
          <w:i/>
        </w:rPr>
        <w:t xml:space="preserve"> </w:t>
      </w:r>
      <w:r>
        <w:t xml:space="preserve">(British Columbia), RSBC 1996, c 418, ss 57 and 168.1; </w:t>
      </w:r>
      <w:r w:rsidRPr="00905ABD">
        <w:rPr>
          <w:i/>
        </w:rPr>
        <w:t>Securities Act</w:t>
      </w:r>
      <w:r>
        <w:rPr>
          <w:i/>
        </w:rPr>
        <w:t xml:space="preserve"> </w:t>
      </w:r>
      <w:r>
        <w:t xml:space="preserve">(Manitoba), CCSM, c S50, ss 76 and 136(1); and </w:t>
      </w:r>
      <w:r>
        <w:rPr>
          <w:i/>
        </w:rPr>
        <w:t xml:space="preserve">The </w:t>
      </w:r>
      <w:r w:rsidRPr="00905ABD">
        <w:rPr>
          <w:i/>
        </w:rPr>
        <w:t>Securities Act</w:t>
      </w:r>
      <w:r>
        <w:rPr>
          <w:i/>
        </w:rPr>
        <w:t xml:space="preserve"> </w:t>
      </w:r>
      <w:r>
        <w:t xml:space="preserve">(Saskatchewan), 1988-98 c S-42.2, ss 55.1, 55.11, 55.13(1). </w:t>
      </w:r>
    </w:p>
  </w:footnote>
  <w:footnote w:id="27">
    <w:p w14:paraId="0E11D2C7" w14:textId="77777777" w:rsidR="00994510" w:rsidRPr="005F39C5" w:rsidRDefault="00994510" w:rsidP="00D17A4B">
      <w:pPr>
        <w:pStyle w:val="footnote"/>
        <w:rPr>
          <w:lang w:val="en-US"/>
        </w:rPr>
      </w:pPr>
      <w:r w:rsidRPr="005F39C5">
        <w:rPr>
          <w:rStyle w:val="FootnoteReference"/>
          <w:rFonts w:cs="Times New Roman"/>
          <w:szCs w:val="18"/>
        </w:rPr>
        <w:footnoteRef/>
      </w:r>
      <w:r w:rsidRPr="005F39C5">
        <w:t xml:space="preserve"> </w:t>
      </w:r>
      <w:r w:rsidRPr="00167A84">
        <w:t xml:space="preserve">Bliss, Molk &amp; Partnoy describes this as “informational negative activism” – behaviour that seeks to uncover and then communicate the truth about companies whose shares the activists believe are overvalued.  It can be focussed on past disclosures by companies which the activist argues contain misrepresentations or omissions or on future expectations about a company’s prospects. </w:t>
      </w:r>
      <w:r w:rsidRPr="006B7F6A">
        <w:t>See: Bliss, Molk &amp; Partnov</w:t>
      </w:r>
      <w:r w:rsidRPr="00226EA8">
        <w:t xml:space="preserve">, </w:t>
      </w:r>
      <w:r w:rsidRPr="00226EA8">
        <w:rPr>
          <w:i/>
          <w:iCs/>
        </w:rPr>
        <w:t>supra</w:t>
      </w:r>
      <w:r w:rsidRPr="00226EA8">
        <w:t xml:space="preserve"> note 8 at 12</w:t>
      </w:r>
      <w:r w:rsidRPr="006B7F6A">
        <w:t>.</w:t>
      </w:r>
    </w:p>
  </w:footnote>
  <w:footnote w:id="28">
    <w:p w14:paraId="5CCFCDAB" w14:textId="77777777" w:rsidR="00994510" w:rsidRPr="0009326F" w:rsidRDefault="00994510" w:rsidP="00D17A4B">
      <w:pPr>
        <w:pStyle w:val="footnote"/>
      </w:pPr>
      <w:r w:rsidRPr="005F39C5">
        <w:rPr>
          <w:rStyle w:val="footnoteChar"/>
          <w:rFonts w:cs="Times New Roman"/>
          <w:szCs w:val="18"/>
          <w:vertAlign w:val="superscript"/>
        </w:rPr>
        <w:footnoteRef/>
      </w:r>
      <w:r w:rsidRPr="005F39C5">
        <w:rPr>
          <w:rStyle w:val="footnoteChar"/>
          <w:rFonts w:cs="Times New Roman"/>
          <w:szCs w:val="18"/>
          <w:vertAlign w:val="superscript"/>
        </w:rPr>
        <w:t xml:space="preserve"> </w:t>
      </w:r>
      <w:r w:rsidRPr="005F39C5">
        <w:rPr>
          <w:rStyle w:val="footnoteChar"/>
          <w:rFonts w:cs="Times New Roman"/>
          <w:szCs w:val="18"/>
        </w:rPr>
        <w:t>Although out-of-scope, we also recognize that within the context of social media, the converse is also true</w:t>
      </w:r>
      <w:r>
        <w:rPr>
          <w:rStyle w:val="footnoteChar"/>
          <w:rFonts w:cs="Times New Roman"/>
          <w:szCs w:val="18"/>
        </w:rPr>
        <w:t xml:space="preserve"> – </w:t>
      </w:r>
      <w:r w:rsidRPr="005F39C5">
        <w:rPr>
          <w:rStyle w:val="footnoteChar"/>
          <w:rFonts w:cs="Times New Roman"/>
          <w:szCs w:val="18"/>
        </w:rPr>
        <w:t>the potential for investors or related parties to spread false or misleading positive information about the issuer in order to profit from a rise in the issuer’s share price</w:t>
      </w:r>
      <w:r>
        <w:rPr>
          <w:rStyle w:val="footnoteChar"/>
          <w:rFonts w:cs="Times New Roman"/>
          <w:szCs w:val="18"/>
        </w:rPr>
        <w:t xml:space="preserve"> (otherwise known as a “pump and dump”).</w:t>
      </w:r>
    </w:p>
  </w:footnote>
  <w:footnote w:id="29">
    <w:p w14:paraId="2B120DDC" w14:textId="77777777" w:rsidR="00994510" w:rsidRPr="009E0429" w:rsidRDefault="00994510" w:rsidP="009E0429">
      <w:pPr>
        <w:pStyle w:val="footnote"/>
      </w:pPr>
      <w:r>
        <w:rPr>
          <w:rStyle w:val="FootnoteReference"/>
        </w:rPr>
        <w:footnoteRef/>
      </w:r>
      <w:r>
        <w:t xml:space="preserve"> </w:t>
      </w:r>
      <w:r w:rsidRPr="009E0429">
        <w:t xml:space="preserve">See CSA Staff Notice 51-348 </w:t>
      </w:r>
      <w:hyperlink r:id="rId22" w:history="1">
        <w:r w:rsidRPr="009E0429">
          <w:rPr>
            <w:rStyle w:val="Hyperlink"/>
            <w:i/>
            <w:color w:val="auto"/>
            <w:u w:val="none"/>
          </w:rPr>
          <w:t>Staff’s Review of Social Media Used by Reporting Issuers</w:t>
        </w:r>
      </w:hyperlink>
      <w:r w:rsidRPr="009E0429">
        <w:t xml:space="preserve"> and CSA Staff Notice 51-356 </w:t>
      </w:r>
      <w:hyperlink r:id="rId23" w:history="1">
        <w:r w:rsidRPr="009E0429">
          <w:rPr>
            <w:rStyle w:val="Hyperlink"/>
            <w:i/>
            <w:color w:val="auto"/>
            <w:u w:val="none"/>
          </w:rPr>
          <w:t>Problematic Promotional Activities by Issuers</w:t>
        </w:r>
      </w:hyperlink>
      <w:r w:rsidRPr="009E0429">
        <w:t xml:space="preserve">. </w:t>
      </w:r>
    </w:p>
  </w:footnote>
  <w:footnote w:id="30">
    <w:p w14:paraId="6EAA8A9C" w14:textId="77777777" w:rsidR="00994510" w:rsidRPr="009E0429" w:rsidRDefault="00994510" w:rsidP="009E0429">
      <w:pPr>
        <w:pStyle w:val="footnote"/>
      </w:pPr>
      <w:r w:rsidRPr="009E0429">
        <w:rPr>
          <w:rStyle w:val="FootnoteReference"/>
        </w:rPr>
        <w:footnoteRef/>
      </w:r>
      <w:r w:rsidRPr="009E0429">
        <w:rPr>
          <w:vertAlign w:val="superscript"/>
        </w:rPr>
        <w:t xml:space="preserve"> </w:t>
      </w:r>
      <w:r w:rsidRPr="009E0429">
        <w:t>Social media’</w:t>
      </w:r>
      <w:r>
        <w:t>s</w:t>
      </w:r>
      <w:r w:rsidRPr="009E0429">
        <w:t xml:space="preserve"> implications on financial markets extends beyond activist short selling and is therefore outside the scope of this consultation paper.  For more information </w:t>
      </w:r>
      <w:r>
        <w:t>s</w:t>
      </w:r>
      <w:r w:rsidRPr="009E0429">
        <w:t xml:space="preserve">ee Lin, Tom C. W., The New Market Manipulation (July 3, 2017). </w:t>
      </w:r>
      <w:r w:rsidRPr="00BF399F">
        <w:rPr>
          <w:i/>
        </w:rPr>
        <w:t>Emory Law Journal</w:t>
      </w:r>
      <w:r w:rsidRPr="009E0429">
        <w:t>, Vol. 66, p. 1253, 2017; Temple University Legal Studies Research Paper No. 2017-20</w:t>
      </w:r>
      <w:r>
        <w:t>, a</w:t>
      </w:r>
      <w:r w:rsidRPr="009E0429">
        <w:t xml:space="preserve">vailable at </w:t>
      </w:r>
      <w:hyperlink r:id="rId24" w:history="1">
        <w:r w:rsidRPr="009E0429">
          <w:rPr>
            <w:rStyle w:val="Hyperlink"/>
            <w:color w:val="auto"/>
            <w:u w:val="none"/>
          </w:rPr>
          <w:t>SSRN</w:t>
        </w:r>
      </w:hyperlink>
      <w:r>
        <w:rPr>
          <w:rStyle w:val="Hyperlink"/>
          <w:color w:val="auto"/>
          <w:u w:val="none"/>
        </w:rPr>
        <w:t>.</w:t>
      </w:r>
    </w:p>
  </w:footnote>
  <w:footnote w:id="31">
    <w:p w14:paraId="1F946CC6" w14:textId="77777777" w:rsidR="00994510" w:rsidRPr="009E0429" w:rsidRDefault="00994510" w:rsidP="009E0429">
      <w:pPr>
        <w:pStyle w:val="footnote"/>
      </w:pPr>
      <w:r w:rsidRPr="006E4984">
        <w:rPr>
          <w:rStyle w:val="FootnoteReference"/>
        </w:rPr>
        <w:footnoteRef/>
      </w:r>
      <w:r w:rsidRPr="006E4984">
        <w:rPr>
          <w:vertAlign w:val="superscript"/>
        </w:rPr>
        <w:t xml:space="preserve"> </w:t>
      </w:r>
      <w:r w:rsidRPr="009E0429">
        <w:t xml:space="preserve">See: Ljungqvist &amp; Qian, </w:t>
      </w:r>
      <w:r w:rsidRPr="006110C2">
        <w:rPr>
          <w:i/>
        </w:rPr>
        <w:t xml:space="preserve">supra </w:t>
      </w:r>
      <w:r w:rsidRPr="009E0429">
        <w:t xml:space="preserve">note </w:t>
      </w:r>
      <w:r>
        <w:t>3</w:t>
      </w:r>
      <w:r w:rsidRPr="009E0429">
        <w:t>. In that paper, the authors conclude that the main barrier to launching public short campaigns is the cost to produce credible and new information that will convince long investors to sell, rather than a lack of capital or other short-sale constraints (such as cost of borrowing).</w:t>
      </w:r>
    </w:p>
  </w:footnote>
  <w:footnote w:id="32">
    <w:p w14:paraId="1C1DA333" w14:textId="77777777" w:rsidR="00994510" w:rsidRPr="009E0429" w:rsidRDefault="00994510" w:rsidP="0011632E">
      <w:pPr>
        <w:pStyle w:val="footnote"/>
      </w:pPr>
      <w:r w:rsidRPr="0023149C">
        <w:rPr>
          <w:rStyle w:val="FootnoteReference"/>
        </w:rPr>
        <w:footnoteRef/>
      </w:r>
      <w:r w:rsidRPr="0023149C">
        <w:rPr>
          <w:vertAlign w:val="superscript"/>
        </w:rPr>
        <w:t xml:space="preserve"> </w:t>
      </w:r>
      <w:r w:rsidRPr="009E0429">
        <w:t xml:space="preserve">Academic studies have noted that a key component for the activist short seller’s strategy is dependent on its own track record to convince current long shareholders to sell. See: </w:t>
      </w:r>
      <w:r w:rsidRPr="0023149C">
        <w:rPr>
          <w:i/>
        </w:rPr>
        <w:t>Ibid</w:t>
      </w:r>
      <w:r>
        <w:t>.  Statistics b</w:t>
      </w:r>
      <w:r w:rsidRPr="00CA61C2">
        <w:t>ased</w:t>
      </w:r>
      <w:r>
        <w:t xml:space="preserve"> on AI data of short campaigns targeting issuers with Canadian headquarters as of December 31, 2019.</w:t>
      </w:r>
    </w:p>
  </w:footnote>
  <w:footnote w:id="33">
    <w:p w14:paraId="380AA901" w14:textId="77777777" w:rsidR="00994510" w:rsidRPr="009E0429" w:rsidRDefault="00994510" w:rsidP="009E0429">
      <w:pPr>
        <w:pStyle w:val="footnote"/>
      </w:pPr>
      <w:r w:rsidRPr="0023149C">
        <w:rPr>
          <w:rStyle w:val="FootnoteReference"/>
        </w:rPr>
        <w:footnoteRef/>
      </w:r>
      <w:r w:rsidRPr="009E0429">
        <w:t xml:space="preserve"> SA is a crowdsourced research platform</w:t>
      </w:r>
      <w:r>
        <w:t xml:space="preserve"> and claims to be “the world’s largest investing community”</w:t>
      </w:r>
      <w:r w:rsidRPr="009E0429">
        <w:t xml:space="preserve"> with approximately 1</w:t>
      </w:r>
      <w:r>
        <w:t>7</w:t>
      </w:r>
      <w:r w:rsidRPr="009E0429">
        <w:t xml:space="preserve"> million users </w:t>
      </w:r>
      <w:r>
        <w:t>per month;</w:t>
      </w:r>
      <w:r w:rsidRPr="009E0429">
        <w:t xml:space="preserve"> </w:t>
      </w:r>
      <w:r>
        <w:t xml:space="preserve">over </w:t>
      </w:r>
      <w:r w:rsidRPr="009E0429">
        <w:t>16,000 contributors</w:t>
      </w:r>
      <w:r>
        <w:t>;</w:t>
      </w:r>
      <w:r w:rsidRPr="009E0429">
        <w:t xml:space="preserve"> and a dedicated section to short</w:t>
      </w:r>
      <w:r>
        <w:t xml:space="preserve"> </w:t>
      </w:r>
      <w:r w:rsidRPr="009E0429">
        <w:t>selling</w:t>
      </w:r>
      <w:r>
        <w:t xml:space="preserve"> for called “Short Ideas” for paid subscribers</w:t>
      </w:r>
      <w:r w:rsidRPr="009E0429">
        <w:t xml:space="preserve">. The platform requires </w:t>
      </w:r>
      <w:r>
        <w:t xml:space="preserve">all </w:t>
      </w:r>
      <w:r w:rsidRPr="009E0429">
        <w:t>contributors to disclose positions in stocks they write about and to obtain editor approval before posting information.</w:t>
      </w:r>
      <w:r>
        <w:t xml:space="preserve"> SA states that pseudonym contributors are held to the same compliance and biographical standards and their real name and contact information are kept confidential. Additionally, contributors involved in a settlement or SEC action must reveal their real names. For more information see, </w:t>
      </w:r>
      <w:hyperlink r:id="rId25" w:history="1">
        <w:r w:rsidRPr="00913443">
          <w:rPr>
            <w:rStyle w:val="Hyperlink"/>
          </w:rPr>
          <w:t>About Seeking Alpha</w:t>
        </w:r>
      </w:hyperlink>
      <w:r>
        <w:t xml:space="preserve">. </w:t>
      </w:r>
    </w:p>
  </w:footnote>
  <w:footnote w:id="34">
    <w:p w14:paraId="0C025E2A" w14:textId="77777777" w:rsidR="00994510" w:rsidRPr="009E0429" w:rsidRDefault="00994510" w:rsidP="009E0429">
      <w:pPr>
        <w:pStyle w:val="footnote"/>
      </w:pPr>
      <w:r w:rsidRPr="00BF5F4F">
        <w:rPr>
          <w:rStyle w:val="FootnoteReference"/>
        </w:rPr>
        <w:footnoteRef/>
      </w:r>
      <w:r w:rsidRPr="009E0429">
        <w:t xml:space="preserve"> This may be a relevant factor to understanding the potential impact of activist short sellers on Canadian markets as a recent U.S. academic study found evidence that potential short and distort strategies are more likely to be associated with pseudonymous authors than with identifiable individuals. Activist short sellers identified in the study were authors who published a negative article about an issuer and declared that they held a short position on SA. See: Joshua Mitts, “Short and Distort” (February 13, 2020) </w:t>
      </w:r>
      <w:r w:rsidRPr="00BF399F">
        <w:rPr>
          <w:i/>
        </w:rPr>
        <w:t>Columbia Law and Economics Working Paper No. 592</w:t>
      </w:r>
      <w:r>
        <w:t>, a</w:t>
      </w:r>
      <w:r w:rsidRPr="009E0429">
        <w:t xml:space="preserve">vailable at </w:t>
      </w:r>
      <w:hyperlink r:id="rId26" w:history="1">
        <w:r w:rsidRPr="009E0429">
          <w:rPr>
            <w:rStyle w:val="Hyperlink"/>
            <w:color w:val="auto"/>
            <w:u w:val="none"/>
          </w:rPr>
          <w:t>SSRN</w:t>
        </w:r>
      </w:hyperlink>
      <w:r w:rsidRPr="009E0429">
        <w:t>.</w:t>
      </w:r>
    </w:p>
  </w:footnote>
  <w:footnote w:id="35">
    <w:p w14:paraId="51E319B8" w14:textId="77777777" w:rsidR="00994510" w:rsidRPr="003B042E" w:rsidRDefault="00994510" w:rsidP="00852F19">
      <w:pPr>
        <w:pStyle w:val="footnote"/>
      </w:pPr>
      <w:r w:rsidRPr="008C1064">
        <w:rPr>
          <w:rStyle w:val="FootnoteReference"/>
        </w:rPr>
        <w:footnoteRef/>
      </w:r>
      <w:r>
        <w:t xml:space="preserve"> This analysis was based on listed issuers with a head office in </w:t>
      </w:r>
      <w:r w:rsidRPr="003B042E">
        <w:t>Canad</w:t>
      </w:r>
      <w:r>
        <w:t>a</w:t>
      </w:r>
      <w:r w:rsidRPr="003B042E">
        <w:t xml:space="preserve">.  </w:t>
      </w:r>
      <w:r>
        <w:t>Canadian listed issuers without a Canadian head office are not captured.</w:t>
      </w:r>
      <w:r w:rsidRPr="002141F4">
        <w:t xml:space="preserve"> In 2019, there was only one </w:t>
      </w:r>
      <w:r>
        <w:t>C</w:t>
      </w:r>
      <w:r w:rsidRPr="002141F4">
        <w:t>ampaign that targeted a Canadian listed issuer without a Canadian head office</w:t>
      </w:r>
      <w:r>
        <w:t>.</w:t>
      </w:r>
    </w:p>
  </w:footnote>
  <w:footnote w:id="36">
    <w:p w14:paraId="105E84FC" w14:textId="77777777" w:rsidR="00994510" w:rsidRPr="003B042E" w:rsidRDefault="00994510" w:rsidP="00852F19">
      <w:pPr>
        <w:pStyle w:val="footnote"/>
      </w:pPr>
      <w:r w:rsidRPr="008C1064">
        <w:rPr>
          <w:rStyle w:val="FootnoteReference"/>
        </w:rPr>
        <w:footnoteRef/>
      </w:r>
      <w:r w:rsidRPr="008C1064">
        <w:rPr>
          <w:vertAlign w:val="superscript"/>
        </w:rPr>
        <w:t xml:space="preserve"> </w:t>
      </w:r>
      <w:r w:rsidRPr="003B042E">
        <w:t>A</w:t>
      </w:r>
      <w:r>
        <w:t>I</w:t>
      </w:r>
      <w:r w:rsidRPr="003B042E">
        <w:t xml:space="preserve"> considers prominent activist short sellers </w:t>
      </w:r>
      <w:r>
        <w:t>to be</w:t>
      </w:r>
      <w:r w:rsidRPr="003B042E">
        <w:t xml:space="preserve"> those with a history of disclosing strong thesis or reports, disclos</w:t>
      </w:r>
      <w:r>
        <w:t>ing</w:t>
      </w:r>
      <w:r w:rsidRPr="003B042E">
        <w:t xml:space="preserve"> a position in the target company and </w:t>
      </w:r>
      <w:r>
        <w:t>having a</w:t>
      </w:r>
      <w:r w:rsidRPr="003B042E">
        <w:t xml:space="preserve"> considerable impact on the target’s stock price.  </w:t>
      </w:r>
    </w:p>
  </w:footnote>
  <w:footnote w:id="37">
    <w:p w14:paraId="4704E4DC" w14:textId="77777777" w:rsidR="00994510" w:rsidRPr="00AC6863" w:rsidRDefault="00994510" w:rsidP="00A46035">
      <w:pPr>
        <w:pStyle w:val="footnote"/>
        <w:rPr>
          <w:lang w:val="en-US"/>
        </w:rPr>
      </w:pPr>
      <w:r>
        <w:rPr>
          <w:rStyle w:val="FootnoteReference"/>
        </w:rPr>
        <w:footnoteRef/>
      </w:r>
      <w:r>
        <w:t xml:space="preserve"> In 2020, t</w:t>
      </w:r>
      <w:r>
        <w:rPr>
          <w:lang w:val="en-US"/>
        </w:rPr>
        <w:t>here have been twelve Campaigns identified as of September 30, 2020.</w:t>
      </w:r>
    </w:p>
  </w:footnote>
  <w:footnote w:id="38">
    <w:p w14:paraId="1671C578" w14:textId="2DC077BE" w:rsidR="00994510" w:rsidRPr="00227307" w:rsidRDefault="00994510" w:rsidP="00366618">
      <w:pPr>
        <w:pStyle w:val="footnote"/>
      </w:pPr>
      <w:r w:rsidRPr="008C1064">
        <w:rPr>
          <w:rStyle w:val="FootnoteReference"/>
        </w:rPr>
        <w:footnoteRef/>
      </w:r>
      <w:r w:rsidRPr="008C1064">
        <w:rPr>
          <w:vertAlign w:val="superscript"/>
        </w:rPr>
        <w:t xml:space="preserve"> </w:t>
      </w:r>
      <w:r w:rsidRPr="003B042E">
        <w:t xml:space="preserve">Based on AI data from January </w:t>
      </w:r>
      <w:r>
        <w:t xml:space="preserve">1, </w:t>
      </w:r>
      <w:r w:rsidRPr="003B042E">
        <w:t xml:space="preserve">2010 to </w:t>
      </w:r>
      <w:r>
        <w:t>September 30,</w:t>
      </w:r>
      <w:r w:rsidRPr="003B042E">
        <w:t xml:space="preserve"> 20</w:t>
      </w:r>
      <w:r>
        <w:t>20</w:t>
      </w:r>
      <w:r w:rsidRPr="003B042E">
        <w:t>. Canadian issuers are identified based on the location of their headquarters. Some issuers are targeted by multiple activist short sellers.</w:t>
      </w:r>
      <w:r>
        <w:t xml:space="preserve">  AI identifies whether a </w:t>
      </w:r>
      <w:r w:rsidRPr="007741A6">
        <w:t>campaign status is ended (as opposed to current)</w:t>
      </w:r>
      <w:r>
        <w:t xml:space="preserve"> when</w:t>
      </w:r>
      <w:r w:rsidRPr="007741A6">
        <w:t xml:space="preserve"> </w:t>
      </w:r>
      <w:r>
        <w:t>“</w:t>
      </w:r>
      <w:r w:rsidRPr="007741A6">
        <w:t>the short seller either no longer supports its position according to publicly available information or there has been one year of inactivity from the short seller. As announcements regarding this are rare most campaigns are ended due to inactivity</w:t>
      </w:r>
      <w:r>
        <w:t>”</w:t>
      </w:r>
      <w:r w:rsidRPr="007741A6">
        <w:t>.</w:t>
      </w:r>
    </w:p>
  </w:footnote>
  <w:footnote w:id="39">
    <w:p w14:paraId="25B144F1" w14:textId="29473EEF" w:rsidR="00994510" w:rsidRPr="003F3656" w:rsidRDefault="00994510" w:rsidP="00366618">
      <w:pPr>
        <w:pStyle w:val="footnote"/>
        <w:rPr>
          <w:lang w:val="en-US"/>
        </w:rPr>
      </w:pPr>
      <w:r>
        <w:rPr>
          <w:rStyle w:val="FootnoteReference"/>
        </w:rPr>
        <w:footnoteRef/>
      </w:r>
      <w:r>
        <w:t xml:space="preserve"> OSC calculations b</w:t>
      </w:r>
      <w:r w:rsidRPr="00366618">
        <w:t>ased on AI data of annual campaign targets</w:t>
      </w:r>
      <w:r>
        <w:t xml:space="preserve"> from 2010 to September 2020</w:t>
      </w:r>
      <w:r w:rsidRPr="00366618">
        <w:t xml:space="preserve"> and </w:t>
      </w:r>
      <w:r>
        <w:t xml:space="preserve">end-of year </w:t>
      </w:r>
      <w:r w:rsidRPr="00366618">
        <w:t>listed issuer counts from the World Federation of Exchanges from 201</w:t>
      </w:r>
      <w:r>
        <w:t>0</w:t>
      </w:r>
      <w:r w:rsidRPr="00366618">
        <w:t xml:space="preserve"> to</w:t>
      </w:r>
      <w:r>
        <w:t xml:space="preserve"> June 2020</w:t>
      </w:r>
      <w:r w:rsidRPr="00366618">
        <w:t xml:space="preserve">.  Includes all </w:t>
      </w:r>
      <w:r>
        <w:t xml:space="preserve">domestic </w:t>
      </w:r>
      <w:r w:rsidRPr="00366618">
        <w:t>NASDAQ and NYSE issuers for the U</w:t>
      </w:r>
      <w:r>
        <w:t>.</w:t>
      </w:r>
      <w:r w:rsidRPr="00366618">
        <w:t>S</w:t>
      </w:r>
      <w:r>
        <w:t>.</w:t>
      </w:r>
      <w:r w:rsidRPr="00366618">
        <w:t xml:space="preserve"> Market and all </w:t>
      </w:r>
      <w:r>
        <w:t xml:space="preserve">domestic </w:t>
      </w:r>
      <w:r w:rsidRPr="00366618">
        <w:t xml:space="preserve">TSX and TSXV issuers for the Canadian market, excluding investment funds.   </w:t>
      </w:r>
    </w:p>
  </w:footnote>
  <w:footnote w:id="40">
    <w:p w14:paraId="1CAE9BCF" w14:textId="77777777" w:rsidR="00994510" w:rsidRPr="00CD3C5F" w:rsidRDefault="00994510" w:rsidP="00852F19">
      <w:pPr>
        <w:pStyle w:val="footnote"/>
        <w:rPr>
          <w:lang w:val="en-US"/>
        </w:rPr>
      </w:pPr>
      <w:r w:rsidRPr="008C1064">
        <w:rPr>
          <w:rStyle w:val="FootnoteReference"/>
        </w:rPr>
        <w:footnoteRef/>
      </w:r>
      <w:r w:rsidRPr="003B042E">
        <w:t xml:space="preserve"> </w:t>
      </w:r>
      <w:r>
        <w:rPr>
          <w:rStyle w:val="footnoteChar"/>
        </w:rPr>
        <w:t xml:space="preserve">See </w:t>
      </w:r>
      <w:r>
        <w:rPr>
          <w:rStyle w:val="footnoteChar"/>
          <w:i/>
        </w:rPr>
        <w:t>Ibid</w:t>
      </w:r>
      <w:r w:rsidRPr="003B042E">
        <w:t xml:space="preserve">.   </w:t>
      </w:r>
    </w:p>
  </w:footnote>
  <w:footnote w:id="41">
    <w:p w14:paraId="719C07E6" w14:textId="77777777" w:rsidR="00994510" w:rsidRPr="00EF0C23" w:rsidRDefault="00994510" w:rsidP="00EF0C23">
      <w:pPr>
        <w:pStyle w:val="footnote"/>
      </w:pPr>
      <w:r w:rsidRPr="00065001">
        <w:rPr>
          <w:rStyle w:val="FootnoteReference"/>
        </w:rPr>
        <w:footnoteRef/>
      </w:r>
      <w:r w:rsidRPr="00065001">
        <w:rPr>
          <w:vertAlign w:val="superscript"/>
        </w:rPr>
        <w:t xml:space="preserve"> </w:t>
      </w:r>
      <w:r w:rsidRPr="00EF0C23">
        <w:t>Ekkehart Boehmer, Charles M Jones &amp; Xiaoyan Zhang, “Which Shorts are Informed?” (February 4, 2007). AFA 2007 Chicago Meetings Paper</w:t>
      </w:r>
      <w:r>
        <w:t>, a</w:t>
      </w:r>
      <w:r w:rsidRPr="00EF0C23">
        <w:t xml:space="preserve">vailable at </w:t>
      </w:r>
      <w:hyperlink r:id="rId27" w:history="1">
        <w:r w:rsidRPr="00EF0C23">
          <w:rPr>
            <w:rStyle w:val="Hyperlink"/>
            <w:color w:val="auto"/>
            <w:u w:val="none"/>
          </w:rPr>
          <w:t>SSRN</w:t>
        </w:r>
      </w:hyperlink>
      <w:r w:rsidRPr="00EF0C23">
        <w:t xml:space="preserve">. </w:t>
      </w:r>
    </w:p>
  </w:footnote>
  <w:footnote w:id="42">
    <w:p w14:paraId="09E7E923" w14:textId="77777777" w:rsidR="00994510" w:rsidRPr="00EF0C23" w:rsidRDefault="00994510" w:rsidP="00EF0C23">
      <w:pPr>
        <w:pStyle w:val="footnote"/>
      </w:pPr>
      <w:r w:rsidRPr="00EF0C23">
        <w:rPr>
          <w:rStyle w:val="FootnoteReference"/>
        </w:rPr>
        <w:footnoteRef/>
      </w:r>
      <w:r w:rsidRPr="00EF0C23">
        <w:rPr>
          <w:vertAlign w:val="superscript"/>
        </w:rPr>
        <w:t xml:space="preserve"> </w:t>
      </w:r>
      <w:r w:rsidRPr="00EF0C23">
        <w:t xml:space="preserve">Cannabis issuers were categorized under the healthcare sector. The 2019 AI report on Activist Investing in Canada reported that the precedent set in 2018 was “largely due to exuberance in the emerging cannabis sector, which invited detractors.”  </w:t>
      </w:r>
      <w:r>
        <w:t>I</w:t>
      </w:r>
      <w:r w:rsidRPr="00EF0C23">
        <w:t>n 2016</w:t>
      </w:r>
      <w:r>
        <w:t>,</w:t>
      </w:r>
      <w:r w:rsidRPr="00EF0C23">
        <w:t xml:space="preserve"> increased activist short seller activity was concentrated among materials and mining issuers.</w:t>
      </w:r>
    </w:p>
  </w:footnote>
  <w:footnote w:id="43">
    <w:p w14:paraId="20E78A74" w14:textId="4A39A8AF" w:rsidR="00994510" w:rsidRPr="00A15039" w:rsidRDefault="00994510" w:rsidP="2E96ABE4">
      <w:pPr>
        <w:pStyle w:val="footnote"/>
        <w:rPr>
          <w:lang w:val="en-US"/>
        </w:rPr>
      </w:pPr>
      <w:r>
        <w:rPr>
          <w:rStyle w:val="FootnoteReference"/>
        </w:rPr>
        <w:footnoteRef/>
      </w:r>
      <w:r>
        <w:t xml:space="preserve"> </w:t>
      </w:r>
      <w:r>
        <w:rPr>
          <w:lang w:val="en-US"/>
        </w:rPr>
        <w:t xml:space="preserve">The number of Campaigns and targets are not equivalent for any given year because there may be multiple Campaigns against the same target. </w:t>
      </w:r>
    </w:p>
  </w:footnote>
  <w:footnote w:id="44">
    <w:p w14:paraId="6DB75A75" w14:textId="1493BFB3" w:rsidR="00994510" w:rsidRPr="007A035E" w:rsidRDefault="00994510" w:rsidP="007A035E">
      <w:pPr>
        <w:pStyle w:val="footnote"/>
      </w:pPr>
      <w:r w:rsidRPr="007A035E">
        <w:rPr>
          <w:rStyle w:val="FootnoteReference"/>
        </w:rPr>
        <w:footnoteRef/>
      </w:r>
      <w:r w:rsidRPr="007A035E">
        <w:t xml:space="preserve"> </w:t>
      </w:r>
      <w:r>
        <w:t>M</w:t>
      </w:r>
      <w:r w:rsidRPr="007A035E">
        <w:t xml:space="preserve">arket capitalization </w:t>
      </w:r>
      <w:r>
        <w:t>calculated 1-day prior to the announcement of the first activist short seller campaign</w:t>
      </w:r>
      <w:r w:rsidRPr="007A035E">
        <w:t xml:space="preserve"> for </w:t>
      </w:r>
      <w:r>
        <w:t xml:space="preserve">69 Canadian targets from 2010 to September 30, 2020 for </w:t>
      </w:r>
      <w:r w:rsidRPr="007A035E">
        <w:t xml:space="preserve">which </w:t>
      </w:r>
      <w:r>
        <w:t>historical</w:t>
      </w:r>
      <w:r w:rsidRPr="007A035E">
        <w:t xml:space="preserve"> market data</w:t>
      </w:r>
      <w:r>
        <w:t xml:space="preserve"> </w:t>
      </w:r>
      <w:r w:rsidRPr="007A035E">
        <w:t xml:space="preserve">was available.  </w:t>
      </w:r>
    </w:p>
  </w:footnote>
  <w:footnote w:id="45">
    <w:p w14:paraId="2E161DEF" w14:textId="7D957711" w:rsidR="00994510" w:rsidRPr="007A035E" w:rsidRDefault="00994510" w:rsidP="007A035E">
      <w:pPr>
        <w:pStyle w:val="footnote"/>
      </w:pPr>
      <w:r w:rsidRPr="007A035E">
        <w:rPr>
          <w:rStyle w:val="FootnoteReference"/>
        </w:rPr>
        <w:footnoteRef/>
      </w:r>
      <w:r w:rsidRPr="007A035E">
        <w:t xml:space="preserve"> In contrast, the year</w:t>
      </w:r>
      <w:r>
        <w:t>-</w:t>
      </w:r>
      <w:r w:rsidRPr="007A035E">
        <w:t xml:space="preserve">end </w:t>
      </w:r>
      <w:r>
        <w:t xml:space="preserve">median </w:t>
      </w:r>
      <w:r w:rsidRPr="007A035E">
        <w:t>market capitalization of all TSX issuers from 201</w:t>
      </w:r>
      <w:r>
        <w:t xml:space="preserve">4 to </w:t>
      </w:r>
      <w:r w:rsidRPr="007A035E">
        <w:t>2019 was between $1</w:t>
      </w:r>
      <w:r>
        <w:t>1</w:t>
      </w:r>
      <w:r w:rsidRPr="007A035E">
        <w:t>2 million and $15</w:t>
      </w:r>
      <w:r>
        <w:t>3</w:t>
      </w:r>
      <w:r w:rsidRPr="007A035E">
        <w:t xml:space="preserve"> million.  As of </w:t>
      </w:r>
      <w:r>
        <w:t>September 30, 2020</w:t>
      </w:r>
      <w:r w:rsidRPr="007A035E">
        <w:t>, approximately 6</w:t>
      </w:r>
      <w:r>
        <w:t>4</w:t>
      </w:r>
      <w:r w:rsidRPr="007A035E">
        <w:t>% of TSX issuers had a market capitalization of $300 million</w:t>
      </w:r>
      <w:r>
        <w:t xml:space="preserve"> or less</w:t>
      </w:r>
      <w:r w:rsidRPr="007A035E">
        <w:t xml:space="preserve"> and 9</w:t>
      </w:r>
      <w:r>
        <w:t>2</w:t>
      </w:r>
      <w:r w:rsidRPr="007A035E">
        <w:t>% of TSXV issuers had a market capitalization of $100 million</w:t>
      </w:r>
      <w:r>
        <w:t xml:space="preserve"> or less</w:t>
      </w:r>
      <w:r w:rsidRPr="007A035E">
        <w:t>.</w:t>
      </w:r>
      <w:r>
        <w:t xml:space="preserve"> </w:t>
      </w:r>
    </w:p>
  </w:footnote>
  <w:footnote w:id="46">
    <w:p w14:paraId="2187352A" w14:textId="77777777" w:rsidR="00994510" w:rsidRPr="007A035E" w:rsidRDefault="00994510" w:rsidP="007A035E">
      <w:pPr>
        <w:pStyle w:val="footnote"/>
      </w:pPr>
      <w:r w:rsidRPr="007A035E">
        <w:rPr>
          <w:rStyle w:val="FootnoteReference"/>
        </w:rPr>
        <w:footnoteRef/>
      </w:r>
      <w:r w:rsidRPr="007A035E">
        <w:t xml:space="preserve"> See: Ljungqvist &amp; Qian, </w:t>
      </w:r>
      <w:r w:rsidRPr="0020714A">
        <w:rPr>
          <w:i/>
        </w:rPr>
        <w:t>supra</w:t>
      </w:r>
      <w:r w:rsidRPr="007A035E">
        <w:t xml:space="preserve"> note </w:t>
      </w:r>
      <w:r>
        <w:t>3</w:t>
      </w:r>
      <w:r w:rsidRPr="007A035E">
        <w:t xml:space="preserve">; Ian Appel, Jordan Bulka &amp; Vyacheslav Fos, </w:t>
      </w:r>
      <w:hyperlink r:id="rId28" w:history="1">
        <w:r w:rsidRPr="007A035E">
          <w:rPr>
            <w:rStyle w:val="Hyperlink"/>
            <w:color w:val="auto"/>
            <w:u w:val="none"/>
          </w:rPr>
          <w:t>“Public Short Selling by Activist Hedge Funds”</w:t>
        </w:r>
      </w:hyperlink>
      <w:r w:rsidRPr="007A035E">
        <w:t xml:space="preserve"> (October 1, 2018); and Zhao, </w:t>
      </w:r>
      <w:r w:rsidRPr="0020714A">
        <w:rPr>
          <w:i/>
        </w:rPr>
        <w:t>supra</w:t>
      </w:r>
      <w:r w:rsidRPr="007A035E">
        <w:t xml:space="preserve"> note </w:t>
      </w:r>
      <w:r>
        <w:t>3</w:t>
      </w:r>
      <w:r w:rsidRPr="007A035E">
        <w:t xml:space="preserve">. </w:t>
      </w:r>
    </w:p>
  </w:footnote>
  <w:footnote w:id="47">
    <w:p w14:paraId="5B0F4FD8" w14:textId="5DE3175C" w:rsidR="00994510" w:rsidRPr="007A035E" w:rsidRDefault="00994510" w:rsidP="007A035E">
      <w:pPr>
        <w:pStyle w:val="footnote"/>
      </w:pPr>
      <w:r w:rsidRPr="007A035E">
        <w:rPr>
          <w:rStyle w:val="FootnoteReference"/>
        </w:rPr>
        <w:footnoteRef/>
      </w:r>
      <w:r>
        <w:t xml:space="preserve"> </w:t>
      </w:r>
      <w:r w:rsidRPr="007A035E">
        <w:rPr>
          <w:rStyle w:val="footnoteChar"/>
        </w:rPr>
        <w:t xml:space="preserve">Stock price returns </w:t>
      </w:r>
      <w:r>
        <w:rPr>
          <w:rStyle w:val="footnoteChar"/>
        </w:rPr>
        <w:t>were</w:t>
      </w:r>
      <w:r w:rsidRPr="007A035E">
        <w:rPr>
          <w:rStyle w:val="footnoteChar"/>
        </w:rPr>
        <w:t xml:space="preserve"> calculated </w:t>
      </w:r>
      <w:r>
        <w:rPr>
          <w:rStyle w:val="footnoteChar"/>
        </w:rPr>
        <w:t>by OSC from 1-day prior to the</w:t>
      </w:r>
      <w:r w:rsidRPr="007A035E">
        <w:rPr>
          <w:rStyle w:val="footnoteChar"/>
        </w:rPr>
        <w:t xml:space="preserve"> first </w:t>
      </w:r>
      <w:r>
        <w:rPr>
          <w:rStyle w:val="footnoteChar"/>
        </w:rPr>
        <w:t>C</w:t>
      </w:r>
      <w:r w:rsidRPr="007A035E">
        <w:rPr>
          <w:rStyle w:val="footnoteChar"/>
        </w:rPr>
        <w:t xml:space="preserve">ampaign announcement for </w:t>
      </w:r>
      <w:r>
        <w:rPr>
          <w:rStyle w:val="footnoteChar"/>
        </w:rPr>
        <w:t>69</w:t>
      </w:r>
      <w:r w:rsidRPr="007A035E">
        <w:rPr>
          <w:rStyle w:val="footnoteChar"/>
        </w:rPr>
        <w:t xml:space="preserve"> Canadian </w:t>
      </w:r>
      <w:r>
        <w:rPr>
          <w:rStyle w:val="footnoteChar"/>
        </w:rPr>
        <w:t>targets between 2010 and September 2020</w:t>
      </w:r>
      <w:r w:rsidRPr="007A035E">
        <w:rPr>
          <w:rStyle w:val="footnoteChar"/>
        </w:rPr>
        <w:t xml:space="preserve"> for which </w:t>
      </w:r>
      <w:r>
        <w:rPr>
          <w:rStyle w:val="footnoteChar"/>
        </w:rPr>
        <w:t xml:space="preserve">historical </w:t>
      </w:r>
      <w:r w:rsidRPr="007A035E">
        <w:rPr>
          <w:rStyle w:val="footnoteChar"/>
        </w:rPr>
        <w:t>market data</w:t>
      </w:r>
      <w:r>
        <w:rPr>
          <w:rStyle w:val="footnoteChar"/>
        </w:rPr>
        <w:t xml:space="preserve"> was available</w:t>
      </w:r>
      <w:r w:rsidRPr="007A035E">
        <w:rPr>
          <w:rStyle w:val="footnoteChar"/>
        </w:rPr>
        <w:t xml:space="preserve">. Stock price returns reflect more than just the disclosure of a short seller’s </w:t>
      </w:r>
      <w:r>
        <w:rPr>
          <w:rStyle w:val="footnoteChar"/>
        </w:rPr>
        <w:t>C</w:t>
      </w:r>
      <w:r w:rsidRPr="007A035E">
        <w:rPr>
          <w:rStyle w:val="footnoteChar"/>
        </w:rPr>
        <w:t>ampaign, it also incorporates other positive or negative information about the target either specifically or more broadly (e.g.</w:t>
      </w:r>
      <w:r>
        <w:rPr>
          <w:rStyle w:val="footnoteChar"/>
        </w:rPr>
        <w:t>,</w:t>
      </w:r>
      <w:r w:rsidRPr="007A035E">
        <w:rPr>
          <w:rStyle w:val="footnoteChar"/>
        </w:rPr>
        <w:t xml:space="preserve"> market or sector)</w:t>
      </w:r>
      <w:r w:rsidRPr="007A035E">
        <w:t xml:space="preserve">.  </w:t>
      </w:r>
    </w:p>
  </w:footnote>
  <w:footnote w:id="48">
    <w:p w14:paraId="7576E529" w14:textId="77777777" w:rsidR="00994510" w:rsidRPr="007A035E" w:rsidRDefault="00994510" w:rsidP="007A035E">
      <w:pPr>
        <w:pStyle w:val="footnote"/>
        <w:rPr>
          <w:rStyle w:val="footnoteChar"/>
        </w:rPr>
      </w:pPr>
      <w:r w:rsidRPr="007A035E">
        <w:rPr>
          <w:rStyle w:val="FootnoteReference"/>
        </w:rPr>
        <w:footnoteRef/>
      </w:r>
      <w:r w:rsidRPr="007A035E">
        <w:rPr>
          <w:vertAlign w:val="superscript"/>
        </w:rPr>
        <w:t xml:space="preserve"> </w:t>
      </w:r>
      <w:r w:rsidRPr="00624C0A">
        <w:rPr>
          <w:rStyle w:val="footnoteChar"/>
          <w:i/>
        </w:rPr>
        <w:t>Ibid.</w:t>
      </w:r>
    </w:p>
  </w:footnote>
  <w:footnote w:id="49">
    <w:p w14:paraId="6D4251F9" w14:textId="77777777" w:rsidR="00994510" w:rsidRPr="00E33B3F" w:rsidRDefault="00994510" w:rsidP="00E33B3F">
      <w:pPr>
        <w:pStyle w:val="footnote"/>
      </w:pPr>
      <w:r w:rsidRPr="00E33B3F">
        <w:rPr>
          <w:rStyle w:val="FootnoteReference"/>
        </w:rPr>
        <w:footnoteRef/>
      </w:r>
      <w:r w:rsidRPr="00E33B3F">
        <w:t xml:space="preserve"> Based on AI’s assessment of the Campaigns.</w:t>
      </w:r>
    </w:p>
  </w:footnote>
  <w:footnote w:id="50">
    <w:p w14:paraId="244FB5DE" w14:textId="77777777" w:rsidR="00994510" w:rsidRPr="00CF34F0" w:rsidRDefault="00994510" w:rsidP="00E33B3F">
      <w:pPr>
        <w:pStyle w:val="footnote"/>
        <w:rPr>
          <w:lang w:val="en-US"/>
        </w:rPr>
      </w:pPr>
      <w:r w:rsidRPr="00E33B3F">
        <w:rPr>
          <w:rStyle w:val="FootnoteReference"/>
        </w:rPr>
        <w:footnoteRef/>
      </w:r>
      <w:r w:rsidRPr="00E33B3F">
        <w:t xml:space="preserve"> Issuer responses identified from AI data.</w:t>
      </w:r>
    </w:p>
  </w:footnote>
  <w:footnote w:id="51">
    <w:p w14:paraId="2100DB98" w14:textId="77777777" w:rsidR="00994510" w:rsidRPr="00E33B3F" w:rsidRDefault="00994510" w:rsidP="00BA2869">
      <w:pPr>
        <w:pStyle w:val="footnote"/>
      </w:pPr>
      <w:r w:rsidRPr="00E33B3F">
        <w:rPr>
          <w:rStyle w:val="FootnoteReference"/>
        </w:rPr>
        <w:footnoteRef/>
      </w:r>
      <w:r w:rsidRPr="00E33B3F">
        <w:t xml:space="preserve"> This is consistent with campaign outcomes for foreign issuers in foreign markets </w:t>
      </w:r>
      <w:r>
        <w:t>as well (see Figure 5)</w:t>
      </w:r>
      <w:r w:rsidRPr="00E33B3F">
        <w:t>.</w:t>
      </w:r>
    </w:p>
  </w:footnote>
  <w:footnote w:id="52">
    <w:p w14:paraId="38F516CF" w14:textId="77777777" w:rsidR="00994510" w:rsidRPr="00E33B3F" w:rsidRDefault="00994510" w:rsidP="00E00D27">
      <w:pPr>
        <w:pStyle w:val="footnote"/>
      </w:pPr>
      <w:r w:rsidRPr="00E33B3F">
        <w:rPr>
          <w:rStyle w:val="FootnoteReference"/>
        </w:rPr>
        <w:footnoteRef/>
      </w:r>
      <w:r w:rsidRPr="00E33B3F">
        <w:t xml:space="preserve"> Our review confirmed that almost all class proceedings commenced following a Campaign made the same or similar allegations as those </w:t>
      </w:r>
      <w:r>
        <w:t>made</w:t>
      </w:r>
      <w:r w:rsidRPr="00E33B3F">
        <w:t xml:space="preserve"> in the Campaign</w:t>
      </w:r>
      <w:r>
        <w:t xml:space="preserve">.  We acknowledge that the commencement of a class proceeding, even with similar allegations, does not establish the veracity of the underlying allegations in a Campaign.  </w:t>
      </w:r>
    </w:p>
  </w:footnote>
  <w:footnote w:id="53">
    <w:p w14:paraId="2D78CCB5" w14:textId="77777777" w:rsidR="00994510" w:rsidRPr="00E33B3F" w:rsidRDefault="00994510" w:rsidP="00E33B3F">
      <w:pPr>
        <w:pStyle w:val="footnote"/>
      </w:pPr>
      <w:r w:rsidRPr="003F5CD6">
        <w:rPr>
          <w:rStyle w:val="FootnoteReference"/>
        </w:rPr>
        <w:footnoteRef/>
      </w:r>
      <w:r w:rsidRPr="00E33B3F">
        <w:t xml:space="preserve"> A U.S. study reviewed 124 campaigns in an effort to determine whether activist short sellers were engaged in short and distort campaigns based on a study of subsequent events.  The study indicated that separate investigations by the Securities and Exchange Commission and the Department of Justice reached similar conclusions as the activist short sellers in 90% of those campaigns and eventually, 50% of the targets were delisted, 47% replaced auditors, and 23% restated earnings. See: Ljungqvist &amp; Qian, </w:t>
      </w:r>
      <w:r w:rsidRPr="00F54BE7">
        <w:rPr>
          <w:i/>
        </w:rPr>
        <w:t>supra</w:t>
      </w:r>
      <w:r w:rsidRPr="00E33B3F">
        <w:t xml:space="preserve"> note </w:t>
      </w:r>
      <w:r>
        <w:t>3</w:t>
      </w:r>
      <w:r w:rsidRPr="00E33B3F">
        <w:t>.</w:t>
      </w:r>
    </w:p>
  </w:footnote>
  <w:footnote w:id="54">
    <w:p w14:paraId="0E51F680" w14:textId="77777777" w:rsidR="00994510" w:rsidRPr="002A4115" w:rsidRDefault="00994510" w:rsidP="00E33B3F">
      <w:pPr>
        <w:pStyle w:val="footnote"/>
      </w:pPr>
      <w:r w:rsidRPr="00F54BE7">
        <w:rPr>
          <w:rStyle w:val="FootnoteReference"/>
        </w:rPr>
        <w:footnoteRef/>
      </w:r>
      <w:r w:rsidRPr="00E33B3F">
        <w:t xml:space="preserve"> For example, see: Sche</w:t>
      </w:r>
      <w:r>
        <w:t>c</w:t>
      </w:r>
      <w:r w:rsidRPr="00E33B3F">
        <w:t xml:space="preserve">ter, </w:t>
      </w:r>
      <w:r w:rsidRPr="00F54BE7">
        <w:rPr>
          <w:i/>
        </w:rPr>
        <w:t xml:space="preserve">supra </w:t>
      </w:r>
      <w:r w:rsidRPr="00E33B3F">
        <w:t xml:space="preserve">note 1.  </w:t>
      </w:r>
      <w:r>
        <w:t>We note that activism in general has increased (both long and short).  See e.g., “</w:t>
      </w:r>
      <w:hyperlink r:id="rId29" w:history="1">
        <w:r w:rsidRPr="007E2770">
          <w:t>Shareholder Activism: 2019 Trends and Major Developments</w:t>
        </w:r>
      </w:hyperlink>
      <w:r w:rsidRPr="007E2770">
        <w:t>”,</w:t>
      </w:r>
      <w:r>
        <w:t xml:space="preserve"> </w:t>
      </w:r>
      <w:r>
        <w:rPr>
          <w:i/>
        </w:rPr>
        <w:t>Davies Corporate Governance Insights 2019</w:t>
      </w:r>
      <w:r>
        <w:t xml:space="preserve"> (3 October 2019); Eric Woerth and Benjamin Dirx, </w:t>
      </w:r>
      <w:hyperlink r:id="rId30" w:history="1">
        <w:r w:rsidRPr="007C7012">
          <w:rPr>
            <w:rStyle w:val="Hyperlink"/>
            <w:i/>
          </w:rPr>
          <w:t>Report to the National Assembly (France) on Shareholder Activism</w:t>
        </w:r>
      </w:hyperlink>
      <w:r>
        <w:t xml:space="preserve"> (October 2, 2019) [Woerth Report].</w:t>
      </w:r>
    </w:p>
  </w:footnote>
  <w:footnote w:id="55">
    <w:p w14:paraId="796A4F8F" w14:textId="77777777" w:rsidR="00994510" w:rsidRPr="00382E10" w:rsidRDefault="00994510" w:rsidP="00FE7EC9">
      <w:pPr>
        <w:pStyle w:val="FootnoteText"/>
        <w:rPr>
          <w:rStyle w:val="footnoteChar"/>
        </w:rPr>
      </w:pPr>
      <w:r w:rsidRPr="00DF66A8">
        <w:rPr>
          <w:rStyle w:val="FootnoteReference"/>
        </w:rPr>
        <w:footnoteRef/>
      </w:r>
      <w:r>
        <w:rPr>
          <w:rStyle w:val="footnoteChar"/>
        </w:rPr>
        <w:t xml:space="preserve"> See </w:t>
      </w:r>
      <w:r w:rsidRPr="00382E10">
        <w:rPr>
          <w:rStyle w:val="footnoteChar"/>
        </w:rPr>
        <w:t xml:space="preserve">UMIR, </w:t>
      </w:r>
      <w:r w:rsidRPr="00382E10">
        <w:rPr>
          <w:rStyle w:val="footnoteChar"/>
          <w:i/>
        </w:rPr>
        <w:t>Part 3 - Short Selling, Prohibition on the Entry of Orders</w:t>
      </w:r>
      <w:r w:rsidRPr="00382E10">
        <w:rPr>
          <w:rStyle w:val="footnoteChar"/>
        </w:rPr>
        <w:t xml:space="preserve">, </w:t>
      </w:r>
      <w:hyperlink r:id="rId31" w:history="1">
        <w:r w:rsidRPr="00382E10">
          <w:rPr>
            <w:rStyle w:val="footnoteChar"/>
          </w:rPr>
          <w:t>Rule 3.2</w:t>
        </w:r>
      </w:hyperlink>
      <w:r>
        <w:rPr>
          <w:rStyle w:val="footnoteChar"/>
        </w:rPr>
        <w:t xml:space="preserve"> [Rule 3.2]</w:t>
      </w:r>
      <w:r w:rsidRPr="00382E10">
        <w:rPr>
          <w:rStyle w:val="footnoteChar"/>
        </w:rPr>
        <w:t>. A short-marking exempt order i</w:t>
      </w:r>
      <w:r>
        <w:rPr>
          <w:rStyle w:val="footnoteChar"/>
        </w:rPr>
        <w:t>ncludes</w:t>
      </w:r>
      <w:r w:rsidRPr="00382E10">
        <w:rPr>
          <w:rStyle w:val="footnoteChar"/>
        </w:rPr>
        <w:t xml:space="preserve"> an order for</w:t>
      </w:r>
      <w:r>
        <w:rPr>
          <w:rStyle w:val="footnoteChar"/>
        </w:rPr>
        <w:t xml:space="preserve"> a security from</w:t>
      </w:r>
      <w:r w:rsidRPr="00382E10">
        <w:rPr>
          <w:rStyle w:val="footnoteChar"/>
        </w:rPr>
        <w:t xml:space="preserve"> an arbitrage account, an account of a market maker </w:t>
      </w:r>
      <w:r>
        <w:rPr>
          <w:rStyle w:val="footnoteChar"/>
        </w:rPr>
        <w:t xml:space="preserve">for that account, </w:t>
      </w:r>
      <w:r w:rsidRPr="00382E10">
        <w:rPr>
          <w:rStyle w:val="footnoteChar"/>
        </w:rPr>
        <w:t xml:space="preserve">or other </w:t>
      </w:r>
      <w:r>
        <w:rPr>
          <w:rStyle w:val="footnoteChar"/>
        </w:rPr>
        <w:t xml:space="preserve">specified </w:t>
      </w:r>
      <w:r w:rsidRPr="00382E10">
        <w:rPr>
          <w:rStyle w:val="footnoteChar"/>
        </w:rPr>
        <w:t>account</w:t>
      </w:r>
      <w:r>
        <w:rPr>
          <w:rStyle w:val="footnoteChar"/>
        </w:rPr>
        <w:t>s</w:t>
      </w:r>
      <w:r w:rsidRPr="00382E10">
        <w:rPr>
          <w:rStyle w:val="footnoteChar"/>
        </w:rPr>
        <w:t xml:space="preserve"> that buy and sell securities and that has at the end of any trading day no more than a nominal long or short position in any security.</w:t>
      </w:r>
      <w:r>
        <w:rPr>
          <w:rStyle w:val="footnoteChar"/>
        </w:rPr>
        <w:t xml:space="preserve"> </w:t>
      </w:r>
      <w:r w:rsidRPr="00382E10">
        <w:rPr>
          <w:rStyle w:val="footnoteChar"/>
        </w:rPr>
        <w:t xml:space="preserve"> UMIR, </w:t>
      </w:r>
      <w:r w:rsidRPr="00382E10">
        <w:rPr>
          <w:rStyle w:val="footnoteChar"/>
          <w:i/>
        </w:rPr>
        <w:t xml:space="preserve">Part </w:t>
      </w:r>
      <w:r>
        <w:rPr>
          <w:rStyle w:val="footnoteChar"/>
          <w:i/>
        </w:rPr>
        <w:t>1</w:t>
      </w:r>
      <w:r w:rsidRPr="00382E10">
        <w:rPr>
          <w:rStyle w:val="footnoteChar"/>
          <w:i/>
        </w:rPr>
        <w:t xml:space="preserve"> </w:t>
      </w:r>
      <w:r>
        <w:rPr>
          <w:rStyle w:val="footnoteChar"/>
          <w:i/>
        </w:rPr>
        <w:t>–</w:t>
      </w:r>
      <w:r w:rsidRPr="00382E10">
        <w:rPr>
          <w:rStyle w:val="footnoteChar"/>
          <w:i/>
        </w:rPr>
        <w:t xml:space="preserve"> </w:t>
      </w:r>
      <w:r>
        <w:rPr>
          <w:rStyle w:val="footnoteChar"/>
          <w:i/>
        </w:rPr>
        <w:t>Definitions and Interpretation</w:t>
      </w:r>
      <w:r w:rsidRPr="00382E10">
        <w:rPr>
          <w:rStyle w:val="footnoteChar"/>
        </w:rPr>
        <w:t xml:space="preserve">, </w:t>
      </w:r>
      <w:r>
        <w:rPr>
          <w:rStyle w:val="footnoteChar"/>
        </w:rPr>
        <w:t xml:space="preserve">Rule </w:t>
      </w:r>
      <w:hyperlink r:id="rId32" w:history="1">
        <w:r w:rsidRPr="00A903E5">
          <w:rPr>
            <w:rStyle w:val="footnoteChar"/>
          </w:rPr>
          <w:t>1.1</w:t>
        </w:r>
      </w:hyperlink>
      <w:r>
        <w:rPr>
          <w:rStyle w:val="footnoteChar"/>
        </w:rPr>
        <w:t>.</w:t>
      </w:r>
    </w:p>
  </w:footnote>
  <w:footnote w:id="56">
    <w:p w14:paraId="7E7B1097" w14:textId="77777777" w:rsidR="00994510" w:rsidRPr="00BB2208" w:rsidRDefault="00994510" w:rsidP="00194B7A">
      <w:pPr>
        <w:pStyle w:val="footnote"/>
      </w:pPr>
      <w:r w:rsidRPr="00DF66A8">
        <w:rPr>
          <w:vertAlign w:val="superscript"/>
        </w:rPr>
        <w:footnoteRef/>
      </w:r>
      <w:r w:rsidRPr="00DF66A8">
        <w:rPr>
          <w:vertAlign w:val="superscript"/>
        </w:rPr>
        <w:t xml:space="preserve"> </w:t>
      </w:r>
      <w:r>
        <w:t xml:space="preserve">A </w:t>
      </w:r>
      <w:r w:rsidRPr="00BB2208">
        <w:t xml:space="preserve">trade that did not settle and was not rectified within 10 </w:t>
      </w:r>
      <w:r>
        <w:t xml:space="preserve">trading </w:t>
      </w:r>
      <w:r w:rsidRPr="00BB2208">
        <w:t xml:space="preserve">days from </w:t>
      </w:r>
      <w:r>
        <w:t xml:space="preserve">the original </w:t>
      </w:r>
      <w:r w:rsidRPr="00BB2208">
        <w:t xml:space="preserve">settlement must be reported to IIROC. See: UMIR, </w:t>
      </w:r>
      <w:r w:rsidRPr="00BB2208">
        <w:rPr>
          <w:i/>
        </w:rPr>
        <w:t>Part 7 Trading in  a Marketplace - Extended Failed Trades</w:t>
      </w:r>
      <w:r w:rsidRPr="00BB2208">
        <w:t xml:space="preserve">, </w:t>
      </w:r>
      <w:hyperlink r:id="rId33" w:history="1">
        <w:r w:rsidRPr="00BB2208">
          <w:t>Rule 7.10</w:t>
        </w:r>
      </w:hyperlink>
      <w:r w:rsidRPr="00BB2208">
        <w:t xml:space="preserve">. </w:t>
      </w:r>
    </w:p>
  </w:footnote>
  <w:footnote w:id="57">
    <w:p w14:paraId="52386392" w14:textId="77777777" w:rsidR="00994510" w:rsidRPr="00AA5129" w:rsidRDefault="00994510" w:rsidP="001054B2">
      <w:pPr>
        <w:pStyle w:val="footnote"/>
        <w:rPr>
          <w:lang w:val="en-US"/>
        </w:rPr>
      </w:pPr>
      <w:r w:rsidRPr="00BB2208">
        <w:rPr>
          <w:rStyle w:val="footnoteChar"/>
          <w:vertAlign w:val="superscript"/>
        </w:rPr>
        <w:footnoteRef/>
      </w:r>
      <w:r>
        <w:t xml:space="preserve"> </w:t>
      </w:r>
      <w:r w:rsidRPr="00BB2208">
        <w:rPr>
          <w:rStyle w:val="footnoteChar"/>
        </w:rPr>
        <w:t xml:space="preserve">Participants </w:t>
      </w:r>
      <w:r>
        <w:rPr>
          <w:rStyle w:val="footnoteChar"/>
        </w:rPr>
        <w:t xml:space="preserve">include </w:t>
      </w:r>
      <w:r w:rsidRPr="00BB2208">
        <w:rPr>
          <w:rStyle w:val="footnoteChar"/>
        </w:rPr>
        <w:t xml:space="preserve">dealers that are members of an exchange, users of a quotation and trade reporting system or subscribers to an alternative trading system.  </w:t>
      </w:r>
    </w:p>
  </w:footnote>
  <w:footnote w:id="58">
    <w:p w14:paraId="5850B579" w14:textId="77777777" w:rsidR="00994510" w:rsidRPr="00482EF5" w:rsidRDefault="00994510" w:rsidP="001054B2">
      <w:pPr>
        <w:pStyle w:val="footnote"/>
      </w:pPr>
      <w:r w:rsidRPr="00DF66A8">
        <w:rPr>
          <w:rStyle w:val="FootnoteReference"/>
        </w:rPr>
        <w:footnoteRef/>
      </w:r>
      <w:r w:rsidRPr="00DF66A8">
        <w:rPr>
          <w:vertAlign w:val="superscript"/>
        </w:rPr>
        <w:t xml:space="preserve"> </w:t>
      </w:r>
      <w:r>
        <w:rPr>
          <w:vertAlign w:val="superscript"/>
        </w:rPr>
        <w:t>“</w:t>
      </w:r>
      <w:r w:rsidRPr="008678B4">
        <w:t>Pre-Borrow Security” means a security that has been designated by a Market Regulator to be a security in respect of which an order, that on execution would be a short sale, may not be entered on a marketplace unless the Participant or Access Person has made arrangements to borrow the securities that would be necessary to settle the trade prior to the entry of the order</w:t>
      </w:r>
      <w:r>
        <w:t xml:space="preserve">. </w:t>
      </w:r>
      <w:r w:rsidRPr="007F1AF7">
        <w:rPr>
          <w:iCs/>
        </w:rPr>
        <w:t>UMIR</w:t>
      </w:r>
      <w:r>
        <w:rPr>
          <w:i/>
          <w:iCs/>
        </w:rPr>
        <w:t xml:space="preserve">, </w:t>
      </w:r>
      <w:r w:rsidRPr="00382E10">
        <w:rPr>
          <w:rStyle w:val="footnoteChar"/>
          <w:i/>
        </w:rPr>
        <w:t xml:space="preserve">Part </w:t>
      </w:r>
      <w:r>
        <w:rPr>
          <w:rStyle w:val="footnoteChar"/>
          <w:i/>
        </w:rPr>
        <w:t>1</w:t>
      </w:r>
      <w:r w:rsidRPr="00382E10">
        <w:rPr>
          <w:rStyle w:val="footnoteChar"/>
          <w:i/>
        </w:rPr>
        <w:t xml:space="preserve"> </w:t>
      </w:r>
      <w:r>
        <w:rPr>
          <w:rStyle w:val="footnoteChar"/>
          <w:i/>
        </w:rPr>
        <w:t>–</w:t>
      </w:r>
      <w:r w:rsidRPr="00382E10">
        <w:rPr>
          <w:rStyle w:val="footnoteChar"/>
          <w:i/>
        </w:rPr>
        <w:t xml:space="preserve"> </w:t>
      </w:r>
      <w:r>
        <w:rPr>
          <w:rStyle w:val="footnoteChar"/>
          <w:i/>
        </w:rPr>
        <w:t>Definitions and Interpretation</w:t>
      </w:r>
      <w:r w:rsidRPr="00382E10">
        <w:rPr>
          <w:rStyle w:val="footnoteChar"/>
        </w:rPr>
        <w:t xml:space="preserve">, </w:t>
      </w:r>
      <w:r>
        <w:rPr>
          <w:rStyle w:val="footnoteChar"/>
        </w:rPr>
        <w:t xml:space="preserve">Rule </w:t>
      </w:r>
      <w:hyperlink r:id="rId34" w:history="1">
        <w:r>
          <w:rPr>
            <w:rStyle w:val="footnoteChar"/>
          </w:rPr>
          <w:t>1.1</w:t>
        </w:r>
      </w:hyperlink>
      <w:r>
        <w:rPr>
          <w:rStyle w:val="footnoteChar"/>
        </w:rPr>
        <w:t>.</w:t>
      </w:r>
      <w:r>
        <w:rPr>
          <w:i/>
          <w:iCs/>
        </w:rPr>
        <w:t xml:space="preserve"> </w:t>
      </w:r>
      <w:r w:rsidRPr="00194B7A">
        <w:t xml:space="preserve"> </w:t>
      </w:r>
      <w:r>
        <w:t xml:space="preserve">See also, </w:t>
      </w:r>
      <w:r>
        <w:rPr>
          <w:iCs/>
        </w:rPr>
        <w:t>UMIR</w:t>
      </w:r>
      <w:r w:rsidRPr="00194B7A">
        <w:t>, Policy 1.1,</w:t>
      </w:r>
      <w:r>
        <w:t xml:space="preserve"> </w:t>
      </w:r>
      <w:r w:rsidRPr="000E52AF">
        <w:rPr>
          <w:i/>
        </w:rPr>
        <w:t>Definitions of Pre-Borrow Security</w:t>
      </w:r>
      <w:r>
        <w:t xml:space="preserve">, </w:t>
      </w:r>
      <w:hyperlink r:id="rId35" w:history="1">
        <w:r w:rsidRPr="000E52AF">
          <w:rPr>
            <w:rStyle w:val="Hyperlink"/>
          </w:rPr>
          <w:t>1.1</w:t>
        </w:r>
      </w:hyperlink>
      <w:r>
        <w:t xml:space="preserve">; UMIR, </w:t>
      </w:r>
      <w:r>
        <w:rPr>
          <w:i/>
        </w:rPr>
        <w:t xml:space="preserve">Part 6 – Order Entry and Exposure – Entry of Orders on Marketplace, </w:t>
      </w:r>
      <w:hyperlink r:id="rId36" w:history="1">
        <w:r w:rsidRPr="00083258">
          <w:rPr>
            <w:rStyle w:val="Hyperlink"/>
          </w:rPr>
          <w:t>Rules 6.1(4) and 6.1(6)</w:t>
        </w:r>
      </w:hyperlink>
      <w:r>
        <w:t>.</w:t>
      </w:r>
    </w:p>
  </w:footnote>
  <w:footnote w:id="59">
    <w:p w14:paraId="2B4ED034" w14:textId="44909EB5" w:rsidR="00994510" w:rsidRPr="00194B7A" w:rsidRDefault="00994510" w:rsidP="001054B2">
      <w:pPr>
        <w:pStyle w:val="footnote"/>
      </w:pPr>
      <w:r w:rsidRPr="00DF66A8">
        <w:rPr>
          <w:rStyle w:val="FootnoteReference"/>
        </w:rPr>
        <w:footnoteRef/>
      </w:r>
      <w:r w:rsidRPr="00194B7A">
        <w:t xml:space="preserve">  “Short Sale Ineligible Security” is defined as a security or a class of securities that has been designated by a market regulatory to be a security in respect of which an order on execution would be a short sale may not be entered on a marketplace for a particular trading day or trading days. </w:t>
      </w:r>
      <w:r w:rsidRPr="007F1AF7">
        <w:t xml:space="preserve">UMIR, </w:t>
      </w:r>
      <w:r w:rsidRPr="00453D21">
        <w:rPr>
          <w:i/>
        </w:rPr>
        <w:t>Part 1 – Definitions and Interpretation</w:t>
      </w:r>
      <w:r w:rsidRPr="007F1AF7">
        <w:t xml:space="preserve">, </w:t>
      </w:r>
      <w:hyperlink r:id="rId37" w:history="1">
        <w:r w:rsidRPr="00E3618C">
          <w:rPr>
            <w:rStyle w:val="Hyperlink"/>
          </w:rPr>
          <w:t>Rule 1.1</w:t>
        </w:r>
      </w:hyperlink>
      <w:r>
        <w:t>;</w:t>
      </w:r>
      <w:r w:rsidRPr="007F1AF7">
        <w:t xml:space="preserve"> </w:t>
      </w:r>
      <w:r w:rsidRPr="00194B7A">
        <w:t>See</w:t>
      </w:r>
      <w:r>
        <w:t xml:space="preserve"> also, </w:t>
      </w:r>
      <w:r w:rsidRPr="00194B7A">
        <w:t>Rule 3.2</w:t>
      </w:r>
      <w:r>
        <w:t xml:space="preserve">, </w:t>
      </w:r>
      <w:r>
        <w:rPr>
          <w:i/>
        </w:rPr>
        <w:t>supra</w:t>
      </w:r>
      <w:r>
        <w:t xml:space="preserve"> note 55</w:t>
      </w:r>
      <w:r w:rsidRPr="00194B7A">
        <w:t xml:space="preserve"> at (1)(b)</w:t>
      </w:r>
      <w:r>
        <w:t>.</w:t>
      </w:r>
    </w:p>
  </w:footnote>
  <w:footnote w:id="60">
    <w:p w14:paraId="09962E4A" w14:textId="77777777" w:rsidR="00994510" w:rsidRPr="00194B7A" w:rsidRDefault="00994510" w:rsidP="001054B2">
      <w:pPr>
        <w:pStyle w:val="footnote"/>
      </w:pPr>
      <w:r w:rsidRPr="00DF66A8">
        <w:rPr>
          <w:vertAlign w:val="superscript"/>
        </w:rPr>
        <w:footnoteRef/>
      </w:r>
      <w:r w:rsidRPr="00194B7A">
        <w:t xml:space="preserve"> </w:t>
      </w:r>
      <w:r w:rsidRPr="00E32021">
        <w:t xml:space="preserve">Note for instance section 194 of the </w:t>
      </w:r>
      <w:r w:rsidRPr="00E32021">
        <w:rPr>
          <w:i/>
          <w:iCs/>
        </w:rPr>
        <w:t xml:space="preserve">Securities Act </w:t>
      </w:r>
      <w:r w:rsidRPr="00E32021">
        <w:rPr>
          <w:iCs/>
        </w:rPr>
        <w:t>(</w:t>
      </w:r>
      <w:r w:rsidRPr="009B2594">
        <w:t>Québec</w:t>
      </w:r>
      <w:r w:rsidRPr="00E32021">
        <w:rPr>
          <w:iCs/>
        </w:rPr>
        <w:t>)</w:t>
      </w:r>
      <w:r w:rsidRPr="00E32021">
        <w:t xml:space="preserve">, which provides that no person may sell a security short without previously notifying the dealer responsible for carrying out the transaction.  See also, </w:t>
      </w:r>
      <w:r w:rsidRPr="00E32021">
        <w:rPr>
          <w:i/>
        </w:rPr>
        <w:t>Securities Act</w:t>
      </w:r>
      <w:r w:rsidRPr="00E32021">
        <w:t xml:space="preserve"> (Ontario), section 48.</w:t>
      </w:r>
      <w:r>
        <w:t xml:space="preserve"> </w:t>
      </w:r>
    </w:p>
  </w:footnote>
  <w:footnote w:id="61">
    <w:p w14:paraId="617A86BA" w14:textId="77777777" w:rsidR="00994510" w:rsidRPr="001472C6" w:rsidRDefault="00994510" w:rsidP="00F73D72">
      <w:pPr>
        <w:pStyle w:val="footnote"/>
      </w:pPr>
      <w:r w:rsidRPr="001472C6">
        <w:rPr>
          <w:rStyle w:val="FootnoteReference"/>
        </w:rPr>
        <w:footnoteRef/>
      </w:r>
      <w:r w:rsidRPr="001472C6">
        <w:rPr>
          <w:vertAlign w:val="superscript"/>
        </w:rPr>
        <w:t xml:space="preserve"> </w:t>
      </w:r>
      <w:r>
        <w:rPr>
          <w:iCs/>
        </w:rPr>
        <w:t xml:space="preserve">UMIR, </w:t>
      </w:r>
      <w:r w:rsidRPr="00AB3A66">
        <w:rPr>
          <w:i/>
          <w:iCs/>
        </w:rPr>
        <w:t>Part 10 – Compliance</w:t>
      </w:r>
      <w:r>
        <w:rPr>
          <w:iCs/>
        </w:rPr>
        <w:t xml:space="preserve">, </w:t>
      </w:r>
      <w:r w:rsidRPr="00911141">
        <w:rPr>
          <w:i/>
          <w:iCs/>
        </w:rPr>
        <w:t>R</w:t>
      </w:r>
      <w:r w:rsidRPr="001472C6">
        <w:rPr>
          <w:i/>
          <w:iCs/>
        </w:rPr>
        <w:t>eport of Short Positions</w:t>
      </w:r>
      <w:r w:rsidRPr="001472C6">
        <w:t xml:space="preserve">, </w:t>
      </w:r>
      <w:hyperlink r:id="rId38" w:history="1">
        <w:r w:rsidRPr="00AB3A66">
          <w:rPr>
            <w:rStyle w:val="Hyperlink"/>
          </w:rPr>
          <w:t>Rule 10.10</w:t>
        </w:r>
      </w:hyperlink>
      <w:r w:rsidRPr="001472C6">
        <w:t>.</w:t>
      </w:r>
    </w:p>
  </w:footnote>
  <w:footnote w:id="62">
    <w:p w14:paraId="348F701A" w14:textId="77777777" w:rsidR="00994510" w:rsidRPr="001472C6" w:rsidRDefault="00994510" w:rsidP="001472C6">
      <w:pPr>
        <w:pStyle w:val="footnote"/>
      </w:pPr>
      <w:r w:rsidRPr="001472C6">
        <w:rPr>
          <w:rStyle w:val="FootnoteReference"/>
        </w:rPr>
        <w:footnoteRef/>
      </w:r>
      <w:r>
        <w:t xml:space="preserve"> </w:t>
      </w:r>
      <w:r w:rsidRPr="001472C6">
        <w:t xml:space="preserve">The Consolidated Short Position Report (CSPR) shows the aggregate short positions on all listed securities as of the current reporting date and the net change in short positions from the previous reporting date, on a per security basis, pursuant to UMIR 10.10. The report is published twice monthly and based on the short position information submitted to IIROC by Participant Dealer Members and applicable Access Persons. </w:t>
      </w:r>
    </w:p>
  </w:footnote>
  <w:footnote w:id="63">
    <w:p w14:paraId="7DCC69D0" w14:textId="25F5E1D5" w:rsidR="00994510" w:rsidRPr="001472C6" w:rsidRDefault="00994510" w:rsidP="001472C6">
      <w:pPr>
        <w:pStyle w:val="footnote"/>
      </w:pPr>
      <w:r w:rsidRPr="001472C6">
        <w:rPr>
          <w:rStyle w:val="FootnoteReference"/>
        </w:rPr>
        <w:footnoteRef/>
      </w:r>
      <w:r w:rsidRPr="001472C6">
        <w:t xml:space="preserve"> The Short Sale Trading Statistics Summary Report is based on data for trades marked “short sale” supplied by each marketplace that IIROC monitors. The report is published twice monthly.</w:t>
      </w:r>
    </w:p>
  </w:footnote>
  <w:footnote w:id="64">
    <w:p w14:paraId="26043EA2" w14:textId="77777777" w:rsidR="00994510" w:rsidRPr="001472C6" w:rsidRDefault="00994510" w:rsidP="001472C6">
      <w:pPr>
        <w:pStyle w:val="footnote"/>
      </w:pPr>
      <w:r w:rsidRPr="001472C6">
        <w:rPr>
          <w:rStyle w:val="FootnoteReference"/>
        </w:rPr>
        <w:footnoteRef/>
      </w:r>
      <w:r w:rsidRPr="001472C6">
        <w:rPr>
          <w:vertAlign w:val="superscript"/>
        </w:rPr>
        <w:t xml:space="preserve"> </w:t>
      </w:r>
      <w:r w:rsidRPr="001472C6">
        <w:t xml:space="preserve">See: </w:t>
      </w:r>
      <w:hyperlink r:id="rId39" w:history="1">
        <w:r w:rsidRPr="001472C6">
          <w:t>Companion Policy to National Instrument 23-101</w:t>
        </w:r>
        <w:r>
          <w:t>-</w:t>
        </w:r>
        <w:r w:rsidRPr="001472C6">
          <w:t xml:space="preserve"> </w:t>
        </w:r>
        <w:r w:rsidRPr="00AB3A66">
          <w:rPr>
            <w:i/>
          </w:rPr>
          <w:t>Trading Rules</w:t>
        </w:r>
        <w:r>
          <w:rPr>
            <w:i/>
          </w:rPr>
          <w:t>,</w:t>
        </w:r>
        <w:r w:rsidRPr="00AB3A66">
          <w:rPr>
            <w:i/>
          </w:rPr>
          <w:t xml:space="preserve"> </w:t>
        </w:r>
        <w:r w:rsidRPr="001472C6">
          <w:t>s 3.1(3)(f</w:t>
        </w:r>
      </w:hyperlink>
      <w:r w:rsidRPr="001472C6">
        <w:t xml:space="preserve">); </w:t>
      </w:r>
      <w:r>
        <w:t xml:space="preserve">UMIR, </w:t>
      </w:r>
      <w:r w:rsidRPr="00E30E27">
        <w:rPr>
          <w:i/>
        </w:rPr>
        <w:t>Part 2 – Abusive Trading,</w:t>
      </w:r>
      <w:r>
        <w:t xml:space="preserve"> </w:t>
      </w:r>
      <w:r w:rsidRPr="001472C6">
        <w:t xml:space="preserve"> </w:t>
      </w:r>
      <w:r w:rsidRPr="001472C6">
        <w:rPr>
          <w:i/>
          <w:iCs/>
        </w:rPr>
        <w:t>Manipulative and Deceptive Activities</w:t>
      </w:r>
      <w:r>
        <w:rPr>
          <w:i/>
          <w:iCs/>
        </w:rPr>
        <w:t>,</w:t>
      </w:r>
      <w:r w:rsidRPr="001472C6">
        <w:t xml:space="preserve"> </w:t>
      </w:r>
      <w:hyperlink r:id="rId40" w:history="1">
        <w:r w:rsidRPr="00707CA2">
          <w:rPr>
            <w:rStyle w:val="Hyperlink"/>
          </w:rPr>
          <w:t>Policy 2.2 at Part 2 (g)-(h)</w:t>
        </w:r>
        <w:r>
          <w:rPr>
            <w:rStyle w:val="Hyperlink"/>
          </w:rPr>
          <w:t>.</w:t>
        </w:r>
      </w:hyperlink>
    </w:p>
  </w:footnote>
  <w:footnote w:id="65">
    <w:p w14:paraId="0BE3A040" w14:textId="7E7A7280" w:rsidR="00994510" w:rsidRPr="001472C6" w:rsidRDefault="00994510" w:rsidP="001472C6">
      <w:pPr>
        <w:pStyle w:val="footnote"/>
      </w:pPr>
      <w:r w:rsidRPr="001472C6">
        <w:rPr>
          <w:rStyle w:val="FootnoteReference"/>
        </w:rPr>
        <w:footnoteRef/>
      </w:r>
      <w:r w:rsidRPr="001472C6">
        <w:rPr>
          <w:vertAlign w:val="superscript"/>
        </w:rPr>
        <w:t xml:space="preserve"> </w:t>
      </w:r>
      <w:r w:rsidRPr="001472C6">
        <w:t xml:space="preserve">As previously noted in </w:t>
      </w:r>
      <w:hyperlink r:id="rId41" w:anchor="N_13_1_1_8a_" w:history="1">
        <w:r w:rsidRPr="001472C6">
          <w:t>IIROC Notice 1</w:t>
        </w:r>
        <w:r>
          <w:t>2</w:t>
        </w:r>
        <w:r w:rsidRPr="001472C6">
          <w:t>-00</w:t>
        </w:r>
        <w:r>
          <w:t>78</w:t>
        </w:r>
        <w:r w:rsidRPr="001472C6">
          <w:t xml:space="preserve"> - </w:t>
        </w:r>
        <w:r w:rsidRPr="00F14F8A">
          <w:rPr>
            <w:i/>
          </w:rPr>
          <w:t>Provisions Respecting Regulation of Short Sales and Failed Trades</w:t>
        </w:r>
      </w:hyperlink>
      <w:r w:rsidRPr="001472C6">
        <w:t>,</w:t>
      </w:r>
      <w:r>
        <w:t xml:space="preserve"> </w:t>
      </w:r>
      <w:r>
        <w:rPr>
          <w:i/>
        </w:rPr>
        <w:t xml:space="preserve">supra </w:t>
      </w:r>
      <w:r>
        <w:t>note 19,</w:t>
      </w:r>
      <w:r w:rsidRPr="001472C6">
        <w:t xml:space="preserve"> there is no universally accepted definition of “naked short selling”.  The most common usage is in connection with a short sale when the seller has</w:t>
      </w:r>
      <w:r>
        <w:t xml:space="preserve"> intentionally chosen</w:t>
      </w:r>
      <w:r w:rsidRPr="001472C6">
        <w:t xml:space="preserve"> not</w:t>
      </w:r>
      <w:r>
        <w:t xml:space="preserve"> to make</w:t>
      </w:r>
      <w:r w:rsidRPr="001472C6">
        <w:t xml:space="preserve"> arrangements to borrow any securities that may be required to settle the resulting trade.  Some commentators use a more restrictive interpretation that describes any short sale when the seller has not pre-borrowed the securities necessary for settlement. </w:t>
      </w:r>
    </w:p>
  </w:footnote>
  <w:footnote w:id="66">
    <w:p w14:paraId="36877118" w14:textId="77777777" w:rsidR="00994510" w:rsidRPr="00673010" w:rsidRDefault="00994510" w:rsidP="00C66A40">
      <w:pPr>
        <w:pStyle w:val="footnote"/>
        <w:rPr>
          <w:rFonts w:cs="Times New Roman"/>
          <w:b/>
          <w:szCs w:val="24"/>
        </w:rPr>
      </w:pPr>
      <w:r w:rsidRPr="001472C6">
        <w:rPr>
          <w:rStyle w:val="FootnoteReference"/>
        </w:rPr>
        <w:footnoteRef/>
      </w:r>
      <w:r>
        <w:rPr>
          <w:vertAlign w:val="superscript"/>
        </w:rPr>
        <w:t xml:space="preserve"> </w:t>
      </w:r>
      <w:r w:rsidRPr="001472C6">
        <w:rPr>
          <w:vertAlign w:val="superscript"/>
        </w:rPr>
        <w:t xml:space="preserve"> </w:t>
      </w:r>
      <w:r>
        <w:t xml:space="preserve">Note, in the </w:t>
      </w:r>
      <w:r w:rsidRPr="001472C6">
        <w:t>US, only the short selling volume for individual securities is published daily and individual short sale transactional information is published on a one-month delay but does not contain short seller details.</w:t>
      </w:r>
      <w:r w:rsidRPr="001C6844">
        <w:t xml:space="preserve"> </w:t>
      </w:r>
    </w:p>
  </w:footnote>
  <w:footnote w:id="67">
    <w:p w14:paraId="050A8841" w14:textId="77777777" w:rsidR="00994510" w:rsidRPr="005C17F8" w:rsidRDefault="00994510" w:rsidP="005C17F8">
      <w:pPr>
        <w:pStyle w:val="footnote"/>
      </w:pPr>
      <w:r w:rsidRPr="00CF7E82">
        <w:rPr>
          <w:rStyle w:val="FootnoteReference"/>
        </w:rPr>
        <w:footnoteRef/>
      </w:r>
      <w:r w:rsidRPr="00CF7E82">
        <w:rPr>
          <w:vertAlign w:val="superscript"/>
        </w:rPr>
        <w:t xml:space="preserve"> </w:t>
      </w:r>
      <w:r w:rsidRPr="005C17F8">
        <w:t xml:space="preserve">See </w:t>
      </w:r>
      <w:hyperlink r:id="rId42" w:history="1">
        <w:r w:rsidRPr="00A033FE">
          <w:rPr>
            <w:rStyle w:val="Hyperlink"/>
            <w:i/>
            <w:color w:val="auto"/>
            <w:u w:val="none"/>
          </w:rPr>
          <w:t>Regulation (EU) No 236/2012</w:t>
        </w:r>
        <w:r w:rsidRPr="002E598D">
          <w:rPr>
            <w:rStyle w:val="Hyperlink"/>
            <w:color w:val="auto"/>
            <w:u w:val="none"/>
          </w:rPr>
          <w:t xml:space="preserve"> of the European Parliament and of the Council of 14 March 2012 on short selling and certain aspects of credit default swaps (2012)</w:t>
        </w:r>
      </w:hyperlink>
      <w:r w:rsidRPr="002E598D">
        <w:t xml:space="preserve">.  </w:t>
      </w:r>
      <w:r w:rsidRPr="005C17F8">
        <w:t xml:space="preserve">Note, in 2017 ESMA considered whether to further increase transparency of short positions by publishing aggregate short positions that are currently still confidential. See: European Securities and Markets Authority, Final Report, </w:t>
      </w:r>
      <w:hyperlink r:id="rId43" w:history="1">
        <w:r w:rsidRPr="00D454D1">
          <w:rPr>
            <w:rStyle w:val="Hyperlink"/>
            <w:i/>
            <w:color w:val="auto"/>
            <w:u w:val="none"/>
          </w:rPr>
          <w:t>Technical Advice on the Evaluation of Certain Elements of the Short Selling Regulation</w:t>
        </w:r>
      </w:hyperlink>
      <w:r w:rsidRPr="005C17F8">
        <w:t xml:space="preserve"> (21 December 2017). On </w:t>
      </w:r>
      <w:r>
        <w:t xml:space="preserve">the issue of </w:t>
      </w:r>
      <w:r w:rsidRPr="005C17F8">
        <w:t>transparency</w:t>
      </w:r>
      <w:r>
        <w:t>,</w:t>
      </w:r>
      <w:r w:rsidRPr="005C17F8">
        <w:t xml:space="preserve"> the </w:t>
      </w:r>
      <w:r>
        <w:t>technical advice made by ESMA to the European Commission was</w:t>
      </w:r>
      <w:r w:rsidRPr="005C17F8">
        <w:t>: “practical improvements of the current regime including building a centralised notification and publication system across Europe</w:t>
      </w:r>
      <w:r>
        <w:t>…[and]</w:t>
      </w:r>
      <w:r w:rsidRPr="005C17F8">
        <w:t xml:space="preserve"> supports requiring the LEI for the identification of certain position holders.” More specifically, for the area discussed in the paper, “ESMA also recommends that NCAs should be allowed to periodically publish anonymised aggregated net short positions by issuer on a voluntarily basis when they consider that the issues described above can be adequately addressed in their jurisdiction.” </w:t>
      </w:r>
    </w:p>
  </w:footnote>
  <w:footnote w:id="68">
    <w:p w14:paraId="0019D3A0" w14:textId="77777777" w:rsidR="00994510" w:rsidRPr="005C17F8" w:rsidRDefault="00994510" w:rsidP="006970B0">
      <w:pPr>
        <w:pStyle w:val="footnote"/>
      </w:pPr>
      <w:r w:rsidRPr="00CF7E82">
        <w:rPr>
          <w:rStyle w:val="FootnoteReference"/>
        </w:rPr>
        <w:footnoteRef/>
      </w:r>
      <w:r w:rsidRPr="005C17F8">
        <w:t xml:space="preserve"> In the context of activist short sellers</w:t>
      </w:r>
      <w:r>
        <w:t>,</w:t>
      </w:r>
      <w:r w:rsidRPr="005C17F8">
        <w:t xml:space="preserve"> additional disclosure may be required by the market abuse regulations which provide that conflicts of interest be disclosed by any entity issuing recommendations where it holds a net short or long position of 0.5% or more of the capital of the company concerned by the recommendation. </w:t>
      </w:r>
      <w:r>
        <w:t xml:space="preserve">See </w:t>
      </w:r>
      <w:r w:rsidRPr="00B45DE1">
        <w:rPr>
          <w:i/>
        </w:rPr>
        <w:t>Market Abuse Regulation</w:t>
      </w:r>
      <w:r>
        <w:t xml:space="preserve"> – Regulation 596/2014 of the European Parliament and of the Council.</w:t>
      </w:r>
    </w:p>
  </w:footnote>
  <w:footnote w:id="69">
    <w:p w14:paraId="79D84277" w14:textId="77777777" w:rsidR="00994510" w:rsidRPr="005C17F8" w:rsidRDefault="00994510" w:rsidP="005C17F8">
      <w:pPr>
        <w:pStyle w:val="footnote"/>
      </w:pPr>
      <w:r w:rsidRPr="00CF7E82">
        <w:rPr>
          <w:rStyle w:val="FootnoteReference"/>
        </w:rPr>
        <w:footnoteRef/>
      </w:r>
      <w:r w:rsidRPr="00CF7E82">
        <w:rPr>
          <w:vertAlign w:val="superscript"/>
        </w:rPr>
        <w:t xml:space="preserve"> </w:t>
      </w:r>
      <w:r w:rsidRPr="00497489">
        <w:t>Corrado Malberti, Stephane Rousseau &amp; Konstantinos Sergakis, “The Regulation of Short Selling: A Transatlantic Discussion on Policy Issues and Instruments” (October 6, 2018)</w:t>
      </w:r>
      <w:r>
        <w:t>,</w:t>
      </w:r>
      <w:r w:rsidRPr="00497489">
        <w:t xml:space="preserve"> </w:t>
      </w:r>
      <w:r w:rsidRPr="00497489">
        <w:rPr>
          <w:i/>
        </w:rPr>
        <w:t>Corporate Finance and Capital Markets Law Review</w:t>
      </w:r>
      <w:r w:rsidRPr="00497489">
        <w:t>, RTDF No. 4-2018</w:t>
      </w:r>
      <w:r>
        <w:t>.</w:t>
      </w:r>
      <w:r w:rsidRPr="00497489">
        <w:t xml:space="preserve"> [Malberti, Rousseau &amp; Sergakis]</w:t>
      </w:r>
    </w:p>
  </w:footnote>
  <w:footnote w:id="70">
    <w:p w14:paraId="787AC8EA" w14:textId="77777777" w:rsidR="00994510" w:rsidRPr="005C17F8" w:rsidRDefault="00994510" w:rsidP="005C17F8">
      <w:pPr>
        <w:pStyle w:val="footnote"/>
      </w:pPr>
      <w:r w:rsidRPr="00CF7E82">
        <w:rPr>
          <w:rStyle w:val="FootnoteReference"/>
        </w:rPr>
        <w:footnoteRef/>
      </w:r>
      <w:r w:rsidRPr="005C17F8">
        <w:t xml:space="preserve"> Short sale transaction reporting is the reporting of daily volumes of products that are short sold in the market.</w:t>
      </w:r>
    </w:p>
  </w:footnote>
  <w:footnote w:id="71">
    <w:p w14:paraId="197AA009" w14:textId="77777777" w:rsidR="00994510" w:rsidRPr="005C17F8" w:rsidRDefault="00994510" w:rsidP="005C17F8">
      <w:pPr>
        <w:pStyle w:val="footnote"/>
      </w:pPr>
      <w:r w:rsidRPr="00CF7E82">
        <w:rPr>
          <w:rStyle w:val="FootnoteReference"/>
        </w:rPr>
        <w:footnoteRef/>
      </w:r>
      <w:r w:rsidRPr="005C17F8">
        <w:t xml:space="preserve"> </w:t>
      </w:r>
      <w:r w:rsidRPr="00680378">
        <w:t>A person may be required to report a short position, i.e.</w:t>
      </w:r>
      <w:r>
        <w:t>,</w:t>
      </w:r>
      <w:r w:rsidRPr="00680378">
        <w:t xml:space="preserve"> where the quantity of the product that a person has, when acting in a particular capacity, is less than the quantity of the product that the person has an obligation to deliver when acting in the same capacity.  Short position reporting is exempt where the seller’s short position is less than or equal to (a) $100,000; and (b) 0.01% of the total quantity of securities or products in the relevant class of securities or products.  The total of short positions for financial products on a given reporting day will be published on the ASIC website four days after the reporting day (T+4). These reports will not contain short seller details.</w:t>
      </w:r>
    </w:p>
  </w:footnote>
  <w:footnote w:id="72">
    <w:p w14:paraId="105A49D2" w14:textId="77777777" w:rsidR="00994510" w:rsidRPr="005C17F8" w:rsidRDefault="00994510" w:rsidP="005C17F8">
      <w:pPr>
        <w:pStyle w:val="footnote"/>
      </w:pPr>
      <w:r w:rsidRPr="00CF7E82">
        <w:rPr>
          <w:rStyle w:val="FootnoteReference"/>
        </w:rPr>
        <w:footnoteRef/>
      </w:r>
      <w:r w:rsidRPr="00CF7E82">
        <w:rPr>
          <w:vertAlign w:val="superscript"/>
        </w:rPr>
        <w:t xml:space="preserve"> </w:t>
      </w:r>
      <w:r w:rsidRPr="005C17F8">
        <w:t xml:space="preserve">Australian Securities &amp; Investments Commission, </w:t>
      </w:r>
      <w:hyperlink r:id="rId44" w:history="1">
        <w:r w:rsidRPr="005C17F8">
          <w:rPr>
            <w:rStyle w:val="Hyperlink"/>
            <w:color w:val="auto"/>
            <w:u w:val="none"/>
          </w:rPr>
          <w:t>“Regulatory Guide 196: Short Selling”</w:t>
        </w:r>
      </w:hyperlink>
      <w:r w:rsidRPr="005C17F8">
        <w:t xml:space="preserve"> (October 2018), </w:t>
      </w:r>
      <w:r w:rsidRPr="00962B1B">
        <w:t>see Reg. 196.8</w:t>
      </w:r>
      <w:r w:rsidRPr="005C17F8">
        <w:t xml:space="preserve">. </w:t>
      </w:r>
    </w:p>
  </w:footnote>
  <w:footnote w:id="73">
    <w:p w14:paraId="72CEBAE1" w14:textId="77777777" w:rsidR="00994510" w:rsidRPr="00890845" w:rsidRDefault="00994510" w:rsidP="005C17F8">
      <w:pPr>
        <w:pStyle w:val="footnote"/>
        <w:rPr>
          <w:rFonts w:cs="Times New Roman"/>
          <w:szCs w:val="18"/>
        </w:rPr>
      </w:pPr>
      <w:r w:rsidRPr="00CF7E82">
        <w:rPr>
          <w:rStyle w:val="FootnoteReference"/>
        </w:rPr>
        <w:footnoteRef/>
      </w:r>
      <w:r w:rsidRPr="00CF7E82">
        <w:rPr>
          <w:vertAlign w:val="superscript"/>
        </w:rPr>
        <w:t xml:space="preserve"> </w:t>
      </w:r>
      <w:r w:rsidRPr="00B852F6">
        <w:rPr>
          <w:i/>
        </w:rPr>
        <w:t>Harrington</w:t>
      </w:r>
      <w:r>
        <w:t xml:space="preserve">, </w:t>
      </w:r>
      <w:r w:rsidRPr="004205EE">
        <w:rPr>
          <w:i/>
        </w:rPr>
        <w:t>supra</w:t>
      </w:r>
      <w:r>
        <w:t xml:space="preserve"> note 11.</w:t>
      </w:r>
    </w:p>
  </w:footnote>
  <w:footnote w:id="74">
    <w:p w14:paraId="7FE42F6A" w14:textId="519988D8" w:rsidR="00994510" w:rsidRPr="002E598D" w:rsidRDefault="00994510" w:rsidP="00E52E1A">
      <w:pPr>
        <w:pStyle w:val="footnote"/>
      </w:pPr>
      <w:r w:rsidRPr="002E598D">
        <w:rPr>
          <w:rStyle w:val="FootnoteReference"/>
        </w:rPr>
        <w:footnoteRef/>
      </w:r>
      <w:r w:rsidRPr="002E598D">
        <w:rPr>
          <w:vertAlign w:val="superscript"/>
        </w:rPr>
        <w:t xml:space="preserve"> </w:t>
      </w:r>
      <w:r w:rsidRPr="002E598D">
        <w:t xml:space="preserve">See IOSCO report entitled </w:t>
      </w:r>
      <w:hyperlink r:id="rId45" w:history="1">
        <w:r w:rsidRPr="002E598D">
          <w:rPr>
            <w:rStyle w:val="Hyperlink"/>
            <w:color w:val="auto"/>
            <w:u w:val="none"/>
          </w:rPr>
          <w:t>“Regulation of Short Selling – Final Report”</w:t>
        </w:r>
      </w:hyperlink>
      <w:r w:rsidRPr="002E598D">
        <w:t xml:space="preserve"> (June 2009), which articulates four high-level principles for the effective regulation of short selling and is designed to assist regulators in the management of risk through a regulatory regime for short selling. See also </w:t>
      </w:r>
      <w:r>
        <w:t xml:space="preserve">Joint Notice 23-312 </w:t>
      </w:r>
      <w:hyperlink r:id="rId46" w:history="1">
        <w:r>
          <w:rPr>
            <w:rStyle w:val="Hyperlink"/>
            <w:i/>
            <w:color w:val="auto"/>
            <w:u w:val="none"/>
          </w:rPr>
          <w:t>supra</w:t>
        </w:r>
      </w:hyperlink>
      <w:r>
        <w:rPr>
          <w:rStyle w:val="Hyperlink"/>
          <w:i/>
          <w:color w:val="auto"/>
          <w:u w:val="none"/>
        </w:rPr>
        <w:t xml:space="preserve"> </w:t>
      </w:r>
      <w:r>
        <w:rPr>
          <w:rStyle w:val="Hyperlink"/>
          <w:color w:val="auto"/>
          <w:u w:val="none"/>
        </w:rPr>
        <w:t xml:space="preserve">note 19.  Note the </w:t>
      </w:r>
      <w:r w:rsidRPr="002E598D">
        <w:t xml:space="preserve">International Monetary Fund’s Financial Sector Assessment Program Report  </w:t>
      </w:r>
      <w:hyperlink r:id="rId47" w:history="1">
        <w:r w:rsidRPr="002E598D">
          <w:rPr>
            <w:rStyle w:val="Hyperlink"/>
            <w:color w:val="auto"/>
            <w:u w:val="none"/>
          </w:rPr>
          <w:t>“</w:t>
        </w:r>
        <w:r w:rsidRPr="00E52E1A">
          <w:rPr>
            <w:rStyle w:val="Hyperlink"/>
            <w:i/>
            <w:color w:val="auto"/>
            <w:u w:val="none"/>
          </w:rPr>
          <w:t>Canada : Financial Sector Assessment Program-IOSCO Objectives and Principles of Securities Regulation-Detailed Assessment of Implementation</w:t>
        </w:r>
        <w:r w:rsidRPr="002E598D">
          <w:rPr>
            <w:rStyle w:val="Hyperlink"/>
            <w:color w:val="auto"/>
            <w:u w:val="none"/>
          </w:rPr>
          <w:t>”</w:t>
        </w:r>
      </w:hyperlink>
      <w:r>
        <w:rPr>
          <w:rStyle w:val="Hyperlink"/>
          <w:color w:val="auto"/>
          <w:u w:val="none"/>
        </w:rPr>
        <w:t xml:space="preserve"> which reviewed Canada’s short selling regime as part of Principle 37 (</w:t>
      </w:r>
      <w:r w:rsidRPr="00E52E1A">
        <w:rPr>
          <w:rStyle w:val="Hyperlink"/>
          <w:color w:val="auto"/>
          <w:u w:val="none"/>
        </w:rPr>
        <w:t>Regulation should aim</w:t>
      </w:r>
      <w:r>
        <w:rPr>
          <w:rStyle w:val="Hyperlink"/>
          <w:color w:val="auto"/>
          <w:u w:val="none"/>
        </w:rPr>
        <w:t xml:space="preserve"> </w:t>
      </w:r>
      <w:r w:rsidRPr="00E52E1A">
        <w:rPr>
          <w:rStyle w:val="Hyperlink"/>
          <w:color w:val="auto"/>
          <w:u w:val="none"/>
        </w:rPr>
        <w:t>to ensure the proper management</w:t>
      </w:r>
      <w:r>
        <w:rPr>
          <w:rStyle w:val="Hyperlink"/>
          <w:color w:val="auto"/>
          <w:u w:val="none"/>
        </w:rPr>
        <w:t xml:space="preserve"> </w:t>
      </w:r>
      <w:r w:rsidRPr="00E52E1A">
        <w:rPr>
          <w:rStyle w:val="Hyperlink"/>
          <w:color w:val="auto"/>
          <w:u w:val="none"/>
        </w:rPr>
        <w:t>of large exposures, default risk and</w:t>
      </w:r>
      <w:r>
        <w:rPr>
          <w:rStyle w:val="Hyperlink"/>
          <w:color w:val="auto"/>
          <w:u w:val="none"/>
        </w:rPr>
        <w:t xml:space="preserve"> </w:t>
      </w:r>
      <w:r w:rsidRPr="00E52E1A">
        <w:rPr>
          <w:rStyle w:val="Hyperlink"/>
          <w:color w:val="auto"/>
          <w:u w:val="none"/>
        </w:rPr>
        <w:t>market disruption</w:t>
      </w:r>
      <w:r>
        <w:rPr>
          <w:rStyle w:val="Hyperlink"/>
          <w:color w:val="auto"/>
          <w:u w:val="none"/>
        </w:rPr>
        <w:t>) and it was found to be “fully implemented”</w:t>
      </w:r>
      <w:r w:rsidRPr="002E598D">
        <w:t xml:space="preserve"> (March 7, 2014). </w:t>
      </w:r>
      <w:r>
        <w:t xml:space="preserve"> See p. 18, 27 and 239-243.</w:t>
      </w:r>
    </w:p>
  </w:footnote>
  <w:footnote w:id="75">
    <w:p w14:paraId="6FFBE214" w14:textId="79834708" w:rsidR="00994510" w:rsidRPr="002E598D" w:rsidRDefault="00994510" w:rsidP="002E598D">
      <w:pPr>
        <w:pStyle w:val="footnote"/>
      </w:pPr>
      <w:r w:rsidRPr="002E598D">
        <w:rPr>
          <w:vertAlign w:val="superscript"/>
        </w:rPr>
        <w:footnoteRef/>
      </w:r>
      <w:r w:rsidRPr="002E598D">
        <w:rPr>
          <w:vertAlign w:val="superscript"/>
        </w:rPr>
        <w:t xml:space="preserve"> </w:t>
      </w:r>
      <w:r w:rsidRPr="002E598D">
        <w:t xml:space="preserve">IIROC Notice 12-0078 </w:t>
      </w:r>
      <w:r>
        <w:rPr>
          <w:i/>
        </w:rPr>
        <w:t xml:space="preserve">supra </w:t>
      </w:r>
      <w:r>
        <w:t>note 20</w:t>
      </w:r>
      <w:r w:rsidRPr="002E598D">
        <w:t xml:space="preserve">. </w:t>
      </w:r>
    </w:p>
  </w:footnote>
  <w:footnote w:id="76">
    <w:p w14:paraId="2D1CFAC0" w14:textId="77777777" w:rsidR="00994510" w:rsidRPr="002E598D" w:rsidRDefault="00994510" w:rsidP="002E598D">
      <w:pPr>
        <w:pStyle w:val="footnote"/>
      </w:pPr>
      <w:r w:rsidRPr="002E598D">
        <w:rPr>
          <w:rStyle w:val="FootnoteReference"/>
        </w:rPr>
        <w:footnoteRef/>
      </w:r>
      <w:r w:rsidRPr="002E598D">
        <w:rPr>
          <w:vertAlign w:val="superscript"/>
        </w:rPr>
        <w:t xml:space="preserve"> </w:t>
      </w:r>
      <w:r w:rsidRPr="002E598D">
        <w:t>The tick test was a requirement under UMIR that a short sale not be made at a price which is less than the last sale price of the security.</w:t>
      </w:r>
    </w:p>
  </w:footnote>
  <w:footnote w:id="77">
    <w:p w14:paraId="4BCC575D" w14:textId="589C8632" w:rsidR="00994510" w:rsidRPr="0095039D" w:rsidRDefault="00994510" w:rsidP="00E572C2">
      <w:pPr>
        <w:pStyle w:val="footnote"/>
        <w:rPr>
          <w:lang w:val="en-US"/>
        </w:rPr>
      </w:pPr>
      <w:r>
        <w:rPr>
          <w:rStyle w:val="FootnoteReference"/>
        </w:rPr>
        <w:footnoteRef/>
      </w:r>
      <w:r>
        <w:rPr>
          <w:lang w:val="en-US"/>
        </w:rPr>
        <w:t xml:space="preserve"> See footnote 55.</w:t>
      </w:r>
    </w:p>
  </w:footnote>
  <w:footnote w:id="78">
    <w:p w14:paraId="79406CCA" w14:textId="77777777" w:rsidR="00994510" w:rsidRPr="002E598D" w:rsidRDefault="00994510" w:rsidP="002E598D">
      <w:pPr>
        <w:pStyle w:val="footnote"/>
      </w:pPr>
      <w:r w:rsidRPr="002E598D">
        <w:rPr>
          <w:rStyle w:val="FootnoteReference"/>
        </w:rPr>
        <w:footnoteRef/>
      </w:r>
      <w:r w:rsidRPr="002E598D">
        <w:rPr>
          <w:vertAlign w:val="superscript"/>
        </w:rPr>
        <w:t xml:space="preserve"> </w:t>
      </w:r>
      <w:r w:rsidRPr="002E598D">
        <w:t xml:space="preserve">Joint Notice 23-312, </w:t>
      </w:r>
      <w:r w:rsidRPr="00B6662F">
        <w:rPr>
          <w:i/>
          <w:iCs/>
        </w:rPr>
        <w:t>supra</w:t>
      </w:r>
      <w:r w:rsidRPr="002E598D">
        <w:t xml:space="preserve"> note 1</w:t>
      </w:r>
      <w:r>
        <w:t>9</w:t>
      </w:r>
      <w:r w:rsidRPr="002E598D">
        <w:t>.</w:t>
      </w:r>
    </w:p>
  </w:footnote>
  <w:footnote w:id="79">
    <w:p w14:paraId="379A71B3" w14:textId="77777777" w:rsidR="00994510" w:rsidRPr="002E598D" w:rsidRDefault="00994510" w:rsidP="002E598D">
      <w:pPr>
        <w:pStyle w:val="footnote"/>
      </w:pPr>
      <w:r w:rsidRPr="002E598D">
        <w:rPr>
          <w:rStyle w:val="FootnoteReference"/>
        </w:rPr>
        <w:footnoteRef/>
      </w:r>
      <w:r w:rsidRPr="002E598D">
        <w:rPr>
          <w:vertAlign w:val="superscript"/>
        </w:rPr>
        <w:t xml:space="preserve"> </w:t>
      </w:r>
      <w:r w:rsidRPr="002E598D">
        <w:t xml:space="preserve">See </w:t>
      </w:r>
      <w:hyperlink r:id="rId48" w:history="1">
        <w:r w:rsidRPr="002E598D">
          <w:rPr>
            <w:rStyle w:val="Hyperlink"/>
            <w:color w:val="auto"/>
            <w:u w:val="none"/>
          </w:rPr>
          <w:t xml:space="preserve">IIROC </w:t>
        </w:r>
        <w:r w:rsidRPr="00E572C2">
          <w:rPr>
            <w:rStyle w:val="Hyperlink"/>
            <w:i/>
            <w:color w:val="auto"/>
            <w:u w:val="none"/>
          </w:rPr>
          <w:t>Study on the Impact of the Prohibition on the Short Sale of Inter-listed Financial Sector Issuers</w:t>
        </w:r>
      </w:hyperlink>
      <w:r w:rsidRPr="002E598D">
        <w:t xml:space="preserve"> (February 2009)</w:t>
      </w:r>
      <w:r>
        <w:t xml:space="preserve"> [IIROC Study]</w:t>
      </w:r>
      <w:r w:rsidRPr="002E598D">
        <w:t xml:space="preserve">. </w:t>
      </w:r>
    </w:p>
  </w:footnote>
  <w:footnote w:id="80">
    <w:p w14:paraId="3B08C4A8" w14:textId="77777777" w:rsidR="00994510" w:rsidRPr="002E598D" w:rsidRDefault="00994510" w:rsidP="002E598D">
      <w:pPr>
        <w:pStyle w:val="footnote"/>
      </w:pPr>
      <w:r w:rsidRPr="002E598D">
        <w:rPr>
          <w:rStyle w:val="FootnoteReference"/>
        </w:rPr>
        <w:footnoteRef/>
      </w:r>
      <w:r w:rsidRPr="002E598D">
        <w:rPr>
          <w:vertAlign w:val="superscript"/>
        </w:rPr>
        <w:t xml:space="preserve"> </w:t>
      </w:r>
      <w:r w:rsidRPr="002E598D">
        <w:t xml:space="preserve">CSA/IIROC Notice 23-315 </w:t>
      </w:r>
      <w:r w:rsidRPr="002E598D">
        <w:rPr>
          <w:i/>
          <w:iCs/>
        </w:rPr>
        <w:t xml:space="preserve">Summary of Comments on CSA IIROC Notice 23-312 </w:t>
      </w:r>
      <w:hyperlink r:id="rId49" w:history="1">
        <w:r w:rsidRPr="00E572C2">
          <w:rPr>
            <w:rStyle w:val="Hyperlink"/>
            <w:i/>
            <w:iCs/>
          </w:rPr>
          <w:t>Request for Comments – Transparency of Short Selling and Failed Trades</w:t>
        </w:r>
      </w:hyperlink>
      <w:r w:rsidRPr="002E598D">
        <w:t>, (28 February 2013).</w:t>
      </w:r>
    </w:p>
  </w:footnote>
  <w:footnote w:id="81">
    <w:p w14:paraId="5A6D38B2" w14:textId="77777777" w:rsidR="00994510" w:rsidRPr="00597B74" w:rsidRDefault="00994510" w:rsidP="002E598D">
      <w:pPr>
        <w:pStyle w:val="footnote"/>
        <w:rPr>
          <w:lang w:val="en-US"/>
        </w:rPr>
      </w:pPr>
      <w:r w:rsidRPr="002E598D">
        <w:rPr>
          <w:rStyle w:val="FootnoteReference"/>
        </w:rPr>
        <w:footnoteRef/>
      </w:r>
      <w:r w:rsidRPr="002E598D">
        <w:rPr>
          <w:vertAlign w:val="superscript"/>
        </w:rPr>
        <w:t xml:space="preserve"> </w:t>
      </w:r>
      <w:r w:rsidRPr="002E598D">
        <w:t xml:space="preserve">See </w:t>
      </w:r>
      <w:hyperlink r:id="rId50" w:history="1">
        <w:r w:rsidRPr="002E598D">
          <w:rPr>
            <w:rStyle w:val="Hyperlink"/>
            <w:color w:val="auto"/>
            <w:u w:val="none"/>
          </w:rPr>
          <w:t xml:space="preserve">Securities and Exchange Commission, 2016a. </w:t>
        </w:r>
        <w:r w:rsidRPr="00FE13CA">
          <w:rPr>
            <w:rStyle w:val="Hyperlink"/>
            <w:i/>
            <w:color w:val="auto"/>
            <w:u w:val="none"/>
          </w:rPr>
          <w:t>Frequently Requested FOIA Document: Fails-to-Deliver Data</w:t>
        </w:r>
        <w:r w:rsidRPr="002E598D">
          <w:rPr>
            <w:rStyle w:val="Hyperlink"/>
            <w:color w:val="auto"/>
            <w:u w:val="none"/>
          </w:rPr>
          <w:t xml:space="preserve"> — Archive Data</w:t>
        </w:r>
      </w:hyperlink>
      <w:r w:rsidRPr="002E598D">
        <w:t xml:space="preserve">. See also </w:t>
      </w:r>
      <w:r>
        <w:t>Talis J Putnins</w:t>
      </w:r>
      <w:r w:rsidRPr="002E598D">
        <w:t xml:space="preserve">, </w:t>
      </w:r>
      <w:r>
        <w:t>“</w:t>
      </w:r>
      <w:r w:rsidRPr="002E598D">
        <w:t>Naked Short Sales and Fails to Deliver: An Overview of Clearing and Settlement Procedures for Stock Trades in the US</w:t>
      </w:r>
      <w:r>
        <w:t>”</w:t>
      </w:r>
      <w:r w:rsidRPr="002E598D">
        <w:t xml:space="preserve"> (October 27, 2009). </w:t>
      </w:r>
      <w:r w:rsidRPr="00FE13CA">
        <w:rPr>
          <w:i/>
        </w:rPr>
        <w:t>Journal of Securities Operations and Custody</w:t>
      </w:r>
      <w:r w:rsidRPr="002E598D">
        <w:t>, Forthcoming</w:t>
      </w:r>
      <w:r>
        <w:t xml:space="preserve">, available at </w:t>
      </w:r>
      <w:hyperlink r:id="rId51" w:history="1">
        <w:r w:rsidRPr="00E6490A">
          <w:rPr>
            <w:rStyle w:val="Hyperlink"/>
            <w:color w:val="auto"/>
            <w:u w:val="none"/>
          </w:rPr>
          <w:t>SSRN</w:t>
        </w:r>
      </w:hyperlink>
      <w:r>
        <w:t>.</w:t>
      </w:r>
    </w:p>
  </w:footnote>
  <w:footnote w:id="82">
    <w:p w14:paraId="2B24F270" w14:textId="77777777" w:rsidR="00994510" w:rsidRPr="00F55906" w:rsidRDefault="00994510" w:rsidP="0002738C">
      <w:pPr>
        <w:pStyle w:val="footnote"/>
      </w:pPr>
      <w:r w:rsidRPr="00EA6233">
        <w:rPr>
          <w:rStyle w:val="FootnoteReference"/>
        </w:rPr>
        <w:footnoteRef/>
      </w:r>
      <w:r w:rsidRPr="00413E86">
        <w:t xml:space="preserve"> </w:t>
      </w:r>
      <w:r>
        <w:t>Note ESMA has adopted new rules related to failed trades set to come into effect next year.   T</w:t>
      </w:r>
      <w:r w:rsidRPr="001E4074">
        <w:t>rades that fail to settle — usually within a window of two or three days — face a mandatory “buy-in” to close the deal</w:t>
      </w:r>
      <w:r>
        <w:t xml:space="preserve"> and cash penalties on failed transactions.</w:t>
      </w:r>
      <w:r w:rsidRPr="0002738C">
        <w:t xml:space="preserve"> </w:t>
      </w:r>
      <w:r>
        <w:t xml:space="preserve">Commission Delegated Regulation (EU) 2018/1229 of 25 May 2018 supplementing Regulation (EU) No 909/2014 of the European Parliament and of the Council with regard to regulatory technical standards on settlement discipline.  See ESMA Final Report - </w:t>
      </w:r>
      <w:hyperlink r:id="rId52" w:history="1">
        <w:r w:rsidRPr="004A202A">
          <w:rPr>
            <w:i/>
          </w:rPr>
          <w:t>CSDR RTS on Settlement Discipline – postponed entry into force</w:t>
        </w:r>
      </w:hyperlink>
      <w:r>
        <w:rPr>
          <w:i/>
        </w:rPr>
        <w:t xml:space="preserve"> </w:t>
      </w:r>
      <w:r>
        <w:t>(4 February 2020).</w:t>
      </w:r>
    </w:p>
  </w:footnote>
  <w:footnote w:id="83">
    <w:p w14:paraId="43756A22" w14:textId="77777777" w:rsidR="00994510" w:rsidRPr="00413E86" w:rsidRDefault="00994510" w:rsidP="00413E86">
      <w:pPr>
        <w:pStyle w:val="footnote"/>
      </w:pPr>
      <w:r w:rsidRPr="00EA6233">
        <w:rPr>
          <w:rStyle w:val="FootnoteReference"/>
        </w:rPr>
        <w:footnoteRef/>
      </w:r>
      <w:r w:rsidRPr="00EA6233">
        <w:rPr>
          <w:vertAlign w:val="superscript"/>
        </w:rPr>
        <w:t xml:space="preserve"> </w:t>
      </w:r>
      <w:r w:rsidRPr="00413E86">
        <w:t>E.g</w:t>
      </w:r>
      <w:r>
        <w:t>.</w:t>
      </w:r>
      <w:r w:rsidRPr="00413E86">
        <w:t xml:space="preserve"> Issues around transparency and disclosure of short selling information, lack of locate requirement and lack of a tick test in Canada. </w:t>
      </w:r>
      <w:r>
        <w:t xml:space="preserve">See: Davis et al, </w:t>
      </w:r>
      <w:r w:rsidRPr="2E96ABE4">
        <w:rPr>
          <w:i/>
          <w:iCs/>
        </w:rPr>
        <w:t xml:space="preserve">supra </w:t>
      </w:r>
      <w:r>
        <w:t xml:space="preserve">note 12. </w:t>
      </w:r>
    </w:p>
  </w:footnote>
  <w:footnote w:id="84">
    <w:p w14:paraId="21C6BF78" w14:textId="43CDB08E" w:rsidR="00994510" w:rsidRPr="006110C2" w:rsidRDefault="00994510" w:rsidP="006110C2">
      <w:pPr>
        <w:pStyle w:val="footnote"/>
        <w:rPr>
          <w:lang w:val="en-US"/>
        </w:rPr>
      </w:pPr>
      <w:r>
        <w:rPr>
          <w:rStyle w:val="FootnoteReference"/>
        </w:rPr>
        <w:footnoteRef/>
      </w:r>
      <w:r>
        <w:t xml:space="preserve"> </w:t>
      </w:r>
      <w:r w:rsidRPr="00413E86">
        <w:t xml:space="preserve">Lawrence Delevingne, Simon Jessop, &amp; Jonathan Spicer, </w:t>
      </w:r>
      <w:hyperlink r:id="rId53" w:history="1">
        <w:r w:rsidRPr="00413E86">
          <w:rPr>
            <w:rStyle w:val="Hyperlink"/>
            <w:color w:val="auto"/>
            <w:u w:val="none"/>
          </w:rPr>
          <w:t>“Return of short-selling bans: market protection of ‘war against truth’?”</w:t>
        </w:r>
      </w:hyperlink>
      <w:r w:rsidRPr="00413E86">
        <w:t xml:space="preserve">, </w:t>
      </w:r>
      <w:r w:rsidRPr="00875363">
        <w:rPr>
          <w:i/>
          <w:iCs/>
        </w:rPr>
        <w:t>Reuters (</w:t>
      </w:r>
      <w:r w:rsidRPr="00413E86">
        <w:t xml:space="preserve">19 November 2019). </w:t>
      </w:r>
      <w:r w:rsidRPr="008C50DD">
        <w:t xml:space="preserve"> </w:t>
      </w:r>
    </w:p>
  </w:footnote>
  <w:footnote w:id="85">
    <w:p w14:paraId="0A758414" w14:textId="77777777" w:rsidR="00994510" w:rsidRPr="00413E86" w:rsidRDefault="00994510" w:rsidP="00413E86">
      <w:pPr>
        <w:pStyle w:val="footnote"/>
      </w:pPr>
      <w:r w:rsidRPr="00875363">
        <w:rPr>
          <w:rStyle w:val="FootnoteReference"/>
        </w:rPr>
        <w:footnoteRef/>
      </w:r>
      <w:r w:rsidRPr="00413E86">
        <w:t xml:space="preserve"> GPIF claimed that the current framework lacks transparency over who is the "ultimate borrower" of a stock after a short seller sells the shares loaned to them</w:t>
      </w:r>
      <w:r>
        <w:t xml:space="preserve"> </w:t>
      </w:r>
      <w:r w:rsidRPr="00413E86">
        <w:t xml:space="preserve">and added that a third party could vote GPIF shares contrary to GPIF’s policies or interests. GPIF has not ruled out returning to the stock lending space in the future but clarified that "improvements" to "enhance transparency" would need to be introduced first. See: Billy Nauman &amp; Leo Lewis, </w:t>
      </w:r>
      <w:hyperlink r:id="rId54" w:history="1">
        <w:r w:rsidRPr="00413E86">
          <w:rPr>
            <w:rStyle w:val="Hyperlink"/>
            <w:color w:val="auto"/>
            <w:u w:val="none"/>
          </w:rPr>
          <w:t>“This is a decision between making cash immediately or being better stewards for our constituency”</w:t>
        </w:r>
      </w:hyperlink>
      <w:r w:rsidRPr="00413E86">
        <w:t xml:space="preserve">, </w:t>
      </w:r>
      <w:r w:rsidRPr="00F55906">
        <w:rPr>
          <w:i/>
        </w:rPr>
        <w:t>The Financial Times</w:t>
      </w:r>
      <w:r w:rsidRPr="00413E86">
        <w:t xml:space="preserve"> (12 December 2019).</w:t>
      </w:r>
      <w:r w:rsidRPr="004A202A">
        <w:t xml:space="preserve"> This decision was not without cost, as it has been estimated the GPIF earned approximately US$115 million in fees annually through stock lending.</w:t>
      </w:r>
      <w:r>
        <w:t xml:space="preserve">  See Tim Kelly, </w:t>
      </w:r>
      <w:r w:rsidRPr="00FA7B7A">
        <w:t>“</w:t>
      </w:r>
      <w:hyperlink r:id="rId55" w:history="1">
        <w:r w:rsidRPr="00FA7B7A">
          <w:t>World’s largest pension fund halts stock lending to short sellers</w:t>
        </w:r>
      </w:hyperlink>
      <w:r>
        <w:t xml:space="preserve">,” </w:t>
      </w:r>
      <w:r>
        <w:rPr>
          <w:i/>
        </w:rPr>
        <w:t>Reuters</w:t>
      </w:r>
      <w:r>
        <w:t xml:space="preserve"> (3 December 2019).  </w:t>
      </w:r>
    </w:p>
  </w:footnote>
  <w:footnote w:id="86">
    <w:p w14:paraId="5958B20E" w14:textId="33EEA1E4" w:rsidR="00994510" w:rsidRPr="00413E86" w:rsidRDefault="00994510" w:rsidP="00413E86">
      <w:pPr>
        <w:pStyle w:val="footnote"/>
      </w:pPr>
      <w:r w:rsidRPr="00875363">
        <w:rPr>
          <w:rStyle w:val="FootnoteReference"/>
        </w:rPr>
        <w:footnoteRef/>
      </w:r>
      <w:r w:rsidRPr="00875363">
        <w:rPr>
          <w:vertAlign w:val="superscript"/>
        </w:rPr>
        <w:t xml:space="preserve"> </w:t>
      </w:r>
      <w:r w:rsidRPr="00940878">
        <w:t>Note that in 2020, following the short sale ban and a subsequent special audit by KPMG it was uncovered that approximately €1.9 billion on Wirecard’s balance sheet could not be verified, and likely did not exist. This accounting scandal has not only resulted in the collapse of Wirecard, but also prompted ESMA to assess the supervisory response of Germany’s financial regulator and oversight bodies in the events leading up to its collapse.  On November 3, 2020, ESMA published the results of its Fast Track Peer Review</w:t>
      </w:r>
      <w:r>
        <w:t>.</w:t>
      </w:r>
      <w:r w:rsidRPr="00940878">
        <w:t xml:space="preserve"> See: "</w:t>
      </w:r>
      <w:hyperlink r:id="rId56" w:history="1">
        <w:r w:rsidRPr="00007D18">
          <w:rPr>
            <w:rStyle w:val="Hyperlink"/>
          </w:rPr>
          <w:t>Fast Track Peer Review on the Application of the Guidelines on the Enforcement of Financial Information (ESMA/2014/1293) by BaFin and FREP in the Context of Wirecard</w:t>
        </w:r>
      </w:hyperlink>
      <w:r w:rsidRPr="00940878">
        <w:t>."</w:t>
      </w:r>
      <w:r w:rsidRPr="008C50DD">
        <w:tab/>
      </w:r>
    </w:p>
  </w:footnote>
  <w:footnote w:id="87">
    <w:p w14:paraId="3AB3A52B" w14:textId="4A6CB2B8" w:rsidR="00994510" w:rsidRPr="00705AD2" w:rsidRDefault="00994510" w:rsidP="005806E8">
      <w:pPr>
        <w:pStyle w:val="footnote"/>
        <w:rPr>
          <w:highlight w:val="yellow"/>
        </w:rPr>
      </w:pPr>
      <w:r w:rsidRPr="005806E8">
        <w:rPr>
          <w:rStyle w:val="FootnoteReference"/>
        </w:rPr>
        <w:footnoteRef/>
      </w:r>
      <w:r>
        <w:t xml:space="preserve"> </w:t>
      </w:r>
      <w:r w:rsidRPr="005806E8">
        <w:t>David Keohane and Harriet Agnew, “</w:t>
      </w:r>
      <w:hyperlink r:id="rId57" w:history="1">
        <w:r w:rsidRPr="002C18D8">
          <w:t>France seeks crackdown on short sellers and activist investors</w:t>
        </w:r>
      </w:hyperlink>
      <w:r w:rsidRPr="002C18D8">
        <w:t xml:space="preserve">”, </w:t>
      </w:r>
      <w:r w:rsidRPr="002C18D8">
        <w:rPr>
          <w:i/>
        </w:rPr>
        <w:t>FT Online</w:t>
      </w:r>
      <w:r w:rsidRPr="002C18D8">
        <w:t xml:space="preserve"> (2 October 2019)</w:t>
      </w:r>
      <w:r>
        <w:t xml:space="preserve">; Woerth Report, </w:t>
      </w:r>
      <w:r>
        <w:rPr>
          <w:i/>
        </w:rPr>
        <w:t xml:space="preserve">supra </w:t>
      </w:r>
      <w:r>
        <w:t>note 54.</w:t>
      </w:r>
    </w:p>
  </w:footnote>
  <w:footnote w:id="88">
    <w:p w14:paraId="18D4338C" w14:textId="22D5054B" w:rsidR="00994510" w:rsidRPr="00413E86" w:rsidRDefault="00994510" w:rsidP="00413E86">
      <w:pPr>
        <w:pStyle w:val="footnote"/>
      </w:pPr>
      <w:r w:rsidRPr="00875363">
        <w:rPr>
          <w:rStyle w:val="FootnoteReference"/>
        </w:rPr>
        <w:footnoteRef/>
      </w:r>
      <w:r w:rsidRPr="00875363">
        <w:rPr>
          <w:vertAlign w:val="superscript"/>
        </w:rPr>
        <w:t xml:space="preserve"> </w:t>
      </w:r>
      <w:r w:rsidRPr="001143A8">
        <w:t xml:space="preserve">Malberti, Rousseau &amp; Sergakis, </w:t>
      </w:r>
      <w:r w:rsidRPr="00266697">
        <w:rPr>
          <w:i/>
        </w:rPr>
        <w:t>supra</w:t>
      </w:r>
      <w:r w:rsidRPr="001143A8">
        <w:t xml:space="preserve"> note </w:t>
      </w:r>
      <w:r>
        <w:t>69</w:t>
      </w:r>
      <w:r w:rsidRPr="00875363">
        <w:t>; Julien Mazzacurati “</w:t>
      </w:r>
      <w:hyperlink r:id="rId58" w:history="1">
        <w:r w:rsidRPr="00E95522">
          <w:t>The public disclosure of net short positions</w:t>
        </w:r>
      </w:hyperlink>
      <w:r w:rsidRPr="00875363">
        <w:t xml:space="preserve">” </w:t>
      </w:r>
      <w:r>
        <w:t>in</w:t>
      </w:r>
      <w:r w:rsidRPr="00F40401">
        <w:rPr>
          <w:i/>
        </w:rPr>
        <w:t xml:space="preserve"> ESMA Report on Trends, Risks, Vulnerabilities</w:t>
      </w:r>
      <w:r w:rsidRPr="00875363">
        <w:t>, No 1</w:t>
      </w:r>
      <w:r>
        <w:t xml:space="preserve"> (2018) at 60</w:t>
      </w:r>
      <w:r w:rsidRPr="00875363">
        <w:t>. See also at E</w:t>
      </w:r>
      <w:r>
        <w:t>SMA</w:t>
      </w:r>
      <w:r w:rsidRPr="00875363">
        <w:t xml:space="preserve"> </w:t>
      </w:r>
      <w:hyperlink r:id="rId59" w:history="1">
        <w:r w:rsidRPr="00E95522">
          <w:rPr>
            <w:i/>
          </w:rPr>
          <w:t>Final Report -Technical Advice on the evaluation of certain elements of the Short Selling Regulation</w:t>
        </w:r>
      </w:hyperlink>
      <w:r w:rsidRPr="00875363">
        <w:t xml:space="preserve"> (December 21, 2017) at p. 51.  ESMA confirmed that “some investors avoid crossing the 0.5% threshold, as reflected in the lower frequency of short position increases and relatively longer duration of positions just below the threshold.” </w:t>
      </w:r>
    </w:p>
  </w:footnote>
  <w:footnote w:id="89">
    <w:p w14:paraId="1FCA3BEE" w14:textId="57CBF602" w:rsidR="00994510" w:rsidRPr="00FB146D" w:rsidRDefault="00994510" w:rsidP="00413E86">
      <w:pPr>
        <w:pStyle w:val="footnote"/>
        <w:rPr>
          <w:lang w:val="en-US"/>
        </w:rPr>
      </w:pPr>
      <w:r w:rsidRPr="00875363">
        <w:rPr>
          <w:rStyle w:val="FootnoteReference"/>
        </w:rPr>
        <w:footnoteRef/>
      </w:r>
      <w:r w:rsidRPr="00413E86">
        <w:t xml:space="preserve"> Bliss, Molk &amp; Partnoy, </w:t>
      </w:r>
      <w:r w:rsidRPr="00875363">
        <w:rPr>
          <w:i/>
          <w:iCs/>
        </w:rPr>
        <w:t xml:space="preserve">supra </w:t>
      </w:r>
      <w:r w:rsidRPr="00413E86">
        <w:t xml:space="preserve">note </w:t>
      </w:r>
      <w:r>
        <w:t>8</w:t>
      </w:r>
      <w:r w:rsidRPr="00413E86">
        <w:t xml:space="preserve"> at 14, 17. “Owen Lamont provides evidence that firms take legal and regulatory action against shorts sellers, by alleging criminal conduct, suing them, hiring private investigators, asking public authorities to investigate them, and manipulating securities markets to impede short selling.” See: </w:t>
      </w:r>
      <w:r>
        <w:t xml:space="preserve">Lamont, </w:t>
      </w:r>
      <w:r w:rsidRPr="0041557A">
        <w:rPr>
          <w:i/>
          <w:iCs/>
        </w:rPr>
        <w:t xml:space="preserve">supra </w:t>
      </w:r>
      <w:r>
        <w:t xml:space="preserve">note 21. </w:t>
      </w:r>
    </w:p>
  </w:footnote>
  <w:footnote w:id="90">
    <w:p w14:paraId="2C69EA89" w14:textId="77777777" w:rsidR="00994510" w:rsidRPr="00FA6504" w:rsidRDefault="00994510" w:rsidP="00FA6504">
      <w:pPr>
        <w:pStyle w:val="footnote"/>
      </w:pPr>
      <w:r w:rsidRPr="00636A51">
        <w:rPr>
          <w:rStyle w:val="FootnoteReference"/>
        </w:rPr>
        <w:footnoteRef/>
      </w:r>
      <w:r w:rsidRPr="00636A51">
        <w:rPr>
          <w:vertAlign w:val="superscript"/>
        </w:rPr>
        <w:t xml:space="preserve"> </w:t>
      </w:r>
      <w:r w:rsidRPr="00FA6504">
        <w:t xml:space="preserve">Rients Galema and Dirk Gerritsen, </w:t>
      </w:r>
      <w:hyperlink r:id="rId60" w:history="1">
        <w:r w:rsidRPr="00FA6504">
          <w:rPr>
            <w:rStyle w:val="Hyperlink"/>
            <w:color w:val="auto"/>
            <w:u w:val="none"/>
          </w:rPr>
          <w:t>“The effect of the accidental disclosure of confidential short sales positions”</w:t>
        </w:r>
      </w:hyperlink>
      <w:r w:rsidRPr="00FA6504">
        <w:t xml:space="preserve"> (2018) Finance Research Letters, Forthcoming. </w:t>
      </w:r>
    </w:p>
  </w:footnote>
  <w:footnote w:id="91">
    <w:p w14:paraId="765751C6" w14:textId="77777777" w:rsidR="00994510" w:rsidRPr="00FA6504" w:rsidRDefault="00994510" w:rsidP="00FA6504">
      <w:pPr>
        <w:pStyle w:val="footnote"/>
      </w:pPr>
      <w:r w:rsidRPr="00636A51">
        <w:rPr>
          <w:rStyle w:val="FootnoteReference"/>
        </w:rPr>
        <w:footnoteRef/>
      </w:r>
      <w:r w:rsidRPr="00636A51">
        <w:rPr>
          <w:vertAlign w:val="superscript"/>
        </w:rPr>
        <w:t xml:space="preserve"> </w:t>
      </w:r>
      <w:r w:rsidRPr="00FA6504">
        <w:t xml:space="preserve">Bliss, Molk &amp; Partnoy, </w:t>
      </w:r>
      <w:r w:rsidRPr="00636A51">
        <w:rPr>
          <w:i/>
          <w:iCs/>
        </w:rPr>
        <w:t xml:space="preserve">supra </w:t>
      </w:r>
      <w:r w:rsidRPr="00FA6504">
        <w:t xml:space="preserve">note </w:t>
      </w:r>
      <w:r>
        <w:t>8</w:t>
      </w:r>
      <w:r w:rsidRPr="00FA6504">
        <w:t xml:space="preserve"> at 46-47. </w:t>
      </w:r>
    </w:p>
  </w:footnote>
  <w:footnote w:id="92">
    <w:p w14:paraId="0EE90820" w14:textId="77777777" w:rsidR="00994510" w:rsidRPr="00FA6504" w:rsidRDefault="00994510" w:rsidP="00FA6504">
      <w:pPr>
        <w:pStyle w:val="footnote"/>
      </w:pPr>
      <w:r w:rsidRPr="00636A51">
        <w:rPr>
          <w:rStyle w:val="FootnoteReference"/>
        </w:rPr>
        <w:footnoteRef/>
      </w:r>
      <w:r w:rsidRPr="00636A51">
        <w:rPr>
          <w:vertAlign w:val="superscript"/>
        </w:rPr>
        <w:t xml:space="preserve"> </w:t>
      </w:r>
      <w:r w:rsidRPr="00FA6504">
        <w:t xml:space="preserve">See </w:t>
      </w:r>
      <w:hyperlink r:id="rId61" w:history="1">
        <w:r w:rsidRPr="00367EDA">
          <w:rPr>
            <w:rStyle w:val="Hyperlink"/>
            <w:i/>
            <w:color w:val="auto"/>
            <w:u w:val="none"/>
          </w:rPr>
          <w:t>Petition for Rule Making on Short and Distort</w:t>
        </w:r>
      </w:hyperlink>
      <w:r w:rsidRPr="00FA6504">
        <w:t>, Letter to Vanessa Countryman, Secretary of U.S. Securities and Exchange Commission (February 16, 2020)</w:t>
      </w:r>
      <w:r>
        <w:t>;</w:t>
      </w:r>
      <w:r w:rsidRPr="00D958EA">
        <w:t xml:space="preserve"> </w:t>
      </w:r>
      <w:r>
        <w:t xml:space="preserve">John </w:t>
      </w:r>
      <w:r w:rsidRPr="00FA6504">
        <w:t>Coffee Jr</w:t>
      </w:r>
      <w:r>
        <w:t xml:space="preserve"> &amp;</w:t>
      </w:r>
      <w:r w:rsidRPr="00FA6504">
        <w:t xml:space="preserve"> Joshua</w:t>
      </w:r>
      <w:r>
        <w:t xml:space="preserve"> Mitts</w:t>
      </w:r>
      <w:r w:rsidRPr="00FA6504">
        <w:t xml:space="preserve">, </w:t>
      </w:r>
      <w:hyperlink r:id="rId62" w:history="1">
        <w:r w:rsidRPr="00FA6504">
          <w:rPr>
            <w:rStyle w:val="Hyperlink"/>
            <w:color w:val="auto"/>
            <w:u w:val="none"/>
          </w:rPr>
          <w:t>“Petition for Rule Making on Short and Distort”</w:t>
        </w:r>
      </w:hyperlink>
      <w:r w:rsidRPr="00FA6504">
        <w:t xml:space="preserve">, </w:t>
      </w:r>
      <w:r w:rsidRPr="00367EDA">
        <w:rPr>
          <w:i/>
        </w:rPr>
        <w:t>The CLS Blue Sky Blog</w:t>
      </w:r>
      <w:r w:rsidRPr="00FA6504">
        <w:t xml:space="preserve"> (February 18, 2020).</w:t>
      </w:r>
      <w:r w:rsidRPr="00D958EA">
        <w:t xml:space="preserve"> </w:t>
      </w:r>
    </w:p>
  </w:footnote>
  <w:footnote w:id="93">
    <w:p w14:paraId="1CE97C62" w14:textId="77777777" w:rsidR="00994510" w:rsidRPr="008D4131" w:rsidRDefault="00994510" w:rsidP="00FA6504">
      <w:pPr>
        <w:pStyle w:val="footnote"/>
        <w:rPr>
          <w:lang w:val="en-US"/>
        </w:rPr>
      </w:pPr>
      <w:r w:rsidRPr="00636A51">
        <w:rPr>
          <w:rStyle w:val="FootnoteReference"/>
        </w:rPr>
        <w:footnoteRef/>
      </w:r>
      <w:r w:rsidRPr="00636A51">
        <w:rPr>
          <w:vertAlign w:val="superscript"/>
        </w:rPr>
        <w:t xml:space="preserve"> </w:t>
      </w:r>
      <w:r w:rsidRPr="00367EDA">
        <w:rPr>
          <w:i/>
        </w:rPr>
        <w:t>Ibid</w:t>
      </w:r>
      <w:r>
        <w:t>. T</w:t>
      </w:r>
      <w:r w:rsidRPr="00FA6504">
        <w:t>he authors have also asked the SEC to confirm that rapidly closing a position after publishing a report, without specifically disclosing an intent to do so can constitute fraud in violation of Rule 10b-5, and propose a safe harbour provision for closing at a price that is the equal to or lower the valuation stated or implied in the report.</w:t>
      </w:r>
      <w:r>
        <w:t xml:space="preserve"> </w:t>
      </w:r>
    </w:p>
  </w:footnote>
  <w:footnote w:id="94">
    <w:p w14:paraId="44557D63" w14:textId="77777777" w:rsidR="00994510" w:rsidRPr="005C5098" w:rsidRDefault="00994510" w:rsidP="2E96ABE4">
      <w:pPr>
        <w:pStyle w:val="footnote"/>
        <w:rPr>
          <w:lang w:val="en-US"/>
        </w:rPr>
      </w:pPr>
      <w:r>
        <w:rPr>
          <w:rStyle w:val="FootnoteReference"/>
        </w:rPr>
        <w:footnoteRef/>
      </w:r>
      <w:r>
        <w:t xml:space="preserve"> </w:t>
      </w:r>
      <w:r>
        <w:rPr>
          <w:lang w:val="en-US"/>
        </w:rPr>
        <w:t>Mark Cohodes,</w:t>
      </w:r>
      <w:r w:rsidRPr="00A257F5">
        <w:t xml:space="preserve"> </w:t>
      </w:r>
      <w:r>
        <w:t>“</w:t>
      </w:r>
      <w:r w:rsidRPr="00A257F5">
        <w:rPr>
          <w:lang w:val="en-US"/>
        </w:rPr>
        <w:t>Pump-and-dump stock trading needs new rules for the digital age</w:t>
      </w:r>
      <w:r>
        <w:rPr>
          <w:lang w:val="en-US"/>
        </w:rPr>
        <w:t xml:space="preserve">”, </w:t>
      </w:r>
      <w:hyperlink r:id="rId63" w:history="1">
        <w:r w:rsidRPr="005C5098">
          <w:rPr>
            <w:rStyle w:val="Hyperlink"/>
            <w:lang w:val="en-US"/>
          </w:rPr>
          <w:t>FT Online</w:t>
        </w:r>
      </w:hyperlink>
      <w:r>
        <w:rPr>
          <w:lang w:val="en-US"/>
        </w:rPr>
        <w:t xml:space="preserve">, April 26, 2020. </w:t>
      </w:r>
    </w:p>
  </w:footnote>
  <w:footnote w:id="95">
    <w:p w14:paraId="1EB82B3D" w14:textId="53B3FF5E" w:rsidR="00994510" w:rsidRPr="00367EDA" w:rsidRDefault="00994510" w:rsidP="006D4E9C">
      <w:pPr>
        <w:pStyle w:val="footnote"/>
        <w:rPr>
          <w:lang w:val="en-US"/>
        </w:rPr>
      </w:pPr>
      <w:r w:rsidRPr="00FA0D34">
        <w:rPr>
          <w:rStyle w:val="FootnoteReference"/>
          <w:szCs w:val="18"/>
        </w:rPr>
        <w:footnoteRef/>
      </w:r>
      <w:r w:rsidRPr="00FA0D34">
        <w:t xml:space="preserve"> </w:t>
      </w:r>
      <w:r>
        <w:rPr>
          <w:rFonts w:eastAsia="Calibri"/>
        </w:rPr>
        <w:t>I</w:t>
      </w:r>
      <w:r w:rsidRPr="00FA0D34">
        <w:rPr>
          <w:rFonts w:eastAsia="Calibri"/>
        </w:rPr>
        <w:t xml:space="preserve">n British Columbia recent amendments to </w:t>
      </w:r>
      <w:r>
        <w:rPr>
          <w:rFonts w:eastAsia="Calibri"/>
        </w:rPr>
        <w:t xml:space="preserve">section 1(1) of </w:t>
      </w:r>
      <w:r w:rsidRPr="00FA0D34">
        <w:rPr>
          <w:rFonts w:eastAsia="Calibri"/>
        </w:rPr>
        <w:t xml:space="preserve">the </w:t>
      </w:r>
      <w:r w:rsidRPr="00FA0D34">
        <w:rPr>
          <w:rFonts w:eastAsia="Calibri"/>
          <w:i/>
        </w:rPr>
        <w:t>Securities Act</w:t>
      </w:r>
      <w:r w:rsidRPr="00FA0D34">
        <w:rPr>
          <w:rFonts w:eastAsia="Calibri"/>
        </w:rPr>
        <w:t xml:space="preserve"> </w:t>
      </w:r>
      <w:r>
        <w:rPr>
          <w:rFonts w:eastAsia="Calibri"/>
        </w:rPr>
        <w:t>introduced a new definition of</w:t>
      </w:r>
      <w:r w:rsidRPr="00FA0D34">
        <w:rPr>
          <w:rFonts w:eastAsia="Calibri"/>
        </w:rPr>
        <w:t xml:space="preserve"> “promotional activities.” </w:t>
      </w:r>
      <w:r>
        <w:rPr>
          <w:rFonts w:eastAsia="Calibri"/>
        </w:rPr>
        <w:t>“</w:t>
      </w:r>
      <w:r w:rsidRPr="00FA0D34">
        <w:t>Promotional activities</w:t>
      </w:r>
      <w:r>
        <w:t>”</w:t>
      </w:r>
      <w:r w:rsidRPr="00FA0D34">
        <w:t xml:space="preserve"> is defined to include any activity / communication that encourages</w:t>
      </w:r>
      <w:r>
        <w:t xml:space="preserve"> or could reasonably encourage</w:t>
      </w:r>
      <w:r w:rsidRPr="00FA0D34">
        <w:t xml:space="preserve"> a person to </w:t>
      </w:r>
      <w:r>
        <w:t>purchase, not purchase, trade or not trade</w:t>
      </w:r>
      <w:r w:rsidRPr="00FA0D34">
        <w:t xml:space="preserve"> a security or derivative. Note the</w:t>
      </w:r>
      <w:r>
        <w:t xml:space="preserve"> definition of “promotional activities” provides the British Columbia Securities Commission with rulemaking authority to prescribe that certain a</w:t>
      </w:r>
      <w:r w:rsidRPr="00FA0D34">
        <w:t xml:space="preserve">ctivities are not promotional activities.  </w:t>
      </w:r>
      <w:r>
        <w:t xml:space="preserve">Section 183 generally, section 183 (12.2) and section 184 (1)(b) provide rulemaking authority to make rules imposing disclosure requirements on a person engaging in promotional activities and to impose different requirements, restrictions or prohibitions on different classes of persons engaging in promotional activity. </w:t>
      </w:r>
      <w:r w:rsidRPr="00FA0D34">
        <w:rPr>
          <w:i/>
          <w:iCs/>
        </w:rPr>
        <w:t xml:space="preserve"> BCSA Amendments</w:t>
      </w:r>
      <w:r>
        <w:t xml:space="preserve"> </w:t>
      </w:r>
      <w:r>
        <w:rPr>
          <w:i/>
        </w:rPr>
        <w:t xml:space="preserve">supra </w:t>
      </w:r>
      <w:r>
        <w:t>note 26.</w:t>
      </w:r>
    </w:p>
  </w:footnote>
  <w:footnote w:id="96">
    <w:p w14:paraId="1A5F88B2" w14:textId="77777777" w:rsidR="00994510" w:rsidRPr="00BB42A6" w:rsidRDefault="00994510" w:rsidP="006D4E9C">
      <w:pPr>
        <w:pStyle w:val="footnote"/>
      </w:pPr>
      <w:r w:rsidRPr="00BB42A6">
        <w:rPr>
          <w:rStyle w:val="FootnoteReference"/>
          <w:rFonts w:cs="Times New Roman"/>
          <w:szCs w:val="18"/>
        </w:rPr>
        <w:footnoteRef/>
      </w:r>
      <w:r w:rsidRPr="00BB42A6">
        <w:t xml:space="preserve"> </w:t>
      </w:r>
      <w:r>
        <w:t>See e.g.,</w:t>
      </w:r>
      <w:r w:rsidRPr="00BB42A6">
        <w:t xml:space="preserve"> </w:t>
      </w:r>
      <w:r w:rsidRPr="00BB42A6">
        <w:rPr>
          <w:i/>
        </w:rPr>
        <w:t>Re Cohodes</w:t>
      </w:r>
      <w:r w:rsidRPr="003F4FD3">
        <w:t xml:space="preserve">, </w:t>
      </w:r>
      <w:hyperlink r:id="rId64" w:history="1">
        <w:r w:rsidRPr="003F4FD3">
          <w:t>2018 ABASC 161</w:t>
        </w:r>
      </w:hyperlink>
      <w:r w:rsidRPr="00BB42A6">
        <w:t xml:space="preserve"> [</w:t>
      </w:r>
      <w:r w:rsidRPr="00BB42A6">
        <w:rPr>
          <w:i/>
          <w:iCs/>
        </w:rPr>
        <w:t>Cohodes</w:t>
      </w:r>
      <w:r w:rsidRPr="00BB42A6">
        <w:t>].</w:t>
      </w:r>
    </w:p>
  </w:footnote>
  <w:footnote w:id="97">
    <w:p w14:paraId="5E0BDDB8" w14:textId="77777777" w:rsidR="00994510" w:rsidRPr="00924E20" w:rsidRDefault="00994510" w:rsidP="00924E20">
      <w:pPr>
        <w:pStyle w:val="footnote"/>
        <w:rPr>
          <w:lang w:val="en-US"/>
        </w:rPr>
      </w:pPr>
      <w:r>
        <w:rPr>
          <w:rStyle w:val="FootnoteReference"/>
        </w:rPr>
        <w:footnoteRef/>
      </w:r>
      <w:r>
        <w:t xml:space="preserve"> </w:t>
      </w:r>
      <w:r>
        <w:rPr>
          <w:lang w:val="en-US"/>
        </w:rPr>
        <w:t xml:space="preserve">See e.g., </w:t>
      </w:r>
      <w:r w:rsidRPr="002E0B8F">
        <w:rPr>
          <w:i/>
          <w:lang w:val="en-US"/>
        </w:rPr>
        <w:t xml:space="preserve">Securities Act </w:t>
      </w:r>
      <w:r>
        <w:rPr>
          <w:lang w:val="en-US"/>
        </w:rPr>
        <w:t xml:space="preserve">(Ontario), RSO c S.5, s 126.2. </w:t>
      </w:r>
      <w:r>
        <w:t xml:space="preserve"> </w:t>
      </w:r>
    </w:p>
  </w:footnote>
  <w:footnote w:id="98">
    <w:p w14:paraId="0845B982" w14:textId="77777777" w:rsidR="00994510" w:rsidRPr="00BB42A6" w:rsidRDefault="00994510" w:rsidP="007D1321">
      <w:pPr>
        <w:pStyle w:val="footnote"/>
        <w:rPr>
          <w:lang w:val="en-US"/>
        </w:rPr>
      </w:pPr>
      <w:r w:rsidRPr="00BB42A6">
        <w:rPr>
          <w:rStyle w:val="FootnoteReference"/>
          <w:szCs w:val="18"/>
        </w:rPr>
        <w:footnoteRef/>
      </w:r>
      <w:r w:rsidRPr="00BB42A6">
        <w:t xml:space="preserve"> </w:t>
      </w:r>
      <w:r w:rsidRPr="00FA0D34">
        <w:rPr>
          <w:i/>
          <w:iCs/>
          <w:lang w:val="en-US"/>
        </w:rPr>
        <w:t>BCSA Amendments</w:t>
      </w:r>
      <w:r w:rsidRPr="00BB42A6">
        <w:rPr>
          <w:lang w:val="en-US"/>
        </w:rPr>
        <w:t xml:space="preserve">, </w:t>
      </w:r>
      <w:r>
        <w:rPr>
          <w:lang w:val="en-US"/>
        </w:rPr>
        <w:t xml:space="preserve">section 50(3), </w:t>
      </w:r>
      <w:r w:rsidRPr="00FA0D34">
        <w:rPr>
          <w:i/>
          <w:iCs/>
          <w:lang w:val="en-US"/>
        </w:rPr>
        <w:t>supra</w:t>
      </w:r>
      <w:r w:rsidRPr="00BB42A6">
        <w:rPr>
          <w:lang w:val="en-US"/>
        </w:rPr>
        <w:t xml:space="preserve"> note </w:t>
      </w:r>
      <w:r>
        <w:rPr>
          <w:lang w:val="en-US"/>
        </w:rPr>
        <w:t>26</w:t>
      </w:r>
      <w:r w:rsidRPr="00BB42A6">
        <w:rPr>
          <w:lang w:val="en-US"/>
        </w:rPr>
        <w:t xml:space="preserve">. </w:t>
      </w:r>
    </w:p>
  </w:footnote>
  <w:footnote w:id="99">
    <w:p w14:paraId="75EA65A6" w14:textId="77777777" w:rsidR="00994510" w:rsidRPr="00CF526D" w:rsidRDefault="00994510" w:rsidP="00316F55">
      <w:pPr>
        <w:pStyle w:val="footnote"/>
        <w:rPr>
          <w:b/>
          <w:bCs/>
        </w:rPr>
      </w:pPr>
      <w:r w:rsidRPr="00BB42A6">
        <w:rPr>
          <w:rStyle w:val="FootnoteReference"/>
          <w:rFonts w:cs="Times New Roman"/>
          <w:szCs w:val="18"/>
        </w:rPr>
        <w:footnoteRef/>
      </w:r>
      <w:r w:rsidRPr="00BB42A6">
        <w:rPr>
          <w:rFonts w:cs="Times New Roman"/>
        </w:rPr>
        <w:t xml:space="preserve"> </w:t>
      </w:r>
      <w:r>
        <w:t>S</w:t>
      </w:r>
      <w:r w:rsidRPr="003F4FD3">
        <w:t>ee</w:t>
      </w:r>
      <w:r>
        <w:t xml:space="preserve"> e.g.,</w:t>
      </w:r>
      <w:r w:rsidRPr="003F4FD3">
        <w:t xml:space="preserve"> subsection 126.1(1) of the </w:t>
      </w:r>
      <w:r w:rsidRPr="00CF526D">
        <w:rPr>
          <w:i/>
          <w:iCs/>
        </w:rPr>
        <w:t>Securities Act</w:t>
      </w:r>
      <w:r w:rsidRPr="003F4FD3">
        <w:t xml:space="preserve"> (Ontario). </w:t>
      </w:r>
    </w:p>
  </w:footnote>
  <w:footnote w:id="100">
    <w:p w14:paraId="3C4A7EB3" w14:textId="77777777" w:rsidR="00994510" w:rsidRPr="00924E20" w:rsidRDefault="00994510" w:rsidP="00316F55">
      <w:pPr>
        <w:pStyle w:val="footnote"/>
        <w:rPr>
          <w:lang w:val="en-US"/>
        </w:rPr>
      </w:pPr>
      <w:r>
        <w:rPr>
          <w:rStyle w:val="FootnoteReference"/>
        </w:rPr>
        <w:footnoteRef/>
      </w:r>
      <w:r>
        <w:t xml:space="preserve"> See e.g., </w:t>
      </w:r>
      <w:r w:rsidRPr="00907A3D">
        <w:rPr>
          <w:i/>
        </w:rPr>
        <w:t xml:space="preserve">Derivatives Act </w:t>
      </w:r>
      <w:r w:rsidRPr="00907A3D">
        <w:t>(Québec), CQLR c. I-14.01, s. 15</w:t>
      </w:r>
      <w:r>
        <w:t xml:space="preserve">1, </w:t>
      </w:r>
      <w:r>
        <w:rPr>
          <w:i/>
        </w:rPr>
        <w:t xml:space="preserve">Securities Act </w:t>
      </w:r>
      <w:r>
        <w:t xml:space="preserve">(Ontario), s. 126.1(1) </w:t>
      </w:r>
    </w:p>
  </w:footnote>
  <w:footnote w:id="101">
    <w:p w14:paraId="10EB7A5D" w14:textId="77777777" w:rsidR="00994510" w:rsidRPr="00F523E2" w:rsidRDefault="00994510" w:rsidP="00316F55">
      <w:pPr>
        <w:pStyle w:val="footnote"/>
        <w:rPr>
          <w:rFonts w:cs="Times New Roman"/>
          <w:sz w:val="20"/>
        </w:rPr>
      </w:pPr>
      <w:r w:rsidRPr="00BB42A6">
        <w:rPr>
          <w:rStyle w:val="FootnoteReference"/>
          <w:rFonts w:cs="Times New Roman"/>
          <w:szCs w:val="18"/>
        </w:rPr>
        <w:footnoteRef/>
      </w:r>
      <w:r w:rsidRPr="00BB42A6">
        <w:rPr>
          <w:rFonts w:cs="Times New Roman"/>
        </w:rPr>
        <w:t xml:space="preserve"> In some jurisdictions, including </w:t>
      </w:r>
      <w:r>
        <w:rPr>
          <w:rFonts w:cs="Times New Roman"/>
        </w:rPr>
        <w:t xml:space="preserve">British Columbia, </w:t>
      </w:r>
      <w:r w:rsidRPr="00BB42A6">
        <w:rPr>
          <w:rFonts w:cs="Times New Roman"/>
        </w:rPr>
        <w:t>Alberta, Québec and Ontario, it is also an offence to attempt to engage in a fraud or market manipulation.</w:t>
      </w:r>
      <w:r w:rsidRPr="00F523E2">
        <w:rPr>
          <w:rFonts w:cs="Times New Roman"/>
          <w:sz w:val="20"/>
        </w:rPr>
        <w:t xml:space="preserve">  </w:t>
      </w:r>
    </w:p>
  </w:footnote>
  <w:footnote w:id="102">
    <w:p w14:paraId="34C1F364" w14:textId="77777777" w:rsidR="00994510" w:rsidRPr="009B7494" w:rsidRDefault="00994510" w:rsidP="00316F55">
      <w:pPr>
        <w:pStyle w:val="footnote"/>
        <w:rPr>
          <w:lang w:val="en-US"/>
        </w:rPr>
      </w:pPr>
      <w:r>
        <w:rPr>
          <w:rStyle w:val="FootnoteReference"/>
        </w:rPr>
        <w:footnoteRef/>
      </w:r>
      <w:r>
        <w:t xml:space="preserve"> </w:t>
      </w:r>
      <w:r>
        <w:rPr>
          <w:lang w:val="en-US"/>
        </w:rPr>
        <w:t xml:space="preserve"> </w:t>
      </w:r>
      <w:r w:rsidRPr="00316F55">
        <w:rPr>
          <w:i/>
          <w:lang w:val="en-US"/>
        </w:rPr>
        <w:t>Securities Act</w:t>
      </w:r>
      <w:r>
        <w:rPr>
          <w:lang w:val="en-US"/>
        </w:rPr>
        <w:t xml:space="preserve"> (</w:t>
      </w:r>
      <w:r w:rsidRPr="00316F55">
        <w:rPr>
          <w:lang w:val="en-US"/>
        </w:rPr>
        <w:t>Québec</w:t>
      </w:r>
      <w:r>
        <w:rPr>
          <w:lang w:val="en-US"/>
        </w:rPr>
        <w:t>)</w:t>
      </w:r>
      <w:r w:rsidRPr="00924E20">
        <w:rPr>
          <w:lang w:val="en-US"/>
        </w:rPr>
        <w:t>, CQLR c V-1.1</w:t>
      </w:r>
      <w:r>
        <w:rPr>
          <w:lang w:val="en-US"/>
        </w:rPr>
        <w:t xml:space="preserve">, s. 195.2 </w:t>
      </w:r>
      <w:r w:rsidRPr="00924E20">
        <w:rPr>
          <w:lang w:val="en-US"/>
        </w:rPr>
        <w:t xml:space="preserve">and </w:t>
      </w:r>
      <w:r w:rsidRPr="00316F55">
        <w:rPr>
          <w:i/>
          <w:lang w:val="en-US"/>
        </w:rPr>
        <w:t>Derivatives Act</w:t>
      </w:r>
      <w:r w:rsidRPr="00316F55">
        <w:rPr>
          <w:lang w:val="en-US"/>
        </w:rPr>
        <w:t xml:space="preserve"> </w:t>
      </w:r>
      <w:r>
        <w:rPr>
          <w:lang w:val="en-US"/>
        </w:rPr>
        <w:t>(</w:t>
      </w:r>
      <w:r w:rsidRPr="00924E20">
        <w:rPr>
          <w:lang w:val="en-US"/>
        </w:rPr>
        <w:t>Québec</w:t>
      </w:r>
      <w:r>
        <w:rPr>
          <w:lang w:val="en-US"/>
        </w:rPr>
        <w:t>)</w:t>
      </w:r>
      <w:r w:rsidRPr="00924E20">
        <w:rPr>
          <w:lang w:val="en-US"/>
        </w:rPr>
        <w:t>, CQLR c. I-14.01</w:t>
      </w:r>
      <w:r>
        <w:rPr>
          <w:lang w:val="en-US"/>
        </w:rPr>
        <w:t xml:space="preserve">, s. 150. </w:t>
      </w:r>
      <w:r w:rsidRPr="00924E20">
        <w:rPr>
          <w:lang w:val="en-US"/>
        </w:rPr>
        <w:t>It is also an offence, for [e]very person who, not being registered as a dealer, adviser or representative, gives out information to investors which could influence their investment decisions and derives advantage therefrom separate from his ordinary remuneration.</w:t>
      </w:r>
      <w:r w:rsidRPr="00924E20">
        <w:t xml:space="preserve"> </w:t>
      </w:r>
      <w:r w:rsidRPr="00924E20">
        <w:rPr>
          <w:lang w:val="en-US"/>
        </w:rPr>
        <w:t xml:space="preserve">See </w:t>
      </w:r>
      <w:r w:rsidRPr="00316F55">
        <w:rPr>
          <w:i/>
          <w:lang w:val="en-US"/>
        </w:rPr>
        <w:t>Securities Act</w:t>
      </w:r>
      <w:r>
        <w:rPr>
          <w:lang w:val="en-US"/>
        </w:rPr>
        <w:t xml:space="preserve"> (</w:t>
      </w:r>
      <w:r w:rsidRPr="00316F55">
        <w:rPr>
          <w:lang w:val="en-US"/>
        </w:rPr>
        <w:t>Québec</w:t>
      </w:r>
      <w:r>
        <w:rPr>
          <w:lang w:val="en-US"/>
        </w:rPr>
        <w:t>), section 200</w:t>
      </w:r>
      <w:r w:rsidRPr="00924E20">
        <w:rPr>
          <w:lang w:val="en-US"/>
        </w:rPr>
        <w:t>.</w:t>
      </w:r>
    </w:p>
  </w:footnote>
  <w:footnote w:id="103">
    <w:p w14:paraId="0FA30040" w14:textId="77777777" w:rsidR="00994510" w:rsidRPr="00B8075F" w:rsidRDefault="00994510" w:rsidP="007D1321">
      <w:pPr>
        <w:pStyle w:val="footnote"/>
        <w:rPr>
          <w:lang w:val="en-US"/>
        </w:rPr>
      </w:pPr>
      <w:r w:rsidRPr="00B8075F">
        <w:rPr>
          <w:rStyle w:val="FootnoteReference"/>
          <w:szCs w:val="18"/>
        </w:rPr>
        <w:footnoteRef/>
      </w:r>
      <w:r>
        <w:t xml:space="preserve"> Depending on circumstances, </w:t>
      </w:r>
      <w:r>
        <w:rPr>
          <w:rFonts w:eastAsia="Calibri" w:cs="Times New Roman"/>
          <w:szCs w:val="24"/>
        </w:rPr>
        <w:t xml:space="preserve">statutory civil liability for misrepresentations generally only attaches to statements made by issuers, their directors, certain officers and other “influential persons.”  </w:t>
      </w:r>
      <w:r>
        <w:t>See e.g.,</w:t>
      </w:r>
      <w:r w:rsidRPr="00B8075F">
        <w:rPr>
          <w:rFonts w:eastAsia="Calibri" w:cs="Times New Roman"/>
        </w:rPr>
        <w:t xml:space="preserve"> Part XXIII and Part XXIII.1 of </w:t>
      </w:r>
      <w:r w:rsidRPr="00680FE3">
        <w:rPr>
          <w:rFonts w:eastAsia="Calibri" w:cs="Times New Roman"/>
          <w:i/>
        </w:rPr>
        <w:t>Securities Act</w:t>
      </w:r>
      <w:r>
        <w:rPr>
          <w:rFonts w:eastAsia="Calibri" w:cs="Times New Roman"/>
          <w:i/>
        </w:rPr>
        <w:t xml:space="preserve"> </w:t>
      </w:r>
      <w:r>
        <w:rPr>
          <w:rFonts w:eastAsia="Calibri" w:cs="Times New Roman"/>
        </w:rPr>
        <w:t>(Ontario)</w:t>
      </w:r>
      <w:r>
        <w:rPr>
          <w:lang w:val="en-US"/>
        </w:rPr>
        <w:t xml:space="preserve"> </w:t>
      </w:r>
      <w:r>
        <w:rPr>
          <w:rFonts w:eastAsia="Calibri" w:cs="Times New Roman"/>
        </w:rPr>
        <w:t xml:space="preserve">and Division II of Chapter II of Title VIII of </w:t>
      </w:r>
      <w:r w:rsidRPr="0061609D">
        <w:rPr>
          <w:rFonts w:eastAsia="Calibri" w:cs="Times New Roman"/>
          <w:i/>
        </w:rPr>
        <w:t>Securities Act</w:t>
      </w:r>
      <w:r>
        <w:rPr>
          <w:lang w:val="en-US"/>
        </w:rPr>
        <w:t xml:space="preserve"> (</w:t>
      </w:r>
      <w:r>
        <w:rPr>
          <w:rFonts w:eastAsia="Calibri" w:cs="Times New Roman"/>
        </w:rPr>
        <w:t>Québec).</w:t>
      </w:r>
    </w:p>
  </w:footnote>
  <w:footnote w:id="104">
    <w:p w14:paraId="7B4D3E36" w14:textId="77777777" w:rsidR="00994510" w:rsidRPr="00B8075F" w:rsidRDefault="00994510" w:rsidP="007D1321">
      <w:pPr>
        <w:pStyle w:val="footnote"/>
        <w:rPr>
          <w:rFonts w:eastAsia="Calibri" w:cs="Times New Roman"/>
        </w:rPr>
      </w:pPr>
      <w:r w:rsidRPr="00B8075F">
        <w:rPr>
          <w:rStyle w:val="FootnoteReference"/>
          <w:szCs w:val="18"/>
        </w:rPr>
        <w:footnoteRef/>
      </w:r>
      <w:r w:rsidRPr="00B8075F">
        <w:t xml:space="preserve"> </w:t>
      </w:r>
      <w:r>
        <w:rPr>
          <w:rFonts w:eastAsia="Calibri" w:cs="Times New Roman"/>
        </w:rPr>
        <w:t xml:space="preserve">See e.g., </w:t>
      </w:r>
      <w:r w:rsidRPr="00FA0D34">
        <w:rPr>
          <w:rFonts w:eastAsia="Calibri" w:cs="Times New Roman"/>
          <w:i/>
          <w:iCs/>
        </w:rPr>
        <w:t>Rural Funds Management Limited as Responsible Entity for the Rural Funds Trust and RF Active v Bonitas Research LLC</w:t>
      </w:r>
      <w:r w:rsidRPr="00173591">
        <w:rPr>
          <w:rFonts w:eastAsia="Calibri" w:cs="Times New Roman"/>
        </w:rPr>
        <w:t xml:space="preserve"> [2020] NSWSC 61, 12 February 2020</w:t>
      </w:r>
      <w:r>
        <w:rPr>
          <w:rFonts w:eastAsia="Calibri" w:cs="Times New Roman"/>
        </w:rPr>
        <w:t xml:space="preserve">.  Note also that Singapore securities legislation also provides a private right of action for contravention of its legislation. </w:t>
      </w:r>
      <w:r w:rsidRPr="00A24A42">
        <w:t xml:space="preserve"> </w:t>
      </w:r>
      <w:r w:rsidRPr="00A24A42">
        <w:rPr>
          <w:rFonts w:eastAsia="Calibri" w:cs="Times New Roman"/>
          <w:i/>
        </w:rPr>
        <w:t>Securities and Futures Act</w:t>
      </w:r>
      <w:r w:rsidRPr="00A24A42">
        <w:rPr>
          <w:rFonts w:eastAsia="Calibri" w:cs="Times New Roman"/>
        </w:rPr>
        <w:t xml:space="preserve"> (Sing), Cap 289 (2006 rev ed), ss 199, 234(1A).</w:t>
      </w:r>
      <w:r>
        <w:rPr>
          <w:rFonts w:eastAsia="Calibri" w:cs="Times New Roman"/>
        </w:rPr>
        <w:t xml:space="preserve"> </w:t>
      </w:r>
    </w:p>
  </w:footnote>
  <w:footnote w:id="105">
    <w:p w14:paraId="5D5888D7" w14:textId="77777777" w:rsidR="00994510" w:rsidRPr="00890B01" w:rsidRDefault="00994510" w:rsidP="007D1321">
      <w:pPr>
        <w:pStyle w:val="footnote"/>
        <w:rPr>
          <w:rFonts w:eastAsia="Calibri" w:cs="Times New Roman"/>
        </w:rPr>
      </w:pPr>
      <w:r w:rsidRPr="00B8075F">
        <w:rPr>
          <w:rStyle w:val="FootnoteReference"/>
          <w:szCs w:val="18"/>
        </w:rPr>
        <w:footnoteRef/>
      </w:r>
      <w:r w:rsidRPr="00B8075F">
        <w:t xml:space="preserve"> </w:t>
      </w:r>
      <w:r w:rsidRPr="00B8075F">
        <w:rPr>
          <w:rFonts w:eastAsia="Calibri" w:cs="Times New Roman"/>
        </w:rPr>
        <w:t>Most of the judicial decisions dealing with activist short selling are defamation or libel actions against activist short sellers.</w:t>
      </w:r>
      <w:r w:rsidRPr="00890B01">
        <w:rPr>
          <w:rFonts w:eastAsia="Calibri" w:cs="Times New Roman"/>
        </w:rPr>
        <w:t xml:space="preserve">  </w:t>
      </w:r>
    </w:p>
  </w:footnote>
  <w:footnote w:id="106">
    <w:p w14:paraId="28867740" w14:textId="77777777" w:rsidR="00994510" w:rsidRPr="00B8075F" w:rsidRDefault="00994510" w:rsidP="007D1321">
      <w:pPr>
        <w:pStyle w:val="footnote"/>
        <w:rPr>
          <w:rFonts w:eastAsia="Calibri" w:cs="Times New Roman"/>
        </w:rPr>
      </w:pPr>
      <w:r w:rsidRPr="00B8075F">
        <w:rPr>
          <w:rStyle w:val="FootnoteReference"/>
          <w:szCs w:val="18"/>
        </w:rPr>
        <w:footnoteRef/>
      </w:r>
      <w:r w:rsidRPr="00B8075F">
        <w:t xml:space="preserve"> </w:t>
      </w:r>
      <w:r w:rsidRPr="00B8075F">
        <w:rPr>
          <w:rFonts w:eastAsia="Calibri" w:cs="Times New Roman"/>
        </w:rPr>
        <w:t>For example, some Canadian jurisdictions have passed what is known as ‘Anti-SLAPP’ legislation which provides a preliminary, pretrial procedure for a defendant to seek dismissal of a defamation suit when they are brought for tactical reasons (e.g.</w:t>
      </w:r>
      <w:r>
        <w:rPr>
          <w:rFonts w:eastAsia="Calibri" w:cs="Times New Roman"/>
        </w:rPr>
        <w:t>,</w:t>
      </w:r>
      <w:r w:rsidRPr="00B8075F">
        <w:rPr>
          <w:rFonts w:eastAsia="Calibri" w:cs="Times New Roman"/>
        </w:rPr>
        <w:t xml:space="preserve"> to silence critics or suppress debate or publication on matters of public interest).  Recently, the Ontario Court of Appeal provided some assurances to analysts who write reports critical of issuers when it struck down a defamation suit brought by an issuer against an analyst</w:t>
      </w:r>
      <w:r>
        <w:rPr>
          <w:rFonts w:eastAsia="Calibri" w:cs="Times New Roman"/>
        </w:rPr>
        <w:t xml:space="preserve"> (</w:t>
      </w:r>
      <w:r w:rsidRPr="004D5B31">
        <w:rPr>
          <w:rFonts w:eastAsia="Calibri" w:cs="Times New Roman"/>
          <w:i/>
        </w:rPr>
        <w:t>Fortress Real Developments Inc. v Rabidoux</w:t>
      </w:r>
      <w:r w:rsidRPr="004D5B31">
        <w:rPr>
          <w:rFonts w:eastAsia="Calibri" w:cs="Times New Roman"/>
        </w:rPr>
        <w:t xml:space="preserve">, </w:t>
      </w:r>
      <w:hyperlink r:id="rId65" w:history="1">
        <w:r w:rsidRPr="004D5B31">
          <w:t>2017 ONSC 167</w:t>
        </w:r>
      </w:hyperlink>
      <w:r>
        <w:rPr>
          <w:rFonts w:eastAsia="Calibri" w:cs="Times New Roman"/>
        </w:rPr>
        <w:t>).</w:t>
      </w:r>
      <w:r w:rsidRPr="00B8075F">
        <w:rPr>
          <w:rFonts w:eastAsia="Calibri" w:cs="Times New Roman"/>
        </w:rPr>
        <w:t xml:space="preserve">  These applications are</w:t>
      </w:r>
      <w:r>
        <w:rPr>
          <w:rFonts w:eastAsia="Calibri" w:cs="Times New Roman"/>
        </w:rPr>
        <w:t>,</w:t>
      </w:r>
      <w:r w:rsidRPr="00B8075F">
        <w:rPr>
          <w:rFonts w:eastAsia="Calibri" w:cs="Times New Roman"/>
        </w:rPr>
        <w:t xml:space="preserve"> however, highly fact</w:t>
      </w:r>
      <w:r>
        <w:rPr>
          <w:rFonts w:eastAsia="Calibri" w:cs="Times New Roman"/>
        </w:rPr>
        <w:t>-</w:t>
      </w:r>
      <w:r w:rsidRPr="00B8075F">
        <w:rPr>
          <w:rFonts w:eastAsia="Calibri" w:cs="Times New Roman"/>
        </w:rPr>
        <w:t xml:space="preserve">driven and courts have also ruled against a prominent short seller in his Anti-SLAPP application, notwithstanding the acknowledgement that information on “management of publicly traded corporations is a matter of public interest”. See: </w:t>
      </w:r>
      <w:r w:rsidRPr="00FA0D34">
        <w:rPr>
          <w:rFonts w:cs="Times New Roman"/>
          <w:i/>
          <w:iCs/>
        </w:rPr>
        <w:t>Thompson v Cohodes</w:t>
      </w:r>
      <w:r w:rsidRPr="00EE7E5A">
        <w:t xml:space="preserve">, </w:t>
      </w:r>
      <w:hyperlink r:id="rId66" w:history="1">
        <w:r w:rsidRPr="00EE7E5A">
          <w:t>2017 ONSC 2590</w:t>
        </w:r>
      </w:hyperlink>
      <w:r w:rsidRPr="00B8075F">
        <w:rPr>
          <w:rFonts w:cs="Times New Roman"/>
        </w:rPr>
        <w:t>.</w:t>
      </w:r>
      <w:r>
        <w:rPr>
          <w:rFonts w:cs="Times New Roman"/>
        </w:rPr>
        <w:t xml:space="preserve">  </w:t>
      </w:r>
    </w:p>
  </w:footnote>
  <w:footnote w:id="107">
    <w:p w14:paraId="49998F3E" w14:textId="7D692A29" w:rsidR="00994510" w:rsidRPr="002B02B8" w:rsidRDefault="00994510" w:rsidP="007D1321">
      <w:pPr>
        <w:pStyle w:val="footnote"/>
        <w:rPr>
          <w:lang w:val="en-US"/>
        </w:rPr>
      </w:pPr>
      <w:r w:rsidRPr="002B02B8">
        <w:rPr>
          <w:rStyle w:val="FootnoteReference"/>
          <w:szCs w:val="18"/>
        </w:rPr>
        <w:footnoteRef/>
      </w:r>
      <w:r w:rsidRPr="002B02B8">
        <w:t xml:space="preserve"> </w:t>
      </w:r>
      <w:r>
        <w:t xml:space="preserve">For example, see </w:t>
      </w:r>
      <w:r w:rsidRPr="002B02B8">
        <w:rPr>
          <w:i/>
          <w:iCs/>
          <w:lang w:val="en-US"/>
        </w:rPr>
        <w:t>Re Carnes</w:t>
      </w:r>
      <w:r>
        <w:rPr>
          <w:i/>
          <w:iCs/>
          <w:lang w:val="en-US"/>
        </w:rPr>
        <w:t>,</w:t>
      </w:r>
      <w:r w:rsidRPr="002D31B3">
        <w:t xml:space="preserve"> </w:t>
      </w:r>
      <w:hyperlink r:id="rId67" w:history="1">
        <w:r w:rsidRPr="002D31B3">
          <w:t>2015 BCSECCOM 187</w:t>
        </w:r>
      </w:hyperlink>
      <w:r w:rsidRPr="002B02B8">
        <w:t xml:space="preserve">; </w:t>
      </w:r>
      <w:r w:rsidRPr="002B02B8">
        <w:rPr>
          <w:i/>
          <w:iCs/>
        </w:rPr>
        <w:t xml:space="preserve">Cohodes, supra </w:t>
      </w:r>
      <w:r w:rsidRPr="002B02B8">
        <w:t xml:space="preserve">note </w:t>
      </w:r>
      <w:r>
        <w:t>96</w:t>
      </w:r>
      <w:r w:rsidRPr="002B02B8">
        <w:t xml:space="preserve">. </w:t>
      </w:r>
      <w:r>
        <w:t xml:space="preserve">However, it should also be noted that this issue is not unique to Canada.  There are very few enforcement cases against activist short sellers in other jurisdictions as well. </w:t>
      </w:r>
    </w:p>
  </w:footnote>
  <w:footnote w:id="108">
    <w:p w14:paraId="231911D2" w14:textId="453247E1" w:rsidR="00994510" w:rsidRPr="002B4238" w:rsidRDefault="00994510" w:rsidP="00250F21">
      <w:pPr>
        <w:pStyle w:val="footnote"/>
        <w:rPr>
          <w:lang w:val="en-US"/>
        </w:rPr>
      </w:pPr>
      <w:r w:rsidRPr="00250F21">
        <w:rPr>
          <w:rStyle w:val="FootnoteReference"/>
        </w:rPr>
        <w:footnoteRef/>
      </w:r>
      <w:r w:rsidRPr="00250F21">
        <w:rPr>
          <w:vertAlign w:val="superscript"/>
        </w:rPr>
        <w:t xml:space="preserve"> </w:t>
      </w:r>
      <w:r>
        <w:t>See footnote 97.</w:t>
      </w:r>
    </w:p>
  </w:footnote>
  <w:footnote w:id="109">
    <w:p w14:paraId="13CD6608" w14:textId="77777777" w:rsidR="00994510" w:rsidRPr="0055361F" w:rsidRDefault="00994510" w:rsidP="007D1321">
      <w:pPr>
        <w:pStyle w:val="footnote"/>
        <w:rPr>
          <w:i/>
        </w:rPr>
      </w:pPr>
      <w:r w:rsidRPr="002B02B8">
        <w:rPr>
          <w:rStyle w:val="FootnoteReference"/>
          <w:rFonts w:cs="Times New Roman"/>
          <w:szCs w:val="18"/>
        </w:rPr>
        <w:footnoteRef/>
      </w:r>
      <w:r w:rsidRPr="002B02B8">
        <w:t xml:space="preserve"> For example, </w:t>
      </w:r>
      <w:r>
        <w:t xml:space="preserve">see </w:t>
      </w:r>
      <w:r w:rsidRPr="000E3FED">
        <w:rPr>
          <w:i/>
        </w:rPr>
        <w:t>Harrington supra</w:t>
      </w:r>
      <w:r>
        <w:t xml:space="preserve"> note 11</w:t>
      </w:r>
      <w:r w:rsidRPr="002B02B8">
        <w:t>.</w:t>
      </w:r>
      <w:r>
        <w:t xml:space="preserve">  </w:t>
      </w:r>
    </w:p>
  </w:footnote>
  <w:footnote w:id="110">
    <w:p w14:paraId="49CFF1FC" w14:textId="77777777" w:rsidR="00994510" w:rsidRPr="00CE0104" w:rsidRDefault="00994510" w:rsidP="007D1321">
      <w:pPr>
        <w:pStyle w:val="footnote"/>
      </w:pPr>
      <w:r>
        <w:rPr>
          <w:rStyle w:val="FootnoteReference"/>
        </w:rPr>
        <w:footnoteRef/>
      </w:r>
      <w:r>
        <w:t xml:space="preserve"> </w:t>
      </w:r>
      <w:r w:rsidRPr="00CE0104">
        <w:t>As noted, “When a short-seller seriously attacks</w:t>
      </w:r>
      <w:r>
        <w:t xml:space="preserve"> </w:t>
      </w:r>
      <w:r w:rsidRPr="00CE0104">
        <w:t>the integrity of a company’s senior executives or Board</w:t>
      </w:r>
      <w:r>
        <w:t xml:space="preserve"> </w:t>
      </w:r>
      <w:r w:rsidRPr="00CE0104">
        <w:t>members, the</w:t>
      </w:r>
      <w:r>
        <w:t xml:space="preserve"> </w:t>
      </w:r>
      <w:r w:rsidRPr="00CE0104">
        <w:t>temptation to sue for defamation is almost</w:t>
      </w:r>
      <w:r>
        <w:t xml:space="preserve"> </w:t>
      </w:r>
      <w:r w:rsidRPr="00CE0104">
        <w:t>impossible to overcome. Some believe that they almost have</w:t>
      </w:r>
      <w:r>
        <w:t xml:space="preserve"> </w:t>
      </w:r>
      <w:r w:rsidRPr="00CE0104">
        <w:t>to sue for defamation, for</w:t>
      </w:r>
      <w:r>
        <w:t xml:space="preserve"> </w:t>
      </w:r>
      <w:r w:rsidRPr="00CE0104">
        <w:t>fear that their failure to do so</w:t>
      </w:r>
      <w:r>
        <w:t xml:space="preserve"> </w:t>
      </w:r>
      <w:r w:rsidRPr="00CE0104">
        <w:t>will be viewed as an admission of the short-seller’s claims.</w:t>
      </w:r>
      <w:r>
        <w:t xml:space="preserve"> </w:t>
      </w:r>
      <w:r w:rsidRPr="00CE0104">
        <w:t>Canadian CEOs and companies have accordingly sued in</w:t>
      </w:r>
      <w:r>
        <w:t xml:space="preserve"> </w:t>
      </w:r>
      <w:r w:rsidRPr="00CE0104">
        <w:t>the past over critical reports. But the business wisdom of</w:t>
      </w:r>
      <w:r>
        <w:t xml:space="preserve"> </w:t>
      </w:r>
      <w:r w:rsidRPr="00CE0104">
        <w:t>pursuing such a claim is not universally supported, and the</w:t>
      </w:r>
      <w:r>
        <w:t xml:space="preserve"> </w:t>
      </w:r>
      <w:r w:rsidRPr="00CE0104">
        <w:t xml:space="preserve">efficacy of such defamation claims is disputed. </w:t>
      </w:r>
      <w:r>
        <w:t>…</w:t>
      </w:r>
      <w:r w:rsidRPr="00CE0104">
        <w:t xml:space="preserve"> Moreover, there</w:t>
      </w:r>
      <w:r>
        <w:t xml:space="preserve"> </w:t>
      </w:r>
      <w:r w:rsidRPr="00CE0104">
        <w:t>is a risk that the short-seller will maintain its position in the</w:t>
      </w:r>
      <w:r>
        <w:t xml:space="preserve"> </w:t>
      </w:r>
      <w:r w:rsidRPr="00CE0104">
        <w:t>company for a longer period of time after being hit with a</w:t>
      </w:r>
      <w:r>
        <w:t xml:space="preserve"> </w:t>
      </w:r>
      <w:r w:rsidRPr="00CE0104">
        <w:t>defamation claim, in order to avoid reputational risk”</w:t>
      </w:r>
      <w:r>
        <w:t xml:space="preserve"> Bell, Derek and Ellins, Katelyn, </w:t>
      </w:r>
      <w:hyperlink r:id="rId68" w:history="1">
        <w:r w:rsidRPr="007D1321">
          <w:rPr>
            <w:rStyle w:val="Hyperlink"/>
            <w:rFonts w:cs="Times New Roman"/>
            <w:color w:val="auto"/>
            <w:szCs w:val="18"/>
            <w:u w:val="none"/>
          </w:rPr>
          <w:t>“Get Shorty: Defamation and Regulatory Claims in Canada”</w:t>
        </w:r>
      </w:hyperlink>
      <w:r w:rsidRPr="007D1321">
        <w:t xml:space="preserve"> </w:t>
      </w:r>
      <w:r>
        <w:t>(</w:t>
      </w:r>
      <w:r w:rsidRPr="000E3FED">
        <w:rPr>
          <w:i/>
        </w:rPr>
        <w:t>DLA Piper Canada</w:t>
      </w:r>
      <w:r>
        <w:t xml:space="preserve">), July 26, 2017.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4C67A" w14:textId="77777777" w:rsidR="00994510" w:rsidRPr="0032099F" w:rsidRDefault="00994510" w:rsidP="00EB5ECA">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3A87"/>
    <w:multiLevelType w:val="hybridMultilevel"/>
    <w:tmpl w:val="2438D5F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2506178"/>
    <w:multiLevelType w:val="hybridMultilevel"/>
    <w:tmpl w:val="22EC3FD8"/>
    <w:lvl w:ilvl="0" w:tplc="D614507E">
      <w:start w:val="1"/>
      <w:numFmt w:val="decimal"/>
      <w:lvlText w:val="%1."/>
      <w:lvlJc w:val="left"/>
      <w:pPr>
        <w:ind w:left="720" w:hanging="360"/>
      </w:pPr>
    </w:lvl>
    <w:lvl w:ilvl="1" w:tplc="89E21622">
      <w:start w:val="1"/>
      <w:numFmt w:val="lowerLetter"/>
      <w:lvlText w:val="%2."/>
      <w:lvlJc w:val="left"/>
      <w:pPr>
        <w:ind w:left="1440" w:hanging="360"/>
      </w:pPr>
    </w:lvl>
    <w:lvl w:ilvl="2" w:tplc="69AC84C8">
      <w:start w:val="1"/>
      <w:numFmt w:val="lowerRoman"/>
      <w:lvlText w:val="%3."/>
      <w:lvlJc w:val="right"/>
      <w:pPr>
        <w:ind w:left="2160" w:hanging="180"/>
      </w:pPr>
    </w:lvl>
    <w:lvl w:ilvl="3" w:tplc="554EF864">
      <w:start w:val="1"/>
      <w:numFmt w:val="decimal"/>
      <w:lvlText w:val="%4."/>
      <w:lvlJc w:val="left"/>
      <w:pPr>
        <w:ind w:left="2880" w:hanging="360"/>
      </w:pPr>
    </w:lvl>
    <w:lvl w:ilvl="4" w:tplc="C302DB5E">
      <w:start w:val="1"/>
      <w:numFmt w:val="lowerLetter"/>
      <w:lvlText w:val="%5."/>
      <w:lvlJc w:val="left"/>
      <w:pPr>
        <w:ind w:left="3600" w:hanging="360"/>
      </w:pPr>
    </w:lvl>
    <w:lvl w:ilvl="5" w:tplc="5CB27304">
      <w:start w:val="1"/>
      <w:numFmt w:val="lowerRoman"/>
      <w:lvlText w:val="%6."/>
      <w:lvlJc w:val="right"/>
      <w:pPr>
        <w:ind w:left="4320" w:hanging="180"/>
      </w:pPr>
    </w:lvl>
    <w:lvl w:ilvl="6" w:tplc="DC18288A">
      <w:start w:val="1"/>
      <w:numFmt w:val="decimal"/>
      <w:lvlText w:val="%7."/>
      <w:lvlJc w:val="left"/>
      <w:pPr>
        <w:ind w:left="5040" w:hanging="360"/>
      </w:pPr>
    </w:lvl>
    <w:lvl w:ilvl="7" w:tplc="A0CE98D6">
      <w:start w:val="1"/>
      <w:numFmt w:val="lowerLetter"/>
      <w:lvlText w:val="%8."/>
      <w:lvlJc w:val="left"/>
      <w:pPr>
        <w:ind w:left="5760" w:hanging="360"/>
      </w:pPr>
    </w:lvl>
    <w:lvl w:ilvl="8" w:tplc="EAB4BA2E">
      <w:start w:val="1"/>
      <w:numFmt w:val="lowerRoman"/>
      <w:lvlText w:val="%9."/>
      <w:lvlJc w:val="right"/>
      <w:pPr>
        <w:ind w:left="6480" w:hanging="180"/>
      </w:pPr>
    </w:lvl>
  </w:abstractNum>
  <w:abstractNum w:abstractNumId="2" w15:restartNumberingAfterBreak="0">
    <w:nsid w:val="084E5AD6"/>
    <w:multiLevelType w:val="hybridMultilevel"/>
    <w:tmpl w:val="2CE4B5B4"/>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15:restartNumberingAfterBreak="0">
    <w:nsid w:val="09803359"/>
    <w:multiLevelType w:val="hybridMultilevel"/>
    <w:tmpl w:val="580C408C"/>
    <w:lvl w:ilvl="0" w:tplc="7C38FD5A">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B1C6CF2"/>
    <w:multiLevelType w:val="hybridMultilevel"/>
    <w:tmpl w:val="0B68F504"/>
    <w:lvl w:ilvl="0" w:tplc="557E421A">
      <w:start w:val="1"/>
      <w:numFmt w:val="lowerLetter"/>
      <w:lvlText w:val="%1."/>
      <w:lvlJc w:val="left"/>
      <w:pPr>
        <w:ind w:left="720" w:hanging="360"/>
      </w:pPr>
      <w:rPr>
        <w:rFonts w:ascii="Times New Roman" w:hAnsi="Times New Roman" w:cs="Times New Roman" w:hint="default"/>
      </w:rPr>
    </w:lvl>
    <w:lvl w:ilvl="1" w:tplc="6D2CA206">
      <w:start w:val="1"/>
      <w:numFmt w:val="lowerLetter"/>
      <w:lvlText w:val="%2."/>
      <w:lvlJc w:val="left"/>
      <w:pPr>
        <w:ind w:left="1440" w:hanging="360"/>
      </w:pPr>
    </w:lvl>
    <w:lvl w:ilvl="2" w:tplc="374E0724">
      <w:start w:val="1"/>
      <w:numFmt w:val="lowerRoman"/>
      <w:lvlText w:val="%3."/>
      <w:lvlJc w:val="right"/>
      <w:pPr>
        <w:ind w:left="2160" w:hanging="180"/>
      </w:pPr>
    </w:lvl>
    <w:lvl w:ilvl="3" w:tplc="340ACB6A">
      <w:start w:val="1"/>
      <w:numFmt w:val="decimal"/>
      <w:lvlText w:val="%4."/>
      <w:lvlJc w:val="left"/>
      <w:pPr>
        <w:ind w:left="2880" w:hanging="360"/>
      </w:pPr>
    </w:lvl>
    <w:lvl w:ilvl="4" w:tplc="3404E7B4">
      <w:start w:val="1"/>
      <w:numFmt w:val="lowerLetter"/>
      <w:lvlText w:val="%5."/>
      <w:lvlJc w:val="left"/>
      <w:pPr>
        <w:ind w:left="3600" w:hanging="360"/>
      </w:pPr>
    </w:lvl>
    <w:lvl w:ilvl="5" w:tplc="A022C1E6">
      <w:start w:val="1"/>
      <w:numFmt w:val="lowerRoman"/>
      <w:lvlText w:val="%6."/>
      <w:lvlJc w:val="right"/>
      <w:pPr>
        <w:ind w:left="4320" w:hanging="180"/>
      </w:pPr>
    </w:lvl>
    <w:lvl w:ilvl="6" w:tplc="1640F606">
      <w:start w:val="1"/>
      <w:numFmt w:val="decimal"/>
      <w:lvlText w:val="%7."/>
      <w:lvlJc w:val="left"/>
      <w:pPr>
        <w:ind w:left="5040" w:hanging="360"/>
      </w:pPr>
    </w:lvl>
    <w:lvl w:ilvl="7" w:tplc="F0F8F46A">
      <w:start w:val="1"/>
      <w:numFmt w:val="lowerLetter"/>
      <w:lvlText w:val="%8."/>
      <w:lvlJc w:val="left"/>
      <w:pPr>
        <w:ind w:left="5760" w:hanging="360"/>
      </w:pPr>
    </w:lvl>
    <w:lvl w:ilvl="8" w:tplc="28F816CE">
      <w:start w:val="1"/>
      <w:numFmt w:val="lowerRoman"/>
      <w:lvlText w:val="%9."/>
      <w:lvlJc w:val="right"/>
      <w:pPr>
        <w:ind w:left="6480" w:hanging="180"/>
      </w:pPr>
    </w:lvl>
  </w:abstractNum>
  <w:abstractNum w:abstractNumId="5" w15:restartNumberingAfterBreak="0">
    <w:nsid w:val="0B5C7782"/>
    <w:multiLevelType w:val="hybridMultilevel"/>
    <w:tmpl w:val="7EF61F1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B737DC2"/>
    <w:multiLevelType w:val="hybridMultilevel"/>
    <w:tmpl w:val="8940FEE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0E9E6FDD"/>
    <w:multiLevelType w:val="hybridMultilevel"/>
    <w:tmpl w:val="A95EF81A"/>
    <w:lvl w:ilvl="0" w:tplc="10090019">
      <w:start w:val="1"/>
      <w:numFmt w:val="lowerLetter"/>
      <w:lvlText w:val="%1."/>
      <w:lvlJc w:val="left"/>
      <w:pPr>
        <w:ind w:left="360" w:hanging="360"/>
      </w:pPr>
      <w:rPr>
        <w:rFonts w:hint="default"/>
      </w:rPr>
    </w:lvl>
    <w:lvl w:ilvl="1" w:tplc="9482DF32">
      <w:start w:val="1"/>
      <w:numFmt w:val="upperLetter"/>
      <w:lvlText w:val="%2."/>
      <w:lvlJc w:val="left"/>
      <w:pPr>
        <w:ind w:left="1080" w:hanging="360"/>
      </w:pPr>
      <w:rPr>
        <w:b/>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0F126962"/>
    <w:multiLevelType w:val="hybridMultilevel"/>
    <w:tmpl w:val="5848242A"/>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1D2E16D1"/>
    <w:multiLevelType w:val="hybridMultilevel"/>
    <w:tmpl w:val="232C97D8"/>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10" w15:restartNumberingAfterBreak="0">
    <w:nsid w:val="1D6262CB"/>
    <w:multiLevelType w:val="hybridMultilevel"/>
    <w:tmpl w:val="A0F43DCC"/>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2030C18"/>
    <w:multiLevelType w:val="hybridMultilevel"/>
    <w:tmpl w:val="73B45564"/>
    <w:lvl w:ilvl="0" w:tplc="5F84A658">
      <w:numFmt w:val="none"/>
      <w:lvlText w:val=""/>
      <w:lvlJc w:val="left"/>
      <w:pPr>
        <w:tabs>
          <w:tab w:val="num" w:pos="360"/>
        </w:tabs>
      </w:pPr>
    </w:lvl>
    <w:lvl w:ilvl="1" w:tplc="0EA4FE58">
      <w:start w:val="1"/>
      <w:numFmt w:val="lowerLetter"/>
      <w:lvlText w:val="%2."/>
      <w:lvlJc w:val="left"/>
      <w:pPr>
        <w:ind w:left="1440" w:hanging="360"/>
      </w:pPr>
    </w:lvl>
    <w:lvl w:ilvl="2" w:tplc="FF3EB9FE">
      <w:start w:val="1"/>
      <w:numFmt w:val="lowerRoman"/>
      <w:lvlText w:val="%3."/>
      <w:lvlJc w:val="right"/>
      <w:pPr>
        <w:ind w:left="2160" w:hanging="180"/>
      </w:pPr>
    </w:lvl>
    <w:lvl w:ilvl="3" w:tplc="FAA63684">
      <w:start w:val="1"/>
      <w:numFmt w:val="decimal"/>
      <w:lvlText w:val="%4."/>
      <w:lvlJc w:val="left"/>
      <w:pPr>
        <w:ind w:left="2880" w:hanging="360"/>
      </w:pPr>
    </w:lvl>
    <w:lvl w:ilvl="4" w:tplc="CF244800">
      <w:start w:val="1"/>
      <w:numFmt w:val="lowerLetter"/>
      <w:lvlText w:val="%5."/>
      <w:lvlJc w:val="left"/>
      <w:pPr>
        <w:ind w:left="3600" w:hanging="360"/>
      </w:pPr>
    </w:lvl>
    <w:lvl w:ilvl="5" w:tplc="B1A4831E">
      <w:start w:val="1"/>
      <w:numFmt w:val="lowerRoman"/>
      <w:lvlText w:val="%6."/>
      <w:lvlJc w:val="right"/>
      <w:pPr>
        <w:ind w:left="4320" w:hanging="180"/>
      </w:pPr>
    </w:lvl>
    <w:lvl w:ilvl="6" w:tplc="B3FC66F4">
      <w:start w:val="1"/>
      <w:numFmt w:val="decimal"/>
      <w:lvlText w:val="%7."/>
      <w:lvlJc w:val="left"/>
      <w:pPr>
        <w:ind w:left="5040" w:hanging="360"/>
      </w:pPr>
    </w:lvl>
    <w:lvl w:ilvl="7" w:tplc="39865140">
      <w:start w:val="1"/>
      <w:numFmt w:val="lowerLetter"/>
      <w:lvlText w:val="%8."/>
      <w:lvlJc w:val="left"/>
      <w:pPr>
        <w:ind w:left="5760" w:hanging="360"/>
      </w:pPr>
    </w:lvl>
    <w:lvl w:ilvl="8" w:tplc="95AECA86">
      <w:start w:val="1"/>
      <w:numFmt w:val="lowerRoman"/>
      <w:lvlText w:val="%9."/>
      <w:lvlJc w:val="right"/>
      <w:pPr>
        <w:ind w:left="6480" w:hanging="180"/>
      </w:pPr>
    </w:lvl>
  </w:abstractNum>
  <w:abstractNum w:abstractNumId="12" w15:restartNumberingAfterBreak="0">
    <w:nsid w:val="22DB6BB1"/>
    <w:multiLevelType w:val="hybridMultilevel"/>
    <w:tmpl w:val="EBE68902"/>
    <w:lvl w:ilvl="0" w:tplc="7A5228DC">
      <w:start w:val="2"/>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695536B"/>
    <w:multiLevelType w:val="hybridMultilevel"/>
    <w:tmpl w:val="11DEC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6E14540"/>
    <w:multiLevelType w:val="hybridMultilevel"/>
    <w:tmpl w:val="BA1098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2CCC4A5E"/>
    <w:multiLevelType w:val="multilevel"/>
    <w:tmpl w:val="EA602646"/>
    <w:name w:val="x2"/>
    <w:lvl w:ilvl="0">
      <w:start w:val="1"/>
      <w:numFmt w:val="decimal"/>
      <w:lvlText w:val="%1"/>
      <w:lvlJc w:val="left"/>
      <w:pPr>
        <w:ind w:left="720" w:hanging="720"/>
      </w:pPr>
      <w:rPr>
        <w:rFonts w:hint="default"/>
        <w:b w:val="0"/>
        <w:i w:val="0"/>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upperLetter"/>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6" w15:restartNumberingAfterBreak="0">
    <w:nsid w:val="30310C60"/>
    <w:multiLevelType w:val="hybridMultilevel"/>
    <w:tmpl w:val="068EDF40"/>
    <w:lvl w:ilvl="0" w:tplc="18943C02">
      <w:start w:val="1"/>
      <w:numFmt w:val="decimal"/>
      <w:lvlText w:val="%1."/>
      <w:lvlJc w:val="left"/>
      <w:pPr>
        <w:ind w:left="720" w:hanging="360"/>
      </w:pPr>
    </w:lvl>
    <w:lvl w:ilvl="1" w:tplc="8A88F4F6">
      <w:start w:val="1"/>
      <w:numFmt w:val="lowerLetter"/>
      <w:lvlText w:val="%2."/>
      <w:lvlJc w:val="left"/>
      <w:pPr>
        <w:ind w:left="1440" w:hanging="360"/>
      </w:pPr>
    </w:lvl>
    <w:lvl w:ilvl="2" w:tplc="0B680FF2">
      <w:start w:val="1"/>
      <w:numFmt w:val="lowerRoman"/>
      <w:lvlText w:val="%3."/>
      <w:lvlJc w:val="right"/>
      <w:pPr>
        <w:ind w:left="2160" w:hanging="180"/>
      </w:pPr>
    </w:lvl>
    <w:lvl w:ilvl="3" w:tplc="1A5ED4CC">
      <w:start w:val="1"/>
      <w:numFmt w:val="decimal"/>
      <w:lvlText w:val="%4."/>
      <w:lvlJc w:val="left"/>
      <w:pPr>
        <w:ind w:left="2880" w:hanging="360"/>
      </w:pPr>
    </w:lvl>
    <w:lvl w:ilvl="4" w:tplc="586ECF58">
      <w:start w:val="1"/>
      <w:numFmt w:val="lowerLetter"/>
      <w:lvlText w:val="%5."/>
      <w:lvlJc w:val="left"/>
      <w:pPr>
        <w:ind w:left="3600" w:hanging="360"/>
      </w:pPr>
    </w:lvl>
    <w:lvl w:ilvl="5" w:tplc="0B02AFDC">
      <w:start w:val="1"/>
      <w:numFmt w:val="lowerRoman"/>
      <w:lvlText w:val="%6."/>
      <w:lvlJc w:val="right"/>
      <w:pPr>
        <w:ind w:left="4320" w:hanging="180"/>
      </w:pPr>
    </w:lvl>
    <w:lvl w:ilvl="6" w:tplc="23BAF902">
      <w:start w:val="1"/>
      <w:numFmt w:val="decimal"/>
      <w:lvlText w:val="%7."/>
      <w:lvlJc w:val="left"/>
      <w:pPr>
        <w:ind w:left="5040" w:hanging="360"/>
      </w:pPr>
    </w:lvl>
    <w:lvl w:ilvl="7" w:tplc="7F462682">
      <w:start w:val="1"/>
      <w:numFmt w:val="lowerLetter"/>
      <w:lvlText w:val="%8."/>
      <w:lvlJc w:val="left"/>
      <w:pPr>
        <w:ind w:left="5760" w:hanging="360"/>
      </w:pPr>
    </w:lvl>
    <w:lvl w:ilvl="8" w:tplc="9AD4384E">
      <w:start w:val="1"/>
      <w:numFmt w:val="lowerRoman"/>
      <w:lvlText w:val="%9."/>
      <w:lvlJc w:val="right"/>
      <w:pPr>
        <w:ind w:left="6480" w:hanging="180"/>
      </w:pPr>
    </w:lvl>
  </w:abstractNum>
  <w:abstractNum w:abstractNumId="17" w15:restartNumberingAfterBreak="0">
    <w:nsid w:val="358B4322"/>
    <w:multiLevelType w:val="hybridMultilevel"/>
    <w:tmpl w:val="C2224AE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59269E2"/>
    <w:multiLevelType w:val="hybridMultilevel"/>
    <w:tmpl w:val="5848242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3691181E"/>
    <w:multiLevelType w:val="multilevel"/>
    <w:tmpl w:val="CE564CAC"/>
    <w:name w:val="x"/>
    <w:styleLink w:val="OSCPlainLanguage"/>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upperLetter"/>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20" w15:restartNumberingAfterBreak="0">
    <w:nsid w:val="36F92292"/>
    <w:multiLevelType w:val="hybridMultilevel"/>
    <w:tmpl w:val="2EE448C6"/>
    <w:lvl w:ilvl="0" w:tplc="CDEA33DE">
      <w:start w:val="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84D1979"/>
    <w:multiLevelType w:val="hybridMultilevel"/>
    <w:tmpl w:val="B5667D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99D7E52"/>
    <w:multiLevelType w:val="hybridMultilevel"/>
    <w:tmpl w:val="8940FEE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3B9E5CDB"/>
    <w:multiLevelType w:val="hybridMultilevel"/>
    <w:tmpl w:val="51D0048C"/>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15:restartNumberingAfterBreak="0">
    <w:nsid w:val="40AC4547"/>
    <w:multiLevelType w:val="hybridMultilevel"/>
    <w:tmpl w:val="072EACF8"/>
    <w:lvl w:ilvl="0" w:tplc="A1EEC57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0DE382A"/>
    <w:multiLevelType w:val="multilevel"/>
    <w:tmpl w:val="CE564CAC"/>
    <w:name w:val="x2"/>
    <w:numStyleLink w:val="OSCPlainLanguage"/>
  </w:abstractNum>
  <w:abstractNum w:abstractNumId="26" w15:restartNumberingAfterBreak="0">
    <w:nsid w:val="41786C16"/>
    <w:multiLevelType w:val="hybridMultilevel"/>
    <w:tmpl w:val="C2224AE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22C52FB"/>
    <w:multiLevelType w:val="hybridMultilevel"/>
    <w:tmpl w:val="1CB21CA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42EB7B07"/>
    <w:multiLevelType w:val="multilevel"/>
    <w:tmpl w:val="CE564CAC"/>
    <w:name w:val="x"/>
    <w:numStyleLink w:val="OSCPlainLanguage"/>
  </w:abstractNum>
  <w:abstractNum w:abstractNumId="29" w15:restartNumberingAfterBreak="0">
    <w:nsid w:val="43C77C3D"/>
    <w:multiLevelType w:val="hybridMultilevel"/>
    <w:tmpl w:val="767E45C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4659797A"/>
    <w:multiLevelType w:val="hybridMultilevel"/>
    <w:tmpl w:val="7EF61F1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7A83931"/>
    <w:multiLevelType w:val="hybridMultilevel"/>
    <w:tmpl w:val="9FA2A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2287F32"/>
    <w:multiLevelType w:val="hybridMultilevel"/>
    <w:tmpl w:val="9892B428"/>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15:restartNumberingAfterBreak="0">
    <w:nsid w:val="52AA11E4"/>
    <w:multiLevelType w:val="hybridMultilevel"/>
    <w:tmpl w:val="2438D5F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4" w15:restartNumberingAfterBreak="0">
    <w:nsid w:val="53BC26BD"/>
    <w:multiLevelType w:val="hybridMultilevel"/>
    <w:tmpl w:val="D23AAC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B3C53E7"/>
    <w:multiLevelType w:val="hybridMultilevel"/>
    <w:tmpl w:val="00CA988A"/>
    <w:lvl w:ilvl="0" w:tplc="CDEA33DE">
      <w:start w:val="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B800953"/>
    <w:multiLevelType w:val="hybridMultilevel"/>
    <w:tmpl w:val="41E449EA"/>
    <w:lvl w:ilvl="0" w:tplc="4FB079EA">
      <w:start w:val="1"/>
      <w:numFmt w:val="upperRoman"/>
      <w:pStyle w:val="SECTION"/>
      <w:lvlText w:val="%1."/>
      <w:lvlJc w:val="right"/>
      <w:pPr>
        <w:ind w:left="720" w:hanging="360"/>
      </w:pPr>
    </w:lvl>
    <w:lvl w:ilvl="1" w:tplc="FFFFFFFF">
      <w:start w:val="1"/>
      <w:numFmt w:val="upperLetter"/>
      <w:pStyle w:val="SUB-SECTION"/>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1B2444D"/>
    <w:multiLevelType w:val="hybridMultilevel"/>
    <w:tmpl w:val="12DCE2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B317B35"/>
    <w:multiLevelType w:val="hybridMultilevel"/>
    <w:tmpl w:val="9A88D832"/>
    <w:lvl w:ilvl="0" w:tplc="AC7CA02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6BE5726B"/>
    <w:multiLevelType w:val="hybridMultilevel"/>
    <w:tmpl w:val="A258B94E"/>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0" w15:restartNumberingAfterBreak="0">
    <w:nsid w:val="70567323"/>
    <w:multiLevelType w:val="hybridMultilevel"/>
    <w:tmpl w:val="9EDCD10C"/>
    <w:lvl w:ilvl="0" w:tplc="512EDA56">
      <w:start w:val="1"/>
      <w:numFmt w:val="decimal"/>
      <w:lvlText w:val="%1."/>
      <w:lvlJc w:val="left"/>
      <w:pPr>
        <w:ind w:left="360" w:hanging="360"/>
      </w:pPr>
      <w:rPr>
        <w:rFonts w:ascii="Times New Roman" w:hAnsi="Times New Roman" w:cs="Times New Roman" w:hint="default"/>
      </w:rPr>
    </w:lvl>
    <w:lvl w:ilvl="1" w:tplc="73CCF990">
      <w:start w:val="1"/>
      <w:numFmt w:val="lowerLetter"/>
      <w:lvlText w:val="%2."/>
      <w:lvlJc w:val="left"/>
      <w:pPr>
        <w:ind w:left="1080" w:hanging="360"/>
      </w:pPr>
      <w:rPr>
        <w:rFonts w:ascii="Times New Roman" w:hAnsi="Times New Roman" w:cs="Times New Roman" w:hint="default"/>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1" w15:restartNumberingAfterBreak="0">
    <w:nsid w:val="768E7773"/>
    <w:multiLevelType w:val="hybridMultilevel"/>
    <w:tmpl w:val="9892B42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2" w15:restartNumberingAfterBreak="0">
    <w:nsid w:val="77F66784"/>
    <w:multiLevelType w:val="hybridMultilevel"/>
    <w:tmpl w:val="2F72945C"/>
    <w:lvl w:ilvl="0" w:tplc="1009000F">
      <w:start w:val="1"/>
      <w:numFmt w:val="decimal"/>
      <w:lvlText w:val="%1."/>
      <w:lvlJc w:val="left"/>
      <w:pPr>
        <w:ind w:left="720" w:hanging="360"/>
      </w:pPr>
    </w:lvl>
    <w:lvl w:ilvl="1" w:tplc="1418553A">
      <w:start w:val="1"/>
      <w:numFmt w:val="lowerLetter"/>
      <w:lvlText w:val="%2."/>
      <w:lvlJc w:val="left"/>
      <w:pPr>
        <w:ind w:left="1800" w:hanging="72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EB76FC"/>
    <w:multiLevelType w:val="hybridMultilevel"/>
    <w:tmpl w:val="E492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DD94A8F"/>
    <w:multiLevelType w:val="hybridMultilevel"/>
    <w:tmpl w:val="38EC3BF0"/>
    <w:lvl w:ilvl="0" w:tplc="C562D17C">
      <w:start w:val="1"/>
      <w:numFmt w:val="decimal"/>
      <w:lvlText w:val="%1."/>
      <w:lvlJc w:val="left"/>
      <w:pPr>
        <w:ind w:left="360" w:hanging="360"/>
      </w:pPr>
      <w:rPr>
        <w:rFonts w:ascii="Times New Roman" w:hAnsi="Times New Roman" w:cs="Times New Roman"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1"/>
  </w:num>
  <w:num w:numId="2">
    <w:abstractNumId w:val="1"/>
  </w:num>
  <w:num w:numId="3">
    <w:abstractNumId w:val="4"/>
  </w:num>
  <w:num w:numId="4">
    <w:abstractNumId w:val="16"/>
  </w:num>
  <w:num w:numId="5">
    <w:abstractNumId w:val="19"/>
  </w:num>
  <w:num w:numId="6">
    <w:abstractNumId w:val="7"/>
  </w:num>
  <w:num w:numId="7">
    <w:abstractNumId w:val="31"/>
  </w:num>
  <w:num w:numId="8">
    <w:abstractNumId w:val="13"/>
  </w:num>
  <w:num w:numId="9">
    <w:abstractNumId w:val="21"/>
  </w:num>
  <w:num w:numId="10">
    <w:abstractNumId w:val="37"/>
  </w:num>
  <w:num w:numId="11">
    <w:abstractNumId w:val="36"/>
  </w:num>
  <w:num w:numId="12">
    <w:abstractNumId w:val="14"/>
  </w:num>
  <w:num w:numId="13">
    <w:abstractNumId w:val="29"/>
  </w:num>
  <w:num w:numId="14">
    <w:abstractNumId w:val="5"/>
  </w:num>
  <w:num w:numId="15">
    <w:abstractNumId w:val="24"/>
  </w:num>
  <w:num w:numId="16">
    <w:abstractNumId w:val="42"/>
  </w:num>
  <w:num w:numId="17">
    <w:abstractNumId w:val="26"/>
  </w:num>
  <w:num w:numId="18">
    <w:abstractNumId w:val="17"/>
  </w:num>
  <w:num w:numId="19">
    <w:abstractNumId w:val="12"/>
  </w:num>
  <w:num w:numId="20">
    <w:abstractNumId w:val="43"/>
  </w:num>
  <w:num w:numId="21">
    <w:abstractNumId w:val="2"/>
  </w:num>
  <w:num w:numId="22">
    <w:abstractNumId w:val="30"/>
  </w:num>
  <w:num w:numId="23">
    <w:abstractNumId w:val="6"/>
  </w:num>
  <w:num w:numId="24">
    <w:abstractNumId w:val="22"/>
  </w:num>
  <w:num w:numId="25">
    <w:abstractNumId w:val="44"/>
  </w:num>
  <w:num w:numId="26">
    <w:abstractNumId w:val="27"/>
  </w:num>
  <w:num w:numId="27">
    <w:abstractNumId w:val="0"/>
  </w:num>
  <w:num w:numId="28">
    <w:abstractNumId w:val="41"/>
  </w:num>
  <w:num w:numId="29">
    <w:abstractNumId w:val="32"/>
  </w:num>
  <w:num w:numId="30">
    <w:abstractNumId w:val="33"/>
  </w:num>
  <w:num w:numId="31">
    <w:abstractNumId w:val="8"/>
  </w:num>
  <w:num w:numId="32">
    <w:abstractNumId w:val="9"/>
  </w:num>
  <w:num w:numId="33">
    <w:abstractNumId w:val="20"/>
  </w:num>
  <w:num w:numId="34">
    <w:abstractNumId w:val="34"/>
  </w:num>
  <w:num w:numId="35">
    <w:abstractNumId w:val="35"/>
  </w:num>
  <w:num w:numId="36">
    <w:abstractNumId w:val="40"/>
  </w:num>
  <w:num w:numId="37">
    <w:abstractNumId w:val="10"/>
  </w:num>
  <w:num w:numId="38">
    <w:abstractNumId w:val="18"/>
  </w:num>
  <w:num w:numId="39">
    <w:abstractNumId w:val="39"/>
  </w:num>
  <w:num w:numId="40">
    <w:abstractNumId w:val="23"/>
  </w:num>
  <w:num w:numId="41">
    <w:abstractNumId w:val="3"/>
  </w:num>
  <w:num w:numId="42">
    <w:abstractNumId w:val="36"/>
  </w:num>
  <w:num w:numId="43">
    <w:abstractNumId w:val="3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A26"/>
    <w:rsid w:val="000004E2"/>
    <w:rsid w:val="00000DAB"/>
    <w:rsid w:val="0000151D"/>
    <w:rsid w:val="00001B9D"/>
    <w:rsid w:val="000025A6"/>
    <w:rsid w:val="00002BAD"/>
    <w:rsid w:val="00002C06"/>
    <w:rsid w:val="00002CEA"/>
    <w:rsid w:val="00003087"/>
    <w:rsid w:val="0000320E"/>
    <w:rsid w:val="0000411A"/>
    <w:rsid w:val="00004FA5"/>
    <w:rsid w:val="00005360"/>
    <w:rsid w:val="00005C9F"/>
    <w:rsid w:val="00005F21"/>
    <w:rsid w:val="000063F2"/>
    <w:rsid w:val="000063F6"/>
    <w:rsid w:val="00006DAF"/>
    <w:rsid w:val="00007997"/>
    <w:rsid w:val="00007D18"/>
    <w:rsid w:val="00007DEC"/>
    <w:rsid w:val="00010C4A"/>
    <w:rsid w:val="000111A0"/>
    <w:rsid w:val="0001146D"/>
    <w:rsid w:val="0001179C"/>
    <w:rsid w:val="00011B9A"/>
    <w:rsid w:val="000121A4"/>
    <w:rsid w:val="00013FA2"/>
    <w:rsid w:val="000142EE"/>
    <w:rsid w:val="00014C67"/>
    <w:rsid w:val="00014DF0"/>
    <w:rsid w:val="00015683"/>
    <w:rsid w:val="00015F3C"/>
    <w:rsid w:val="00017542"/>
    <w:rsid w:val="000175F2"/>
    <w:rsid w:val="0002075E"/>
    <w:rsid w:val="00020D1D"/>
    <w:rsid w:val="00022B20"/>
    <w:rsid w:val="00022DA1"/>
    <w:rsid w:val="00023282"/>
    <w:rsid w:val="00024A3E"/>
    <w:rsid w:val="000254C6"/>
    <w:rsid w:val="0002634F"/>
    <w:rsid w:val="0002738C"/>
    <w:rsid w:val="0002775D"/>
    <w:rsid w:val="00030815"/>
    <w:rsid w:val="000311A5"/>
    <w:rsid w:val="00032615"/>
    <w:rsid w:val="00032DDC"/>
    <w:rsid w:val="00034D53"/>
    <w:rsid w:val="000353FA"/>
    <w:rsid w:val="00036BCE"/>
    <w:rsid w:val="0003706E"/>
    <w:rsid w:val="00037EA5"/>
    <w:rsid w:val="00040404"/>
    <w:rsid w:val="00041450"/>
    <w:rsid w:val="000418EF"/>
    <w:rsid w:val="00041DDB"/>
    <w:rsid w:val="00042095"/>
    <w:rsid w:val="0004290F"/>
    <w:rsid w:val="00042EA0"/>
    <w:rsid w:val="00042EB0"/>
    <w:rsid w:val="000433C6"/>
    <w:rsid w:val="0004490A"/>
    <w:rsid w:val="000450C9"/>
    <w:rsid w:val="000459C7"/>
    <w:rsid w:val="00046703"/>
    <w:rsid w:val="00046AF9"/>
    <w:rsid w:val="00046B4C"/>
    <w:rsid w:val="00047D6D"/>
    <w:rsid w:val="000500FB"/>
    <w:rsid w:val="0005070C"/>
    <w:rsid w:val="00050B08"/>
    <w:rsid w:val="00051925"/>
    <w:rsid w:val="00051ECF"/>
    <w:rsid w:val="00051F80"/>
    <w:rsid w:val="00052557"/>
    <w:rsid w:val="000539C4"/>
    <w:rsid w:val="00054772"/>
    <w:rsid w:val="000549BE"/>
    <w:rsid w:val="00054C30"/>
    <w:rsid w:val="0005528B"/>
    <w:rsid w:val="00055366"/>
    <w:rsid w:val="0005545B"/>
    <w:rsid w:val="00056234"/>
    <w:rsid w:val="000566B1"/>
    <w:rsid w:val="000567FF"/>
    <w:rsid w:val="0005725E"/>
    <w:rsid w:val="00057F64"/>
    <w:rsid w:val="00061742"/>
    <w:rsid w:val="000626BF"/>
    <w:rsid w:val="00062C3A"/>
    <w:rsid w:val="00064C0C"/>
    <w:rsid w:val="00064C74"/>
    <w:rsid w:val="00065001"/>
    <w:rsid w:val="0006614E"/>
    <w:rsid w:val="00066C9A"/>
    <w:rsid w:val="00066CEE"/>
    <w:rsid w:val="00067BC1"/>
    <w:rsid w:val="000706B7"/>
    <w:rsid w:val="000709DB"/>
    <w:rsid w:val="00070CD5"/>
    <w:rsid w:val="00070DE0"/>
    <w:rsid w:val="00072A25"/>
    <w:rsid w:val="00072E15"/>
    <w:rsid w:val="000736A4"/>
    <w:rsid w:val="00073CDB"/>
    <w:rsid w:val="00073F74"/>
    <w:rsid w:val="00074D80"/>
    <w:rsid w:val="00074E2C"/>
    <w:rsid w:val="0007572F"/>
    <w:rsid w:val="00075C56"/>
    <w:rsid w:val="00075D73"/>
    <w:rsid w:val="000816EE"/>
    <w:rsid w:val="00081846"/>
    <w:rsid w:val="00081C5A"/>
    <w:rsid w:val="00081F5F"/>
    <w:rsid w:val="00082A13"/>
    <w:rsid w:val="00082B6A"/>
    <w:rsid w:val="00083258"/>
    <w:rsid w:val="00083B72"/>
    <w:rsid w:val="00083F53"/>
    <w:rsid w:val="00084131"/>
    <w:rsid w:val="00084FF8"/>
    <w:rsid w:val="00086125"/>
    <w:rsid w:val="000862C5"/>
    <w:rsid w:val="00086894"/>
    <w:rsid w:val="00087042"/>
    <w:rsid w:val="000871D9"/>
    <w:rsid w:val="00087A5B"/>
    <w:rsid w:val="000902F5"/>
    <w:rsid w:val="000906C7"/>
    <w:rsid w:val="00091EAA"/>
    <w:rsid w:val="0009291C"/>
    <w:rsid w:val="0009326F"/>
    <w:rsid w:val="00093FFB"/>
    <w:rsid w:val="0009468A"/>
    <w:rsid w:val="00094749"/>
    <w:rsid w:val="0009599E"/>
    <w:rsid w:val="00095F85"/>
    <w:rsid w:val="00096DCF"/>
    <w:rsid w:val="000972B1"/>
    <w:rsid w:val="00097965"/>
    <w:rsid w:val="00097986"/>
    <w:rsid w:val="000A2072"/>
    <w:rsid w:val="000A259C"/>
    <w:rsid w:val="000A2BB7"/>
    <w:rsid w:val="000A3D5E"/>
    <w:rsid w:val="000A6C2B"/>
    <w:rsid w:val="000A71DE"/>
    <w:rsid w:val="000A75C0"/>
    <w:rsid w:val="000A768A"/>
    <w:rsid w:val="000B07FF"/>
    <w:rsid w:val="000B0DA3"/>
    <w:rsid w:val="000B1189"/>
    <w:rsid w:val="000B2505"/>
    <w:rsid w:val="000B29B8"/>
    <w:rsid w:val="000B390C"/>
    <w:rsid w:val="000B5118"/>
    <w:rsid w:val="000B7F32"/>
    <w:rsid w:val="000C02CB"/>
    <w:rsid w:val="000C060F"/>
    <w:rsid w:val="000C07CD"/>
    <w:rsid w:val="000C0B97"/>
    <w:rsid w:val="000C10EC"/>
    <w:rsid w:val="000C13AA"/>
    <w:rsid w:val="000C1B8A"/>
    <w:rsid w:val="000C20DD"/>
    <w:rsid w:val="000C393E"/>
    <w:rsid w:val="000C49BC"/>
    <w:rsid w:val="000C52FD"/>
    <w:rsid w:val="000C6457"/>
    <w:rsid w:val="000C6A48"/>
    <w:rsid w:val="000C6B65"/>
    <w:rsid w:val="000C6BD2"/>
    <w:rsid w:val="000C6D73"/>
    <w:rsid w:val="000C7E79"/>
    <w:rsid w:val="000D08E4"/>
    <w:rsid w:val="000D0BDC"/>
    <w:rsid w:val="000D1C2B"/>
    <w:rsid w:val="000D2B48"/>
    <w:rsid w:val="000D2CE1"/>
    <w:rsid w:val="000D359C"/>
    <w:rsid w:val="000D3D81"/>
    <w:rsid w:val="000D3E85"/>
    <w:rsid w:val="000D42DF"/>
    <w:rsid w:val="000D448F"/>
    <w:rsid w:val="000D458E"/>
    <w:rsid w:val="000D4A84"/>
    <w:rsid w:val="000D4E11"/>
    <w:rsid w:val="000D60A0"/>
    <w:rsid w:val="000D6E32"/>
    <w:rsid w:val="000E08CD"/>
    <w:rsid w:val="000E0E2E"/>
    <w:rsid w:val="000E2530"/>
    <w:rsid w:val="000E30DB"/>
    <w:rsid w:val="000E3720"/>
    <w:rsid w:val="000E3FED"/>
    <w:rsid w:val="000E470E"/>
    <w:rsid w:val="000E4E6D"/>
    <w:rsid w:val="000E52AF"/>
    <w:rsid w:val="000E52C8"/>
    <w:rsid w:val="000E763E"/>
    <w:rsid w:val="000F1F26"/>
    <w:rsid w:val="000F27B1"/>
    <w:rsid w:val="000F29E4"/>
    <w:rsid w:val="000F2A44"/>
    <w:rsid w:val="000F4005"/>
    <w:rsid w:val="000F42EB"/>
    <w:rsid w:val="000F528E"/>
    <w:rsid w:val="000F58C3"/>
    <w:rsid w:val="000F6EF2"/>
    <w:rsid w:val="001003EE"/>
    <w:rsid w:val="001005D6"/>
    <w:rsid w:val="00100669"/>
    <w:rsid w:val="00100AEA"/>
    <w:rsid w:val="00101B66"/>
    <w:rsid w:val="00101E15"/>
    <w:rsid w:val="00102361"/>
    <w:rsid w:val="00103BB4"/>
    <w:rsid w:val="00103F69"/>
    <w:rsid w:val="0010444C"/>
    <w:rsid w:val="00105208"/>
    <w:rsid w:val="001054B2"/>
    <w:rsid w:val="001058C6"/>
    <w:rsid w:val="00105E8E"/>
    <w:rsid w:val="0010694F"/>
    <w:rsid w:val="0010738D"/>
    <w:rsid w:val="0010747D"/>
    <w:rsid w:val="00107C7B"/>
    <w:rsid w:val="00110D5C"/>
    <w:rsid w:val="00111815"/>
    <w:rsid w:val="00111DF5"/>
    <w:rsid w:val="00111F8D"/>
    <w:rsid w:val="001125D7"/>
    <w:rsid w:val="00112CA1"/>
    <w:rsid w:val="00113915"/>
    <w:rsid w:val="001143A8"/>
    <w:rsid w:val="00114671"/>
    <w:rsid w:val="00114DF3"/>
    <w:rsid w:val="0011606E"/>
    <w:rsid w:val="0011632E"/>
    <w:rsid w:val="0011652D"/>
    <w:rsid w:val="0011684C"/>
    <w:rsid w:val="00117415"/>
    <w:rsid w:val="00120352"/>
    <w:rsid w:val="0012037F"/>
    <w:rsid w:val="001206D2"/>
    <w:rsid w:val="0012095B"/>
    <w:rsid w:val="00121DEC"/>
    <w:rsid w:val="001228A0"/>
    <w:rsid w:val="001238F4"/>
    <w:rsid w:val="00124603"/>
    <w:rsid w:val="00124C74"/>
    <w:rsid w:val="00125627"/>
    <w:rsid w:val="00126382"/>
    <w:rsid w:val="0012652E"/>
    <w:rsid w:val="00127467"/>
    <w:rsid w:val="00127D9B"/>
    <w:rsid w:val="00127DA6"/>
    <w:rsid w:val="00130056"/>
    <w:rsid w:val="00130393"/>
    <w:rsid w:val="00130DB4"/>
    <w:rsid w:val="00131320"/>
    <w:rsid w:val="00131E6D"/>
    <w:rsid w:val="00131F98"/>
    <w:rsid w:val="00132886"/>
    <w:rsid w:val="00132A96"/>
    <w:rsid w:val="00132BCD"/>
    <w:rsid w:val="001334AD"/>
    <w:rsid w:val="00133A13"/>
    <w:rsid w:val="00133C19"/>
    <w:rsid w:val="0013536C"/>
    <w:rsid w:val="00135919"/>
    <w:rsid w:val="00135A5D"/>
    <w:rsid w:val="001361A6"/>
    <w:rsid w:val="001370A2"/>
    <w:rsid w:val="00137D7D"/>
    <w:rsid w:val="00137F38"/>
    <w:rsid w:val="00141F14"/>
    <w:rsid w:val="00142A96"/>
    <w:rsid w:val="001432FE"/>
    <w:rsid w:val="001435F8"/>
    <w:rsid w:val="0014362C"/>
    <w:rsid w:val="001446AB"/>
    <w:rsid w:val="0014556A"/>
    <w:rsid w:val="00146224"/>
    <w:rsid w:val="001467B4"/>
    <w:rsid w:val="0014681E"/>
    <w:rsid w:val="00146DC9"/>
    <w:rsid w:val="001472C6"/>
    <w:rsid w:val="00147407"/>
    <w:rsid w:val="001474EE"/>
    <w:rsid w:val="001506D2"/>
    <w:rsid w:val="00150863"/>
    <w:rsid w:val="00150AC2"/>
    <w:rsid w:val="00151D09"/>
    <w:rsid w:val="001524FF"/>
    <w:rsid w:val="00152823"/>
    <w:rsid w:val="00152BD9"/>
    <w:rsid w:val="00152D3B"/>
    <w:rsid w:val="00152FE1"/>
    <w:rsid w:val="00153200"/>
    <w:rsid w:val="00154A0E"/>
    <w:rsid w:val="00154BC0"/>
    <w:rsid w:val="001551E2"/>
    <w:rsid w:val="0015557C"/>
    <w:rsid w:val="001557CA"/>
    <w:rsid w:val="00155F88"/>
    <w:rsid w:val="001561FA"/>
    <w:rsid w:val="0015702B"/>
    <w:rsid w:val="001570DE"/>
    <w:rsid w:val="00157501"/>
    <w:rsid w:val="00157AA2"/>
    <w:rsid w:val="00157B41"/>
    <w:rsid w:val="001614D4"/>
    <w:rsid w:val="0016329E"/>
    <w:rsid w:val="00164398"/>
    <w:rsid w:val="001649F7"/>
    <w:rsid w:val="00164B31"/>
    <w:rsid w:val="0016635B"/>
    <w:rsid w:val="0016640B"/>
    <w:rsid w:val="001677F2"/>
    <w:rsid w:val="00167A84"/>
    <w:rsid w:val="001706B4"/>
    <w:rsid w:val="001706BD"/>
    <w:rsid w:val="001708C9"/>
    <w:rsid w:val="0017176D"/>
    <w:rsid w:val="00171A23"/>
    <w:rsid w:val="001727D7"/>
    <w:rsid w:val="00173591"/>
    <w:rsid w:val="001747AA"/>
    <w:rsid w:val="001752BB"/>
    <w:rsid w:val="001752FA"/>
    <w:rsid w:val="0017711A"/>
    <w:rsid w:val="001774A5"/>
    <w:rsid w:val="00182683"/>
    <w:rsid w:val="0018275A"/>
    <w:rsid w:val="0018361C"/>
    <w:rsid w:val="00183E4F"/>
    <w:rsid w:val="0018441F"/>
    <w:rsid w:val="00184D5E"/>
    <w:rsid w:val="00187CA4"/>
    <w:rsid w:val="001903BD"/>
    <w:rsid w:val="00190832"/>
    <w:rsid w:val="0019166E"/>
    <w:rsid w:val="00191B1E"/>
    <w:rsid w:val="0019404A"/>
    <w:rsid w:val="00194200"/>
    <w:rsid w:val="00194717"/>
    <w:rsid w:val="00194B7A"/>
    <w:rsid w:val="001952C6"/>
    <w:rsid w:val="00195977"/>
    <w:rsid w:val="00195B4C"/>
    <w:rsid w:val="001963D5"/>
    <w:rsid w:val="00196691"/>
    <w:rsid w:val="001A10B6"/>
    <w:rsid w:val="001A11EE"/>
    <w:rsid w:val="001A1F1C"/>
    <w:rsid w:val="001A272D"/>
    <w:rsid w:val="001A2B74"/>
    <w:rsid w:val="001A38D6"/>
    <w:rsid w:val="001A3D62"/>
    <w:rsid w:val="001A4801"/>
    <w:rsid w:val="001A65E2"/>
    <w:rsid w:val="001A6B33"/>
    <w:rsid w:val="001A7CA2"/>
    <w:rsid w:val="001B0259"/>
    <w:rsid w:val="001B0C3E"/>
    <w:rsid w:val="001B0EA3"/>
    <w:rsid w:val="001B21B1"/>
    <w:rsid w:val="001B2DEB"/>
    <w:rsid w:val="001B305D"/>
    <w:rsid w:val="001B3536"/>
    <w:rsid w:val="001B3DFB"/>
    <w:rsid w:val="001B457D"/>
    <w:rsid w:val="001B4C60"/>
    <w:rsid w:val="001B6097"/>
    <w:rsid w:val="001B6AB7"/>
    <w:rsid w:val="001B796D"/>
    <w:rsid w:val="001B7DBE"/>
    <w:rsid w:val="001C02F0"/>
    <w:rsid w:val="001C0800"/>
    <w:rsid w:val="001C14E1"/>
    <w:rsid w:val="001C1F43"/>
    <w:rsid w:val="001C1F6C"/>
    <w:rsid w:val="001C25F8"/>
    <w:rsid w:val="001C2860"/>
    <w:rsid w:val="001C2B93"/>
    <w:rsid w:val="001C2C8C"/>
    <w:rsid w:val="001C324D"/>
    <w:rsid w:val="001C39DA"/>
    <w:rsid w:val="001C3F44"/>
    <w:rsid w:val="001C3F76"/>
    <w:rsid w:val="001C4021"/>
    <w:rsid w:val="001C48BE"/>
    <w:rsid w:val="001C4902"/>
    <w:rsid w:val="001C5102"/>
    <w:rsid w:val="001C525E"/>
    <w:rsid w:val="001C5C10"/>
    <w:rsid w:val="001C64F9"/>
    <w:rsid w:val="001C6844"/>
    <w:rsid w:val="001C6D1D"/>
    <w:rsid w:val="001C71E4"/>
    <w:rsid w:val="001C7576"/>
    <w:rsid w:val="001C7734"/>
    <w:rsid w:val="001C7736"/>
    <w:rsid w:val="001C7999"/>
    <w:rsid w:val="001C79AC"/>
    <w:rsid w:val="001C7A84"/>
    <w:rsid w:val="001D093B"/>
    <w:rsid w:val="001D2393"/>
    <w:rsid w:val="001D243D"/>
    <w:rsid w:val="001D2F11"/>
    <w:rsid w:val="001D33FF"/>
    <w:rsid w:val="001D4253"/>
    <w:rsid w:val="001D4347"/>
    <w:rsid w:val="001D46AD"/>
    <w:rsid w:val="001D59E1"/>
    <w:rsid w:val="001D714A"/>
    <w:rsid w:val="001D785F"/>
    <w:rsid w:val="001D789C"/>
    <w:rsid w:val="001E0103"/>
    <w:rsid w:val="001E0D56"/>
    <w:rsid w:val="001E0F15"/>
    <w:rsid w:val="001E12AE"/>
    <w:rsid w:val="001E1C99"/>
    <w:rsid w:val="001E29B8"/>
    <w:rsid w:val="001E2A6B"/>
    <w:rsid w:val="001E2BC1"/>
    <w:rsid w:val="001E3394"/>
    <w:rsid w:val="001E33E9"/>
    <w:rsid w:val="001E3BE0"/>
    <w:rsid w:val="001E4074"/>
    <w:rsid w:val="001E4A51"/>
    <w:rsid w:val="001E5114"/>
    <w:rsid w:val="001E5DF5"/>
    <w:rsid w:val="001E6332"/>
    <w:rsid w:val="001E7113"/>
    <w:rsid w:val="001E7747"/>
    <w:rsid w:val="001E785B"/>
    <w:rsid w:val="001F012A"/>
    <w:rsid w:val="001F0663"/>
    <w:rsid w:val="001F086A"/>
    <w:rsid w:val="001F0A48"/>
    <w:rsid w:val="001F0E15"/>
    <w:rsid w:val="001F1254"/>
    <w:rsid w:val="001F1481"/>
    <w:rsid w:val="001F409E"/>
    <w:rsid w:val="001F4198"/>
    <w:rsid w:val="001F4779"/>
    <w:rsid w:val="001F5018"/>
    <w:rsid w:val="001F5866"/>
    <w:rsid w:val="001F683A"/>
    <w:rsid w:val="001F69F7"/>
    <w:rsid w:val="001F6A2F"/>
    <w:rsid w:val="001F72AE"/>
    <w:rsid w:val="001F7D9D"/>
    <w:rsid w:val="001F7F02"/>
    <w:rsid w:val="002003B9"/>
    <w:rsid w:val="002008E7"/>
    <w:rsid w:val="00200B44"/>
    <w:rsid w:val="0020177A"/>
    <w:rsid w:val="00202BAD"/>
    <w:rsid w:val="00204D86"/>
    <w:rsid w:val="00205242"/>
    <w:rsid w:val="00205B34"/>
    <w:rsid w:val="00205EE9"/>
    <w:rsid w:val="00206D59"/>
    <w:rsid w:val="0020714A"/>
    <w:rsid w:val="00207180"/>
    <w:rsid w:val="00207421"/>
    <w:rsid w:val="00207867"/>
    <w:rsid w:val="0020795F"/>
    <w:rsid w:val="0021006D"/>
    <w:rsid w:val="002103C5"/>
    <w:rsid w:val="00211DBD"/>
    <w:rsid w:val="00212DE2"/>
    <w:rsid w:val="00212E18"/>
    <w:rsid w:val="0021321C"/>
    <w:rsid w:val="0021340C"/>
    <w:rsid w:val="00213AFF"/>
    <w:rsid w:val="00213F7F"/>
    <w:rsid w:val="002141F4"/>
    <w:rsid w:val="00214436"/>
    <w:rsid w:val="002144F3"/>
    <w:rsid w:val="0021450E"/>
    <w:rsid w:val="002168CC"/>
    <w:rsid w:val="00217025"/>
    <w:rsid w:val="0021769F"/>
    <w:rsid w:val="00217825"/>
    <w:rsid w:val="002206F4"/>
    <w:rsid w:val="00220DD7"/>
    <w:rsid w:val="00221154"/>
    <w:rsid w:val="00221389"/>
    <w:rsid w:val="0022231A"/>
    <w:rsid w:val="00222454"/>
    <w:rsid w:val="002230CA"/>
    <w:rsid w:val="002236BE"/>
    <w:rsid w:val="00224138"/>
    <w:rsid w:val="0022420B"/>
    <w:rsid w:val="002256B3"/>
    <w:rsid w:val="00225C32"/>
    <w:rsid w:val="00225C92"/>
    <w:rsid w:val="00226271"/>
    <w:rsid w:val="002265A7"/>
    <w:rsid w:val="00226A74"/>
    <w:rsid w:val="00226EA8"/>
    <w:rsid w:val="00227307"/>
    <w:rsid w:val="002276CC"/>
    <w:rsid w:val="0023058E"/>
    <w:rsid w:val="0023149C"/>
    <w:rsid w:val="002314A7"/>
    <w:rsid w:val="00232459"/>
    <w:rsid w:val="00232840"/>
    <w:rsid w:val="00233B42"/>
    <w:rsid w:val="00234819"/>
    <w:rsid w:val="002349C0"/>
    <w:rsid w:val="00235281"/>
    <w:rsid w:val="00235464"/>
    <w:rsid w:val="00235475"/>
    <w:rsid w:val="002360DB"/>
    <w:rsid w:val="0023659A"/>
    <w:rsid w:val="00237682"/>
    <w:rsid w:val="00237694"/>
    <w:rsid w:val="00237AFE"/>
    <w:rsid w:val="00237CDE"/>
    <w:rsid w:val="00240477"/>
    <w:rsid w:val="00240830"/>
    <w:rsid w:val="002409C5"/>
    <w:rsid w:val="002425E0"/>
    <w:rsid w:val="00242C7B"/>
    <w:rsid w:val="0024301D"/>
    <w:rsid w:val="002438A4"/>
    <w:rsid w:val="00243AA6"/>
    <w:rsid w:val="00244089"/>
    <w:rsid w:val="00246135"/>
    <w:rsid w:val="002464F3"/>
    <w:rsid w:val="00246750"/>
    <w:rsid w:val="00247279"/>
    <w:rsid w:val="00247567"/>
    <w:rsid w:val="002476BC"/>
    <w:rsid w:val="002479F2"/>
    <w:rsid w:val="002506C0"/>
    <w:rsid w:val="00250CA0"/>
    <w:rsid w:val="00250E3A"/>
    <w:rsid w:val="00250F21"/>
    <w:rsid w:val="0025103B"/>
    <w:rsid w:val="00251675"/>
    <w:rsid w:val="00251C9C"/>
    <w:rsid w:val="0025255E"/>
    <w:rsid w:val="00253622"/>
    <w:rsid w:val="002541A1"/>
    <w:rsid w:val="002558C7"/>
    <w:rsid w:val="00255EB8"/>
    <w:rsid w:val="0025653D"/>
    <w:rsid w:val="00256C0D"/>
    <w:rsid w:val="00257103"/>
    <w:rsid w:val="0025724F"/>
    <w:rsid w:val="00257451"/>
    <w:rsid w:val="00257551"/>
    <w:rsid w:val="00257BA8"/>
    <w:rsid w:val="00257C62"/>
    <w:rsid w:val="00260E5E"/>
    <w:rsid w:val="0026199E"/>
    <w:rsid w:val="00261FB9"/>
    <w:rsid w:val="00262BAE"/>
    <w:rsid w:val="00263947"/>
    <w:rsid w:val="0026415E"/>
    <w:rsid w:val="002644EE"/>
    <w:rsid w:val="00265917"/>
    <w:rsid w:val="00266387"/>
    <w:rsid w:val="00266697"/>
    <w:rsid w:val="002668F8"/>
    <w:rsid w:val="00266E47"/>
    <w:rsid w:val="00266E95"/>
    <w:rsid w:val="00267637"/>
    <w:rsid w:val="00267CF2"/>
    <w:rsid w:val="0027035C"/>
    <w:rsid w:val="0027050D"/>
    <w:rsid w:val="0027193A"/>
    <w:rsid w:val="0027374A"/>
    <w:rsid w:val="002743F1"/>
    <w:rsid w:val="00274896"/>
    <w:rsid w:val="002760FB"/>
    <w:rsid w:val="00280660"/>
    <w:rsid w:val="002811CE"/>
    <w:rsid w:val="00281292"/>
    <w:rsid w:val="00281988"/>
    <w:rsid w:val="0028227D"/>
    <w:rsid w:val="00282541"/>
    <w:rsid w:val="002830AF"/>
    <w:rsid w:val="0028460B"/>
    <w:rsid w:val="002848EC"/>
    <w:rsid w:val="00284D46"/>
    <w:rsid w:val="00285874"/>
    <w:rsid w:val="00286B15"/>
    <w:rsid w:val="002874D4"/>
    <w:rsid w:val="00287615"/>
    <w:rsid w:val="00287A1A"/>
    <w:rsid w:val="00287CAB"/>
    <w:rsid w:val="00287FB2"/>
    <w:rsid w:val="00290B4B"/>
    <w:rsid w:val="002921BB"/>
    <w:rsid w:val="00292568"/>
    <w:rsid w:val="002931C3"/>
    <w:rsid w:val="00294069"/>
    <w:rsid w:val="00294337"/>
    <w:rsid w:val="00295A34"/>
    <w:rsid w:val="00295A4D"/>
    <w:rsid w:val="002A0335"/>
    <w:rsid w:val="002A0458"/>
    <w:rsid w:val="002A11A1"/>
    <w:rsid w:val="002A1928"/>
    <w:rsid w:val="002A24E0"/>
    <w:rsid w:val="002A26B0"/>
    <w:rsid w:val="002A3C0D"/>
    <w:rsid w:val="002A4115"/>
    <w:rsid w:val="002A4960"/>
    <w:rsid w:val="002A515E"/>
    <w:rsid w:val="002A5911"/>
    <w:rsid w:val="002A5BA0"/>
    <w:rsid w:val="002A7254"/>
    <w:rsid w:val="002A79F4"/>
    <w:rsid w:val="002A7FB6"/>
    <w:rsid w:val="002B02B8"/>
    <w:rsid w:val="002B08B5"/>
    <w:rsid w:val="002B0BFE"/>
    <w:rsid w:val="002B0C6C"/>
    <w:rsid w:val="002B14EC"/>
    <w:rsid w:val="002B324F"/>
    <w:rsid w:val="002B3321"/>
    <w:rsid w:val="002B37F0"/>
    <w:rsid w:val="002B3A6E"/>
    <w:rsid w:val="002B4238"/>
    <w:rsid w:val="002B4C9B"/>
    <w:rsid w:val="002B50CB"/>
    <w:rsid w:val="002B541F"/>
    <w:rsid w:val="002B56B1"/>
    <w:rsid w:val="002B58D8"/>
    <w:rsid w:val="002B59A8"/>
    <w:rsid w:val="002B5CDC"/>
    <w:rsid w:val="002C0053"/>
    <w:rsid w:val="002C0106"/>
    <w:rsid w:val="002C06C7"/>
    <w:rsid w:val="002C0E92"/>
    <w:rsid w:val="002C0F0A"/>
    <w:rsid w:val="002C18D8"/>
    <w:rsid w:val="002C20A7"/>
    <w:rsid w:val="002C2E47"/>
    <w:rsid w:val="002C3220"/>
    <w:rsid w:val="002C4583"/>
    <w:rsid w:val="002C46B3"/>
    <w:rsid w:val="002C4F13"/>
    <w:rsid w:val="002C5321"/>
    <w:rsid w:val="002C5B9C"/>
    <w:rsid w:val="002C6B20"/>
    <w:rsid w:val="002C70E5"/>
    <w:rsid w:val="002C7102"/>
    <w:rsid w:val="002C71B2"/>
    <w:rsid w:val="002C7795"/>
    <w:rsid w:val="002D08CA"/>
    <w:rsid w:val="002D0E5B"/>
    <w:rsid w:val="002D1692"/>
    <w:rsid w:val="002D2CF5"/>
    <w:rsid w:val="002D31B3"/>
    <w:rsid w:val="002D320A"/>
    <w:rsid w:val="002D51C5"/>
    <w:rsid w:val="002E05EF"/>
    <w:rsid w:val="002E079C"/>
    <w:rsid w:val="002E09EB"/>
    <w:rsid w:val="002E15D5"/>
    <w:rsid w:val="002E1DB1"/>
    <w:rsid w:val="002E20EE"/>
    <w:rsid w:val="002E3274"/>
    <w:rsid w:val="002E3CA1"/>
    <w:rsid w:val="002E3DC2"/>
    <w:rsid w:val="002E43B2"/>
    <w:rsid w:val="002E4867"/>
    <w:rsid w:val="002E4ACC"/>
    <w:rsid w:val="002E4E86"/>
    <w:rsid w:val="002E598D"/>
    <w:rsid w:val="002E5BB0"/>
    <w:rsid w:val="002E5E9C"/>
    <w:rsid w:val="002E5F47"/>
    <w:rsid w:val="002E6A1C"/>
    <w:rsid w:val="002E6B0D"/>
    <w:rsid w:val="002E6B40"/>
    <w:rsid w:val="002E6CB1"/>
    <w:rsid w:val="002E6D71"/>
    <w:rsid w:val="002E7395"/>
    <w:rsid w:val="002F09A3"/>
    <w:rsid w:val="002F2129"/>
    <w:rsid w:val="002F2671"/>
    <w:rsid w:val="002F2CF9"/>
    <w:rsid w:val="002F2E75"/>
    <w:rsid w:val="002F2F2B"/>
    <w:rsid w:val="002F344B"/>
    <w:rsid w:val="002F385F"/>
    <w:rsid w:val="002F4FB8"/>
    <w:rsid w:val="002F5222"/>
    <w:rsid w:val="002F52D6"/>
    <w:rsid w:val="002F7292"/>
    <w:rsid w:val="002F76A8"/>
    <w:rsid w:val="002F7C85"/>
    <w:rsid w:val="00300C93"/>
    <w:rsid w:val="00300CC1"/>
    <w:rsid w:val="00301224"/>
    <w:rsid w:val="00301398"/>
    <w:rsid w:val="00302046"/>
    <w:rsid w:val="00305D10"/>
    <w:rsid w:val="0031053C"/>
    <w:rsid w:val="0031129A"/>
    <w:rsid w:val="00311C72"/>
    <w:rsid w:val="00311E46"/>
    <w:rsid w:val="003127FD"/>
    <w:rsid w:val="0031422B"/>
    <w:rsid w:val="003154ED"/>
    <w:rsid w:val="00316CDF"/>
    <w:rsid w:val="00316F55"/>
    <w:rsid w:val="003176BE"/>
    <w:rsid w:val="00317BC5"/>
    <w:rsid w:val="0032099F"/>
    <w:rsid w:val="00320D41"/>
    <w:rsid w:val="00321666"/>
    <w:rsid w:val="00321693"/>
    <w:rsid w:val="00322125"/>
    <w:rsid w:val="0032223D"/>
    <w:rsid w:val="00322AA1"/>
    <w:rsid w:val="00323069"/>
    <w:rsid w:val="00323FAB"/>
    <w:rsid w:val="003249F6"/>
    <w:rsid w:val="00327D66"/>
    <w:rsid w:val="003301C7"/>
    <w:rsid w:val="00330C77"/>
    <w:rsid w:val="00331119"/>
    <w:rsid w:val="003318CD"/>
    <w:rsid w:val="0033195C"/>
    <w:rsid w:val="00332184"/>
    <w:rsid w:val="003324B2"/>
    <w:rsid w:val="003345B0"/>
    <w:rsid w:val="00334C17"/>
    <w:rsid w:val="00335BC1"/>
    <w:rsid w:val="0033762F"/>
    <w:rsid w:val="003405EC"/>
    <w:rsid w:val="0034093E"/>
    <w:rsid w:val="00341514"/>
    <w:rsid w:val="00342167"/>
    <w:rsid w:val="00342C5E"/>
    <w:rsid w:val="0034410E"/>
    <w:rsid w:val="00344FEF"/>
    <w:rsid w:val="00345086"/>
    <w:rsid w:val="00346914"/>
    <w:rsid w:val="00346A30"/>
    <w:rsid w:val="00346CF4"/>
    <w:rsid w:val="003476CC"/>
    <w:rsid w:val="00350B03"/>
    <w:rsid w:val="0035150C"/>
    <w:rsid w:val="00351829"/>
    <w:rsid w:val="00351B21"/>
    <w:rsid w:val="00352363"/>
    <w:rsid w:val="00352FAA"/>
    <w:rsid w:val="0035313D"/>
    <w:rsid w:val="00353319"/>
    <w:rsid w:val="00353F6C"/>
    <w:rsid w:val="003542AF"/>
    <w:rsid w:val="00354C9F"/>
    <w:rsid w:val="00355D2A"/>
    <w:rsid w:val="00355E17"/>
    <w:rsid w:val="0035721E"/>
    <w:rsid w:val="003577F5"/>
    <w:rsid w:val="00360689"/>
    <w:rsid w:val="00361791"/>
    <w:rsid w:val="00362519"/>
    <w:rsid w:val="00363A97"/>
    <w:rsid w:val="00363E70"/>
    <w:rsid w:val="00363ECC"/>
    <w:rsid w:val="00365A03"/>
    <w:rsid w:val="00365DCF"/>
    <w:rsid w:val="00366618"/>
    <w:rsid w:val="00367344"/>
    <w:rsid w:val="00367EDA"/>
    <w:rsid w:val="00371331"/>
    <w:rsid w:val="0037293B"/>
    <w:rsid w:val="0037375E"/>
    <w:rsid w:val="003739F5"/>
    <w:rsid w:val="00374CD6"/>
    <w:rsid w:val="00375C67"/>
    <w:rsid w:val="00375C80"/>
    <w:rsid w:val="0037600C"/>
    <w:rsid w:val="00376721"/>
    <w:rsid w:val="00376E9B"/>
    <w:rsid w:val="003776F5"/>
    <w:rsid w:val="00380C88"/>
    <w:rsid w:val="00381875"/>
    <w:rsid w:val="00381F38"/>
    <w:rsid w:val="00382A53"/>
    <w:rsid w:val="00382E10"/>
    <w:rsid w:val="00382F09"/>
    <w:rsid w:val="00383F37"/>
    <w:rsid w:val="00384B2E"/>
    <w:rsid w:val="00384ED2"/>
    <w:rsid w:val="00385539"/>
    <w:rsid w:val="00386788"/>
    <w:rsid w:val="00386A3F"/>
    <w:rsid w:val="00386B9C"/>
    <w:rsid w:val="00386E46"/>
    <w:rsid w:val="003872C6"/>
    <w:rsid w:val="003874A5"/>
    <w:rsid w:val="0038757D"/>
    <w:rsid w:val="00387A7F"/>
    <w:rsid w:val="00390C27"/>
    <w:rsid w:val="0039103B"/>
    <w:rsid w:val="00391066"/>
    <w:rsid w:val="00391105"/>
    <w:rsid w:val="00391719"/>
    <w:rsid w:val="00392EA3"/>
    <w:rsid w:val="003932A7"/>
    <w:rsid w:val="00394528"/>
    <w:rsid w:val="00394FF7"/>
    <w:rsid w:val="00396397"/>
    <w:rsid w:val="003A09C1"/>
    <w:rsid w:val="003A1006"/>
    <w:rsid w:val="003A1C94"/>
    <w:rsid w:val="003A1DB5"/>
    <w:rsid w:val="003A23E2"/>
    <w:rsid w:val="003A40DB"/>
    <w:rsid w:val="003A4609"/>
    <w:rsid w:val="003A49C4"/>
    <w:rsid w:val="003A5262"/>
    <w:rsid w:val="003A558D"/>
    <w:rsid w:val="003A63DA"/>
    <w:rsid w:val="003A7130"/>
    <w:rsid w:val="003A7658"/>
    <w:rsid w:val="003A7DB5"/>
    <w:rsid w:val="003B042E"/>
    <w:rsid w:val="003B0D5A"/>
    <w:rsid w:val="003B1492"/>
    <w:rsid w:val="003B180E"/>
    <w:rsid w:val="003B1966"/>
    <w:rsid w:val="003B2589"/>
    <w:rsid w:val="003B506C"/>
    <w:rsid w:val="003B521F"/>
    <w:rsid w:val="003B6952"/>
    <w:rsid w:val="003B6CC0"/>
    <w:rsid w:val="003B7FD9"/>
    <w:rsid w:val="003C0A24"/>
    <w:rsid w:val="003C0D51"/>
    <w:rsid w:val="003C1372"/>
    <w:rsid w:val="003C13A3"/>
    <w:rsid w:val="003C1B28"/>
    <w:rsid w:val="003C2F80"/>
    <w:rsid w:val="003C3236"/>
    <w:rsid w:val="003C36C7"/>
    <w:rsid w:val="003C3781"/>
    <w:rsid w:val="003C3B4E"/>
    <w:rsid w:val="003C3CD9"/>
    <w:rsid w:val="003C4A17"/>
    <w:rsid w:val="003C4F2B"/>
    <w:rsid w:val="003C53D4"/>
    <w:rsid w:val="003C5BF9"/>
    <w:rsid w:val="003C609C"/>
    <w:rsid w:val="003C7CAB"/>
    <w:rsid w:val="003D05EE"/>
    <w:rsid w:val="003D0F13"/>
    <w:rsid w:val="003D1370"/>
    <w:rsid w:val="003D2B54"/>
    <w:rsid w:val="003D50A9"/>
    <w:rsid w:val="003D57FB"/>
    <w:rsid w:val="003D6266"/>
    <w:rsid w:val="003D661D"/>
    <w:rsid w:val="003D7B8E"/>
    <w:rsid w:val="003E0127"/>
    <w:rsid w:val="003E025D"/>
    <w:rsid w:val="003E0390"/>
    <w:rsid w:val="003E0F05"/>
    <w:rsid w:val="003E0F92"/>
    <w:rsid w:val="003E1880"/>
    <w:rsid w:val="003E1DC9"/>
    <w:rsid w:val="003E2207"/>
    <w:rsid w:val="003E2BE4"/>
    <w:rsid w:val="003E313A"/>
    <w:rsid w:val="003E40C7"/>
    <w:rsid w:val="003E4301"/>
    <w:rsid w:val="003E4501"/>
    <w:rsid w:val="003E5623"/>
    <w:rsid w:val="003E6A7A"/>
    <w:rsid w:val="003E7850"/>
    <w:rsid w:val="003E7BBE"/>
    <w:rsid w:val="003E7EED"/>
    <w:rsid w:val="003F0616"/>
    <w:rsid w:val="003F0F8F"/>
    <w:rsid w:val="003F13DA"/>
    <w:rsid w:val="003F2101"/>
    <w:rsid w:val="003F2727"/>
    <w:rsid w:val="003F2FD7"/>
    <w:rsid w:val="003F3656"/>
    <w:rsid w:val="003F3B25"/>
    <w:rsid w:val="003F3F8D"/>
    <w:rsid w:val="003F468C"/>
    <w:rsid w:val="003F4853"/>
    <w:rsid w:val="003F4942"/>
    <w:rsid w:val="003F4B7D"/>
    <w:rsid w:val="003F4CB5"/>
    <w:rsid w:val="003F4FD3"/>
    <w:rsid w:val="003F5391"/>
    <w:rsid w:val="003F5872"/>
    <w:rsid w:val="003F5CD4"/>
    <w:rsid w:val="003F5CD6"/>
    <w:rsid w:val="003F5F28"/>
    <w:rsid w:val="003F622E"/>
    <w:rsid w:val="003F7378"/>
    <w:rsid w:val="003F7DC2"/>
    <w:rsid w:val="003F7E95"/>
    <w:rsid w:val="00401200"/>
    <w:rsid w:val="00401793"/>
    <w:rsid w:val="004019D4"/>
    <w:rsid w:val="00401DA7"/>
    <w:rsid w:val="00402005"/>
    <w:rsid w:val="00402855"/>
    <w:rsid w:val="0040360D"/>
    <w:rsid w:val="0040373A"/>
    <w:rsid w:val="004038EA"/>
    <w:rsid w:val="00405386"/>
    <w:rsid w:val="004058D7"/>
    <w:rsid w:val="00405D17"/>
    <w:rsid w:val="00405F76"/>
    <w:rsid w:val="00406CC9"/>
    <w:rsid w:val="00406F95"/>
    <w:rsid w:val="0041052D"/>
    <w:rsid w:val="004109DA"/>
    <w:rsid w:val="0041105C"/>
    <w:rsid w:val="00411A1E"/>
    <w:rsid w:val="004124EC"/>
    <w:rsid w:val="0041292D"/>
    <w:rsid w:val="00412AE1"/>
    <w:rsid w:val="004136B6"/>
    <w:rsid w:val="00413AEB"/>
    <w:rsid w:val="00413D39"/>
    <w:rsid w:val="00413E86"/>
    <w:rsid w:val="004147F9"/>
    <w:rsid w:val="0041525F"/>
    <w:rsid w:val="0041557A"/>
    <w:rsid w:val="00416191"/>
    <w:rsid w:val="0041642D"/>
    <w:rsid w:val="00416A22"/>
    <w:rsid w:val="00416A29"/>
    <w:rsid w:val="00416E0F"/>
    <w:rsid w:val="00416F58"/>
    <w:rsid w:val="004174B6"/>
    <w:rsid w:val="00417EFD"/>
    <w:rsid w:val="004205EE"/>
    <w:rsid w:val="00421307"/>
    <w:rsid w:val="00421D8B"/>
    <w:rsid w:val="004226D8"/>
    <w:rsid w:val="00422915"/>
    <w:rsid w:val="00422D62"/>
    <w:rsid w:val="00424018"/>
    <w:rsid w:val="00424947"/>
    <w:rsid w:val="004257A1"/>
    <w:rsid w:val="004262A5"/>
    <w:rsid w:val="004263AC"/>
    <w:rsid w:val="00426481"/>
    <w:rsid w:val="004272BB"/>
    <w:rsid w:val="00430236"/>
    <w:rsid w:val="00430240"/>
    <w:rsid w:val="00430351"/>
    <w:rsid w:val="00430580"/>
    <w:rsid w:val="00430A08"/>
    <w:rsid w:val="0043127D"/>
    <w:rsid w:val="00431972"/>
    <w:rsid w:val="00432321"/>
    <w:rsid w:val="00432F45"/>
    <w:rsid w:val="0043633A"/>
    <w:rsid w:val="004368F7"/>
    <w:rsid w:val="00436E5A"/>
    <w:rsid w:val="004377EA"/>
    <w:rsid w:val="00440A39"/>
    <w:rsid w:val="00440D0A"/>
    <w:rsid w:val="00441F43"/>
    <w:rsid w:val="00442038"/>
    <w:rsid w:val="004420C9"/>
    <w:rsid w:val="00442C71"/>
    <w:rsid w:val="004434FB"/>
    <w:rsid w:val="00443C44"/>
    <w:rsid w:val="00443F63"/>
    <w:rsid w:val="004441CB"/>
    <w:rsid w:val="00444BCA"/>
    <w:rsid w:val="004450EA"/>
    <w:rsid w:val="004467ED"/>
    <w:rsid w:val="00447C48"/>
    <w:rsid w:val="00447C8D"/>
    <w:rsid w:val="00447E74"/>
    <w:rsid w:val="004505B2"/>
    <w:rsid w:val="00450D4D"/>
    <w:rsid w:val="00452AE7"/>
    <w:rsid w:val="00452CAD"/>
    <w:rsid w:val="00453D21"/>
    <w:rsid w:val="0045406A"/>
    <w:rsid w:val="00454A71"/>
    <w:rsid w:val="00455388"/>
    <w:rsid w:val="00455EA9"/>
    <w:rsid w:val="00455F56"/>
    <w:rsid w:val="00456756"/>
    <w:rsid w:val="00456862"/>
    <w:rsid w:val="0045690F"/>
    <w:rsid w:val="00457005"/>
    <w:rsid w:val="0045716D"/>
    <w:rsid w:val="00457422"/>
    <w:rsid w:val="004576D7"/>
    <w:rsid w:val="0046064C"/>
    <w:rsid w:val="00460A13"/>
    <w:rsid w:val="004617DB"/>
    <w:rsid w:val="004618FC"/>
    <w:rsid w:val="00461B22"/>
    <w:rsid w:val="00461E41"/>
    <w:rsid w:val="0046394E"/>
    <w:rsid w:val="00464267"/>
    <w:rsid w:val="004643FE"/>
    <w:rsid w:val="00465273"/>
    <w:rsid w:val="00466BD0"/>
    <w:rsid w:val="0046716C"/>
    <w:rsid w:val="00467F4D"/>
    <w:rsid w:val="0047016B"/>
    <w:rsid w:val="00470336"/>
    <w:rsid w:val="004703E7"/>
    <w:rsid w:val="00470FE9"/>
    <w:rsid w:val="00471DBD"/>
    <w:rsid w:val="004723C1"/>
    <w:rsid w:val="00472A1A"/>
    <w:rsid w:val="00473E07"/>
    <w:rsid w:val="00474AD0"/>
    <w:rsid w:val="00475237"/>
    <w:rsid w:val="00476317"/>
    <w:rsid w:val="00476F21"/>
    <w:rsid w:val="00477442"/>
    <w:rsid w:val="00477B98"/>
    <w:rsid w:val="00477F02"/>
    <w:rsid w:val="00480711"/>
    <w:rsid w:val="00481B94"/>
    <w:rsid w:val="004820C8"/>
    <w:rsid w:val="004821FB"/>
    <w:rsid w:val="00482565"/>
    <w:rsid w:val="00482EF5"/>
    <w:rsid w:val="004838E3"/>
    <w:rsid w:val="0048441F"/>
    <w:rsid w:val="004849D0"/>
    <w:rsid w:val="004856E1"/>
    <w:rsid w:val="00485F43"/>
    <w:rsid w:val="0048700F"/>
    <w:rsid w:val="0048704B"/>
    <w:rsid w:val="0048707F"/>
    <w:rsid w:val="00490981"/>
    <w:rsid w:val="00490C88"/>
    <w:rsid w:val="00490CAA"/>
    <w:rsid w:val="00491301"/>
    <w:rsid w:val="00491932"/>
    <w:rsid w:val="00491DDD"/>
    <w:rsid w:val="00492AFD"/>
    <w:rsid w:val="004939AA"/>
    <w:rsid w:val="00494622"/>
    <w:rsid w:val="00494677"/>
    <w:rsid w:val="00495347"/>
    <w:rsid w:val="004955D4"/>
    <w:rsid w:val="004958E0"/>
    <w:rsid w:val="0049697D"/>
    <w:rsid w:val="004969DE"/>
    <w:rsid w:val="00496F89"/>
    <w:rsid w:val="00497489"/>
    <w:rsid w:val="004A0947"/>
    <w:rsid w:val="004A0AFA"/>
    <w:rsid w:val="004A1517"/>
    <w:rsid w:val="004A1A94"/>
    <w:rsid w:val="004A202A"/>
    <w:rsid w:val="004A2F8A"/>
    <w:rsid w:val="004A3B3E"/>
    <w:rsid w:val="004A3CE7"/>
    <w:rsid w:val="004A414D"/>
    <w:rsid w:val="004A435B"/>
    <w:rsid w:val="004A4BC8"/>
    <w:rsid w:val="004A5DE6"/>
    <w:rsid w:val="004B0148"/>
    <w:rsid w:val="004B1288"/>
    <w:rsid w:val="004B16EA"/>
    <w:rsid w:val="004B24AC"/>
    <w:rsid w:val="004B42CD"/>
    <w:rsid w:val="004B5067"/>
    <w:rsid w:val="004B5313"/>
    <w:rsid w:val="004B5472"/>
    <w:rsid w:val="004B5A66"/>
    <w:rsid w:val="004B5A7E"/>
    <w:rsid w:val="004B68FD"/>
    <w:rsid w:val="004B7504"/>
    <w:rsid w:val="004C057D"/>
    <w:rsid w:val="004C2A0D"/>
    <w:rsid w:val="004C33B6"/>
    <w:rsid w:val="004C35C9"/>
    <w:rsid w:val="004C5479"/>
    <w:rsid w:val="004C5557"/>
    <w:rsid w:val="004C5D86"/>
    <w:rsid w:val="004C6A97"/>
    <w:rsid w:val="004C7391"/>
    <w:rsid w:val="004C7953"/>
    <w:rsid w:val="004D05F7"/>
    <w:rsid w:val="004D07B5"/>
    <w:rsid w:val="004D081F"/>
    <w:rsid w:val="004D0862"/>
    <w:rsid w:val="004D1CDB"/>
    <w:rsid w:val="004D26E3"/>
    <w:rsid w:val="004D339E"/>
    <w:rsid w:val="004D3B7C"/>
    <w:rsid w:val="004D3F95"/>
    <w:rsid w:val="004D5B31"/>
    <w:rsid w:val="004D695E"/>
    <w:rsid w:val="004E0541"/>
    <w:rsid w:val="004E0668"/>
    <w:rsid w:val="004E06BE"/>
    <w:rsid w:val="004E07F9"/>
    <w:rsid w:val="004E0EF9"/>
    <w:rsid w:val="004E1B00"/>
    <w:rsid w:val="004E2C20"/>
    <w:rsid w:val="004E2D17"/>
    <w:rsid w:val="004E2F5F"/>
    <w:rsid w:val="004E32EA"/>
    <w:rsid w:val="004E59AA"/>
    <w:rsid w:val="004E6097"/>
    <w:rsid w:val="004E655B"/>
    <w:rsid w:val="004E674F"/>
    <w:rsid w:val="004E72BD"/>
    <w:rsid w:val="004F14C0"/>
    <w:rsid w:val="004F1802"/>
    <w:rsid w:val="004F36A3"/>
    <w:rsid w:val="004F396C"/>
    <w:rsid w:val="004F3C1E"/>
    <w:rsid w:val="004F4BA3"/>
    <w:rsid w:val="004F5EFB"/>
    <w:rsid w:val="004F6DDB"/>
    <w:rsid w:val="004F6F45"/>
    <w:rsid w:val="004F77D0"/>
    <w:rsid w:val="004F7864"/>
    <w:rsid w:val="00500F84"/>
    <w:rsid w:val="00501B38"/>
    <w:rsid w:val="005026E7"/>
    <w:rsid w:val="005029F0"/>
    <w:rsid w:val="00505E85"/>
    <w:rsid w:val="00507143"/>
    <w:rsid w:val="0050715B"/>
    <w:rsid w:val="00507314"/>
    <w:rsid w:val="00507469"/>
    <w:rsid w:val="005102C0"/>
    <w:rsid w:val="005108E5"/>
    <w:rsid w:val="00510929"/>
    <w:rsid w:val="0051225D"/>
    <w:rsid w:val="005144CC"/>
    <w:rsid w:val="00514687"/>
    <w:rsid w:val="00514996"/>
    <w:rsid w:val="005153F7"/>
    <w:rsid w:val="0051578E"/>
    <w:rsid w:val="005162FB"/>
    <w:rsid w:val="005166EB"/>
    <w:rsid w:val="00517336"/>
    <w:rsid w:val="005173B2"/>
    <w:rsid w:val="0052176A"/>
    <w:rsid w:val="005221E5"/>
    <w:rsid w:val="0052254D"/>
    <w:rsid w:val="005239B6"/>
    <w:rsid w:val="00524253"/>
    <w:rsid w:val="00524553"/>
    <w:rsid w:val="00524611"/>
    <w:rsid w:val="005263F8"/>
    <w:rsid w:val="00526CE5"/>
    <w:rsid w:val="00526F3D"/>
    <w:rsid w:val="005302A4"/>
    <w:rsid w:val="00530466"/>
    <w:rsid w:val="00531294"/>
    <w:rsid w:val="005319C6"/>
    <w:rsid w:val="005320A0"/>
    <w:rsid w:val="00532C84"/>
    <w:rsid w:val="00532DA8"/>
    <w:rsid w:val="00532F83"/>
    <w:rsid w:val="005333DC"/>
    <w:rsid w:val="00533457"/>
    <w:rsid w:val="00534F7A"/>
    <w:rsid w:val="0053500A"/>
    <w:rsid w:val="00535527"/>
    <w:rsid w:val="0053575E"/>
    <w:rsid w:val="00537309"/>
    <w:rsid w:val="0054015A"/>
    <w:rsid w:val="00540DDE"/>
    <w:rsid w:val="005410A6"/>
    <w:rsid w:val="00541929"/>
    <w:rsid w:val="00541FB6"/>
    <w:rsid w:val="00542E33"/>
    <w:rsid w:val="00542FFB"/>
    <w:rsid w:val="005437BB"/>
    <w:rsid w:val="00544B94"/>
    <w:rsid w:val="00544CF8"/>
    <w:rsid w:val="00544D34"/>
    <w:rsid w:val="00545658"/>
    <w:rsid w:val="0054581A"/>
    <w:rsid w:val="00545BCC"/>
    <w:rsid w:val="00546158"/>
    <w:rsid w:val="005462D0"/>
    <w:rsid w:val="005470B1"/>
    <w:rsid w:val="00547127"/>
    <w:rsid w:val="0054745C"/>
    <w:rsid w:val="005474F6"/>
    <w:rsid w:val="00550D7F"/>
    <w:rsid w:val="0055154D"/>
    <w:rsid w:val="00552C36"/>
    <w:rsid w:val="00553620"/>
    <w:rsid w:val="005538E0"/>
    <w:rsid w:val="00554073"/>
    <w:rsid w:val="005544E6"/>
    <w:rsid w:val="00554961"/>
    <w:rsid w:val="00555467"/>
    <w:rsid w:val="00555E88"/>
    <w:rsid w:val="00556111"/>
    <w:rsid w:val="00556772"/>
    <w:rsid w:val="005574D7"/>
    <w:rsid w:val="00557B0F"/>
    <w:rsid w:val="00560900"/>
    <w:rsid w:val="00561692"/>
    <w:rsid w:val="005619B8"/>
    <w:rsid w:val="0056343B"/>
    <w:rsid w:val="00563B53"/>
    <w:rsid w:val="00564E55"/>
    <w:rsid w:val="005669EF"/>
    <w:rsid w:val="0056715B"/>
    <w:rsid w:val="005675D7"/>
    <w:rsid w:val="00570341"/>
    <w:rsid w:val="005703F4"/>
    <w:rsid w:val="00570F2E"/>
    <w:rsid w:val="00571623"/>
    <w:rsid w:val="00572C29"/>
    <w:rsid w:val="00573DB1"/>
    <w:rsid w:val="0057497E"/>
    <w:rsid w:val="00575777"/>
    <w:rsid w:val="00577963"/>
    <w:rsid w:val="00577C97"/>
    <w:rsid w:val="005806E8"/>
    <w:rsid w:val="00581755"/>
    <w:rsid w:val="00581863"/>
    <w:rsid w:val="00581EF3"/>
    <w:rsid w:val="005826C2"/>
    <w:rsid w:val="0058378D"/>
    <w:rsid w:val="00583F11"/>
    <w:rsid w:val="00584D66"/>
    <w:rsid w:val="005857F3"/>
    <w:rsid w:val="00585CAF"/>
    <w:rsid w:val="00585CC0"/>
    <w:rsid w:val="00585E5E"/>
    <w:rsid w:val="00586A8E"/>
    <w:rsid w:val="00586CAC"/>
    <w:rsid w:val="00586E2F"/>
    <w:rsid w:val="005870AE"/>
    <w:rsid w:val="00587C00"/>
    <w:rsid w:val="00590C61"/>
    <w:rsid w:val="00590CE8"/>
    <w:rsid w:val="00590DB5"/>
    <w:rsid w:val="00591098"/>
    <w:rsid w:val="00592755"/>
    <w:rsid w:val="005931A1"/>
    <w:rsid w:val="00594D46"/>
    <w:rsid w:val="00595156"/>
    <w:rsid w:val="00595AB2"/>
    <w:rsid w:val="00596DD6"/>
    <w:rsid w:val="00597C49"/>
    <w:rsid w:val="00597ED4"/>
    <w:rsid w:val="005A47A2"/>
    <w:rsid w:val="005A48F3"/>
    <w:rsid w:val="005A49D3"/>
    <w:rsid w:val="005A4B15"/>
    <w:rsid w:val="005A619A"/>
    <w:rsid w:val="005A643E"/>
    <w:rsid w:val="005A6454"/>
    <w:rsid w:val="005A6D08"/>
    <w:rsid w:val="005A71FB"/>
    <w:rsid w:val="005A777B"/>
    <w:rsid w:val="005B0C45"/>
    <w:rsid w:val="005B13DE"/>
    <w:rsid w:val="005B1BDA"/>
    <w:rsid w:val="005B1C84"/>
    <w:rsid w:val="005B2BF6"/>
    <w:rsid w:val="005B328A"/>
    <w:rsid w:val="005B4BC9"/>
    <w:rsid w:val="005B4D1C"/>
    <w:rsid w:val="005B502D"/>
    <w:rsid w:val="005B5156"/>
    <w:rsid w:val="005B54A4"/>
    <w:rsid w:val="005B6F36"/>
    <w:rsid w:val="005B76C6"/>
    <w:rsid w:val="005B7CAA"/>
    <w:rsid w:val="005C0045"/>
    <w:rsid w:val="005C0123"/>
    <w:rsid w:val="005C15BD"/>
    <w:rsid w:val="005C17F8"/>
    <w:rsid w:val="005C1B9E"/>
    <w:rsid w:val="005C32B9"/>
    <w:rsid w:val="005C3E56"/>
    <w:rsid w:val="005C3EEF"/>
    <w:rsid w:val="005C457A"/>
    <w:rsid w:val="005C49FE"/>
    <w:rsid w:val="005C5098"/>
    <w:rsid w:val="005C548F"/>
    <w:rsid w:val="005C5BE0"/>
    <w:rsid w:val="005C62BD"/>
    <w:rsid w:val="005C68B3"/>
    <w:rsid w:val="005C6C02"/>
    <w:rsid w:val="005D0ACC"/>
    <w:rsid w:val="005D0B33"/>
    <w:rsid w:val="005D0FB7"/>
    <w:rsid w:val="005D193E"/>
    <w:rsid w:val="005D20EC"/>
    <w:rsid w:val="005D2435"/>
    <w:rsid w:val="005D2E52"/>
    <w:rsid w:val="005D415C"/>
    <w:rsid w:val="005D4538"/>
    <w:rsid w:val="005D4647"/>
    <w:rsid w:val="005D5988"/>
    <w:rsid w:val="005D5F05"/>
    <w:rsid w:val="005D5F17"/>
    <w:rsid w:val="005D6378"/>
    <w:rsid w:val="005D6443"/>
    <w:rsid w:val="005D675F"/>
    <w:rsid w:val="005D6D1D"/>
    <w:rsid w:val="005D732D"/>
    <w:rsid w:val="005D7961"/>
    <w:rsid w:val="005E0ECF"/>
    <w:rsid w:val="005E0FD3"/>
    <w:rsid w:val="005E1E99"/>
    <w:rsid w:val="005E20B0"/>
    <w:rsid w:val="005E2303"/>
    <w:rsid w:val="005E27F1"/>
    <w:rsid w:val="005E2900"/>
    <w:rsid w:val="005E2F74"/>
    <w:rsid w:val="005E3525"/>
    <w:rsid w:val="005E450A"/>
    <w:rsid w:val="005E5129"/>
    <w:rsid w:val="005E5226"/>
    <w:rsid w:val="005E526F"/>
    <w:rsid w:val="005E5672"/>
    <w:rsid w:val="005E5F06"/>
    <w:rsid w:val="005E7909"/>
    <w:rsid w:val="005F1726"/>
    <w:rsid w:val="005F2043"/>
    <w:rsid w:val="005F37A2"/>
    <w:rsid w:val="005F39C5"/>
    <w:rsid w:val="005F4C65"/>
    <w:rsid w:val="005F519F"/>
    <w:rsid w:val="005F52E0"/>
    <w:rsid w:val="005F5AE3"/>
    <w:rsid w:val="005F62E7"/>
    <w:rsid w:val="005F779A"/>
    <w:rsid w:val="00600FC6"/>
    <w:rsid w:val="00601B02"/>
    <w:rsid w:val="00601DE4"/>
    <w:rsid w:val="006045D0"/>
    <w:rsid w:val="00604C30"/>
    <w:rsid w:val="00605988"/>
    <w:rsid w:val="00605A21"/>
    <w:rsid w:val="00605EA9"/>
    <w:rsid w:val="00606182"/>
    <w:rsid w:val="006064EE"/>
    <w:rsid w:val="006073F3"/>
    <w:rsid w:val="006079C2"/>
    <w:rsid w:val="0061026C"/>
    <w:rsid w:val="006105BB"/>
    <w:rsid w:val="00610717"/>
    <w:rsid w:val="006110C2"/>
    <w:rsid w:val="0061165E"/>
    <w:rsid w:val="00611D13"/>
    <w:rsid w:val="006129CE"/>
    <w:rsid w:val="0061327B"/>
    <w:rsid w:val="006137CF"/>
    <w:rsid w:val="00613A3F"/>
    <w:rsid w:val="006142CD"/>
    <w:rsid w:val="00615850"/>
    <w:rsid w:val="00615BC8"/>
    <w:rsid w:val="00616161"/>
    <w:rsid w:val="006164D4"/>
    <w:rsid w:val="00616A3B"/>
    <w:rsid w:val="00616D99"/>
    <w:rsid w:val="00617BB0"/>
    <w:rsid w:val="006200E9"/>
    <w:rsid w:val="006202C7"/>
    <w:rsid w:val="00621F9C"/>
    <w:rsid w:val="006228A7"/>
    <w:rsid w:val="00623C7E"/>
    <w:rsid w:val="00624C0A"/>
    <w:rsid w:val="00625403"/>
    <w:rsid w:val="006254D0"/>
    <w:rsid w:val="00625759"/>
    <w:rsid w:val="006258FE"/>
    <w:rsid w:val="00626ED1"/>
    <w:rsid w:val="006274C6"/>
    <w:rsid w:val="006304DA"/>
    <w:rsid w:val="0063051F"/>
    <w:rsid w:val="006309EE"/>
    <w:rsid w:val="00633DBD"/>
    <w:rsid w:val="00636A51"/>
    <w:rsid w:val="006410DC"/>
    <w:rsid w:val="00641926"/>
    <w:rsid w:val="00641FFE"/>
    <w:rsid w:val="00642F84"/>
    <w:rsid w:val="006443A1"/>
    <w:rsid w:val="00644D4B"/>
    <w:rsid w:val="00645D7A"/>
    <w:rsid w:val="006466D1"/>
    <w:rsid w:val="00646FC0"/>
    <w:rsid w:val="00647F6B"/>
    <w:rsid w:val="0065095D"/>
    <w:rsid w:val="00650B3D"/>
    <w:rsid w:val="00651A3F"/>
    <w:rsid w:val="00652633"/>
    <w:rsid w:val="0065291D"/>
    <w:rsid w:val="00652BD7"/>
    <w:rsid w:val="00652CFC"/>
    <w:rsid w:val="0065323A"/>
    <w:rsid w:val="00654E56"/>
    <w:rsid w:val="00655889"/>
    <w:rsid w:val="00655C78"/>
    <w:rsid w:val="00655ECB"/>
    <w:rsid w:val="006573DF"/>
    <w:rsid w:val="006578C4"/>
    <w:rsid w:val="006579C0"/>
    <w:rsid w:val="006601F7"/>
    <w:rsid w:val="006628CE"/>
    <w:rsid w:val="00662E7F"/>
    <w:rsid w:val="00663C95"/>
    <w:rsid w:val="00663E37"/>
    <w:rsid w:val="00664A16"/>
    <w:rsid w:val="00664B9A"/>
    <w:rsid w:val="00664E00"/>
    <w:rsid w:val="0066525E"/>
    <w:rsid w:val="006668E8"/>
    <w:rsid w:val="0066693E"/>
    <w:rsid w:val="0066706F"/>
    <w:rsid w:val="0066731B"/>
    <w:rsid w:val="006674D2"/>
    <w:rsid w:val="006675BA"/>
    <w:rsid w:val="006703DF"/>
    <w:rsid w:val="006728AB"/>
    <w:rsid w:val="006728FB"/>
    <w:rsid w:val="00673010"/>
    <w:rsid w:val="006739A5"/>
    <w:rsid w:val="006746B5"/>
    <w:rsid w:val="00674F1C"/>
    <w:rsid w:val="006753E7"/>
    <w:rsid w:val="00675669"/>
    <w:rsid w:val="00680378"/>
    <w:rsid w:val="00680933"/>
    <w:rsid w:val="00680FE3"/>
    <w:rsid w:val="0068105F"/>
    <w:rsid w:val="006811E1"/>
    <w:rsid w:val="0068168A"/>
    <w:rsid w:val="00681A0D"/>
    <w:rsid w:val="00682453"/>
    <w:rsid w:val="00682625"/>
    <w:rsid w:val="00682BF0"/>
    <w:rsid w:val="00682FEE"/>
    <w:rsid w:val="00683598"/>
    <w:rsid w:val="0068475B"/>
    <w:rsid w:val="006850EF"/>
    <w:rsid w:val="006854D3"/>
    <w:rsid w:val="00685BC0"/>
    <w:rsid w:val="00686BAF"/>
    <w:rsid w:val="006909B3"/>
    <w:rsid w:val="00690ADC"/>
    <w:rsid w:val="0069104D"/>
    <w:rsid w:val="00692116"/>
    <w:rsid w:val="006922D2"/>
    <w:rsid w:val="00693749"/>
    <w:rsid w:val="00693BA0"/>
    <w:rsid w:val="0069456A"/>
    <w:rsid w:val="00694AF9"/>
    <w:rsid w:val="00695FED"/>
    <w:rsid w:val="006970B0"/>
    <w:rsid w:val="006972CD"/>
    <w:rsid w:val="00697425"/>
    <w:rsid w:val="00697832"/>
    <w:rsid w:val="006A147C"/>
    <w:rsid w:val="006A24A4"/>
    <w:rsid w:val="006A3303"/>
    <w:rsid w:val="006A3B39"/>
    <w:rsid w:val="006A5512"/>
    <w:rsid w:val="006A5C31"/>
    <w:rsid w:val="006A5CAE"/>
    <w:rsid w:val="006A5FF7"/>
    <w:rsid w:val="006A6053"/>
    <w:rsid w:val="006A72F2"/>
    <w:rsid w:val="006A7A62"/>
    <w:rsid w:val="006B1508"/>
    <w:rsid w:val="006B241A"/>
    <w:rsid w:val="006B2464"/>
    <w:rsid w:val="006B2B03"/>
    <w:rsid w:val="006B2B8C"/>
    <w:rsid w:val="006B3044"/>
    <w:rsid w:val="006B32F8"/>
    <w:rsid w:val="006B3D72"/>
    <w:rsid w:val="006B3E6F"/>
    <w:rsid w:val="006B4C56"/>
    <w:rsid w:val="006B51FB"/>
    <w:rsid w:val="006B5706"/>
    <w:rsid w:val="006B580D"/>
    <w:rsid w:val="006B58D1"/>
    <w:rsid w:val="006B5FFD"/>
    <w:rsid w:val="006B6323"/>
    <w:rsid w:val="006B64B5"/>
    <w:rsid w:val="006B6B7E"/>
    <w:rsid w:val="006B7CBD"/>
    <w:rsid w:val="006B7F6A"/>
    <w:rsid w:val="006C013C"/>
    <w:rsid w:val="006C0A87"/>
    <w:rsid w:val="006C0F60"/>
    <w:rsid w:val="006C29AD"/>
    <w:rsid w:val="006C41DE"/>
    <w:rsid w:val="006C44A4"/>
    <w:rsid w:val="006C4CF3"/>
    <w:rsid w:val="006C6369"/>
    <w:rsid w:val="006C6C72"/>
    <w:rsid w:val="006C7B02"/>
    <w:rsid w:val="006C7C74"/>
    <w:rsid w:val="006D044A"/>
    <w:rsid w:val="006D0D24"/>
    <w:rsid w:val="006D29A0"/>
    <w:rsid w:val="006D2BD5"/>
    <w:rsid w:val="006D2CAD"/>
    <w:rsid w:val="006D4720"/>
    <w:rsid w:val="006D4E88"/>
    <w:rsid w:val="006D4E9C"/>
    <w:rsid w:val="006D60AC"/>
    <w:rsid w:val="006D63C2"/>
    <w:rsid w:val="006D64FE"/>
    <w:rsid w:val="006D6E2E"/>
    <w:rsid w:val="006D7952"/>
    <w:rsid w:val="006D7C39"/>
    <w:rsid w:val="006E0728"/>
    <w:rsid w:val="006E0F7D"/>
    <w:rsid w:val="006E11A2"/>
    <w:rsid w:val="006E1615"/>
    <w:rsid w:val="006E1767"/>
    <w:rsid w:val="006E2248"/>
    <w:rsid w:val="006E29FA"/>
    <w:rsid w:val="006E3090"/>
    <w:rsid w:val="006E30A8"/>
    <w:rsid w:val="006E3A26"/>
    <w:rsid w:val="006E4984"/>
    <w:rsid w:val="006E4BA8"/>
    <w:rsid w:val="006E4DA1"/>
    <w:rsid w:val="006E64AE"/>
    <w:rsid w:val="006E7258"/>
    <w:rsid w:val="006E72F8"/>
    <w:rsid w:val="006E7C40"/>
    <w:rsid w:val="006E7F61"/>
    <w:rsid w:val="006F058B"/>
    <w:rsid w:val="006F0982"/>
    <w:rsid w:val="006F0F7E"/>
    <w:rsid w:val="006F20E1"/>
    <w:rsid w:val="006F28A3"/>
    <w:rsid w:val="006F3435"/>
    <w:rsid w:val="006F4CE2"/>
    <w:rsid w:val="006F56FE"/>
    <w:rsid w:val="006F58F5"/>
    <w:rsid w:val="006F5F2E"/>
    <w:rsid w:val="006F6687"/>
    <w:rsid w:val="006F6E19"/>
    <w:rsid w:val="006F75B7"/>
    <w:rsid w:val="006F77BC"/>
    <w:rsid w:val="006F7A1D"/>
    <w:rsid w:val="006F7B14"/>
    <w:rsid w:val="006F7BA0"/>
    <w:rsid w:val="00700249"/>
    <w:rsid w:val="00700A9F"/>
    <w:rsid w:val="00700CAE"/>
    <w:rsid w:val="00700DE0"/>
    <w:rsid w:val="00702224"/>
    <w:rsid w:val="00702336"/>
    <w:rsid w:val="00702ED6"/>
    <w:rsid w:val="00703962"/>
    <w:rsid w:val="007039C5"/>
    <w:rsid w:val="00704557"/>
    <w:rsid w:val="0070460E"/>
    <w:rsid w:val="00704676"/>
    <w:rsid w:val="00704CDB"/>
    <w:rsid w:val="00704D1E"/>
    <w:rsid w:val="00704FE4"/>
    <w:rsid w:val="007058E6"/>
    <w:rsid w:val="00705AD2"/>
    <w:rsid w:val="0070650B"/>
    <w:rsid w:val="00706B5B"/>
    <w:rsid w:val="00707123"/>
    <w:rsid w:val="00707264"/>
    <w:rsid w:val="0070730C"/>
    <w:rsid w:val="00707CA2"/>
    <w:rsid w:val="007115D3"/>
    <w:rsid w:val="00711605"/>
    <w:rsid w:val="0071195E"/>
    <w:rsid w:val="00712B21"/>
    <w:rsid w:val="007150D7"/>
    <w:rsid w:val="007163DA"/>
    <w:rsid w:val="007169A5"/>
    <w:rsid w:val="00716E3C"/>
    <w:rsid w:val="007172EC"/>
    <w:rsid w:val="00720790"/>
    <w:rsid w:val="0072189D"/>
    <w:rsid w:val="0072251C"/>
    <w:rsid w:val="0072279F"/>
    <w:rsid w:val="00722BBE"/>
    <w:rsid w:val="0072388D"/>
    <w:rsid w:val="0072395A"/>
    <w:rsid w:val="00723FBD"/>
    <w:rsid w:val="00724E20"/>
    <w:rsid w:val="007254BB"/>
    <w:rsid w:val="0072699F"/>
    <w:rsid w:val="00727094"/>
    <w:rsid w:val="0073127A"/>
    <w:rsid w:val="007312D3"/>
    <w:rsid w:val="00731FC3"/>
    <w:rsid w:val="00733341"/>
    <w:rsid w:val="00733459"/>
    <w:rsid w:val="00733919"/>
    <w:rsid w:val="007339D3"/>
    <w:rsid w:val="00733F11"/>
    <w:rsid w:val="0073447F"/>
    <w:rsid w:val="0073478F"/>
    <w:rsid w:val="00735CC8"/>
    <w:rsid w:val="00735E3B"/>
    <w:rsid w:val="00736A25"/>
    <w:rsid w:val="00736CD4"/>
    <w:rsid w:val="007374A9"/>
    <w:rsid w:val="00737679"/>
    <w:rsid w:val="00737794"/>
    <w:rsid w:val="00737B39"/>
    <w:rsid w:val="00737ED7"/>
    <w:rsid w:val="00740AE6"/>
    <w:rsid w:val="0074200E"/>
    <w:rsid w:val="007430E1"/>
    <w:rsid w:val="0074332B"/>
    <w:rsid w:val="00744D59"/>
    <w:rsid w:val="00745094"/>
    <w:rsid w:val="00745AE2"/>
    <w:rsid w:val="00745B50"/>
    <w:rsid w:val="00745C41"/>
    <w:rsid w:val="00745C96"/>
    <w:rsid w:val="00746119"/>
    <w:rsid w:val="00746295"/>
    <w:rsid w:val="00746CCE"/>
    <w:rsid w:val="00746E69"/>
    <w:rsid w:val="0074768F"/>
    <w:rsid w:val="00750EAB"/>
    <w:rsid w:val="00751B40"/>
    <w:rsid w:val="00753A77"/>
    <w:rsid w:val="00753B96"/>
    <w:rsid w:val="007547B1"/>
    <w:rsid w:val="007550C1"/>
    <w:rsid w:val="00755A32"/>
    <w:rsid w:val="00755A71"/>
    <w:rsid w:val="007576B5"/>
    <w:rsid w:val="00761BF5"/>
    <w:rsid w:val="00761D51"/>
    <w:rsid w:val="00761FC4"/>
    <w:rsid w:val="007626F2"/>
    <w:rsid w:val="0076281E"/>
    <w:rsid w:val="00762918"/>
    <w:rsid w:val="00762A20"/>
    <w:rsid w:val="0076355E"/>
    <w:rsid w:val="007637CB"/>
    <w:rsid w:val="00763FFE"/>
    <w:rsid w:val="00764193"/>
    <w:rsid w:val="00764344"/>
    <w:rsid w:val="007643DC"/>
    <w:rsid w:val="00764593"/>
    <w:rsid w:val="007655A3"/>
    <w:rsid w:val="00765B39"/>
    <w:rsid w:val="0077172B"/>
    <w:rsid w:val="00771B97"/>
    <w:rsid w:val="007735E5"/>
    <w:rsid w:val="00773E78"/>
    <w:rsid w:val="00775228"/>
    <w:rsid w:val="00776034"/>
    <w:rsid w:val="00776C53"/>
    <w:rsid w:val="00776D3C"/>
    <w:rsid w:val="00777008"/>
    <w:rsid w:val="007771E2"/>
    <w:rsid w:val="007778FE"/>
    <w:rsid w:val="00777EAB"/>
    <w:rsid w:val="0078027D"/>
    <w:rsid w:val="007824EE"/>
    <w:rsid w:val="0078257F"/>
    <w:rsid w:val="00782658"/>
    <w:rsid w:val="00782A7D"/>
    <w:rsid w:val="00782C47"/>
    <w:rsid w:val="00782D9D"/>
    <w:rsid w:val="00784185"/>
    <w:rsid w:val="007842EB"/>
    <w:rsid w:val="00785E55"/>
    <w:rsid w:val="00786292"/>
    <w:rsid w:val="00786EC3"/>
    <w:rsid w:val="00787CAD"/>
    <w:rsid w:val="007906B4"/>
    <w:rsid w:val="0079160B"/>
    <w:rsid w:val="007917F2"/>
    <w:rsid w:val="00792D62"/>
    <w:rsid w:val="00794570"/>
    <w:rsid w:val="00794C81"/>
    <w:rsid w:val="00795803"/>
    <w:rsid w:val="0079588E"/>
    <w:rsid w:val="0079589C"/>
    <w:rsid w:val="00795B61"/>
    <w:rsid w:val="00796499"/>
    <w:rsid w:val="007966F6"/>
    <w:rsid w:val="00796DDD"/>
    <w:rsid w:val="007A01B0"/>
    <w:rsid w:val="007A035E"/>
    <w:rsid w:val="007A03F7"/>
    <w:rsid w:val="007A0AB7"/>
    <w:rsid w:val="007A0C2E"/>
    <w:rsid w:val="007A25AB"/>
    <w:rsid w:val="007A2F3B"/>
    <w:rsid w:val="007A44F9"/>
    <w:rsid w:val="007A45F3"/>
    <w:rsid w:val="007A61C5"/>
    <w:rsid w:val="007A6355"/>
    <w:rsid w:val="007B0DFB"/>
    <w:rsid w:val="007B2550"/>
    <w:rsid w:val="007B3479"/>
    <w:rsid w:val="007B645D"/>
    <w:rsid w:val="007B7F00"/>
    <w:rsid w:val="007C2ADD"/>
    <w:rsid w:val="007C351C"/>
    <w:rsid w:val="007C471F"/>
    <w:rsid w:val="007C5594"/>
    <w:rsid w:val="007C5AE2"/>
    <w:rsid w:val="007C5B84"/>
    <w:rsid w:val="007C5C37"/>
    <w:rsid w:val="007C5EEF"/>
    <w:rsid w:val="007C606A"/>
    <w:rsid w:val="007C61A8"/>
    <w:rsid w:val="007C6A89"/>
    <w:rsid w:val="007C7012"/>
    <w:rsid w:val="007D0532"/>
    <w:rsid w:val="007D1321"/>
    <w:rsid w:val="007D13C9"/>
    <w:rsid w:val="007D17BF"/>
    <w:rsid w:val="007D2AD6"/>
    <w:rsid w:val="007D3659"/>
    <w:rsid w:val="007D386B"/>
    <w:rsid w:val="007D3D9A"/>
    <w:rsid w:val="007D4D7C"/>
    <w:rsid w:val="007D4EE6"/>
    <w:rsid w:val="007D54E0"/>
    <w:rsid w:val="007D652A"/>
    <w:rsid w:val="007D6C3F"/>
    <w:rsid w:val="007D6EA1"/>
    <w:rsid w:val="007D6F65"/>
    <w:rsid w:val="007D7932"/>
    <w:rsid w:val="007E0A85"/>
    <w:rsid w:val="007E1DA8"/>
    <w:rsid w:val="007E215D"/>
    <w:rsid w:val="007E21E1"/>
    <w:rsid w:val="007E2770"/>
    <w:rsid w:val="007E3143"/>
    <w:rsid w:val="007E4A1D"/>
    <w:rsid w:val="007E5181"/>
    <w:rsid w:val="007E600A"/>
    <w:rsid w:val="007E6425"/>
    <w:rsid w:val="007E6DB3"/>
    <w:rsid w:val="007F097A"/>
    <w:rsid w:val="007F1444"/>
    <w:rsid w:val="007F14FC"/>
    <w:rsid w:val="007F1AF7"/>
    <w:rsid w:val="007F2427"/>
    <w:rsid w:val="007F285E"/>
    <w:rsid w:val="007F2AD2"/>
    <w:rsid w:val="007F2FA9"/>
    <w:rsid w:val="007F3268"/>
    <w:rsid w:val="007F3601"/>
    <w:rsid w:val="007F3EB1"/>
    <w:rsid w:val="007F400C"/>
    <w:rsid w:val="007F4D1E"/>
    <w:rsid w:val="007F501B"/>
    <w:rsid w:val="007F56F3"/>
    <w:rsid w:val="007F69F8"/>
    <w:rsid w:val="008012F8"/>
    <w:rsid w:val="00802AED"/>
    <w:rsid w:val="008033BB"/>
    <w:rsid w:val="00803C5E"/>
    <w:rsid w:val="00803F67"/>
    <w:rsid w:val="0080454D"/>
    <w:rsid w:val="008047AF"/>
    <w:rsid w:val="00804DB9"/>
    <w:rsid w:val="0080545C"/>
    <w:rsid w:val="00805B44"/>
    <w:rsid w:val="00805F08"/>
    <w:rsid w:val="00806820"/>
    <w:rsid w:val="00807A96"/>
    <w:rsid w:val="00807BBC"/>
    <w:rsid w:val="00807E57"/>
    <w:rsid w:val="0081079F"/>
    <w:rsid w:val="00811FA4"/>
    <w:rsid w:val="00812059"/>
    <w:rsid w:val="0081224F"/>
    <w:rsid w:val="00812357"/>
    <w:rsid w:val="008126D7"/>
    <w:rsid w:val="00812FB3"/>
    <w:rsid w:val="008134C1"/>
    <w:rsid w:val="00814718"/>
    <w:rsid w:val="00814A07"/>
    <w:rsid w:val="00815A02"/>
    <w:rsid w:val="008163A0"/>
    <w:rsid w:val="00817140"/>
    <w:rsid w:val="00820641"/>
    <w:rsid w:val="00820A8F"/>
    <w:rsid w:val="008223EA"/>
    <w:rsid w:val="0082253B"/>
    <w:rsid w:val="00823D31"/>
    <w:rsid w:val="008242F3"/>
    <w:rsid w:val="00824AB6"/>
    <w:rsid w:val="00824EC9"/>
    <w:rsid w:val="0082584D"/>
    <w:rsid w:val="00826105"/>
    <w:rsid w:val="00827ACC"/>
    <w:rsid w:val="00827E5A"/>
    <w:rsid w:val="0083079D"/>
    <w:rsid w:val="00831272"/>
    <w:rsid w:val="00831364"/>
    <w:rsid w:val="0083222C"/>
    <w:rsid w:val="00832715"/>
    <w:rsid w:val="00832869"/>
    <w:rsid w:val="00832BA4"/>
    <w:rsid w:val="00832C03"/>
    <w:rsid w:val="00833549"/>
    <w:rsid w:val="008339D1"/>
    <w:rsid w:val="00834477"/>
    <w:rsid w:val="0083482A"/>
    <w:rsid w:val="00834977"/>
    <w:rsid w:val="00834CC6"/>
    <w:rsid w:val="00834DBA"/>
    <w:rsid w:val="008351E9"/>
    <w:rsid w:val="0083594E"/>
    <w:rsid w:val="00835C15"/>
    <w:rsid w:val="0083649A"/>
    <w:rsid w:val="008364B9"/>
    <w:rsid w:val="0083742B"/>
    <w:rsid w:val="0084015B"/>
    <w:rsid w:val="00840312"/>
    <w:rsid w:val="00840995"/>
    <w:rsid w:val="0084231A"/>
    <w:rsid w:val="008423CC"/>
    <w:rsid w:val="00842B83"/>
    <w:rsid w:val="00843D07"/>
    <w:rsid w:val="0084518F"/>
    <w:rsid w:val="00847D39"/>
    <w:rsid w:val="00847DA3"/>
    <w:rsid w:val="00847FE7"/>
    <w:rsid w:val="00851F36"/>
    <w:rsid w:val="00852B00"/>
    <w:rsid w:val="00852F19"/>
    <w:rsid w:val="00852FCE"/>
    <w:rsid w:val="008532B7"/>
    <w:rsid w:val="0085339E"/>
    <w:rsid w:val="00855BF7"/>
    <w:rsid w:val="008565E5"/>
    <w:rsid w:val="00856874"/>
    <w:rsid w:val="0085748A"/>
    <w:rsid w:val="008578F9"/>
    <w:rsid w:val="00857B86"/>
    <w:rsid w:val="008606A4"/>
    <w:rsid w:val="00860B49"/>
    <w:rsid w:val="00861392"/>
    <w:rsid w:val="00862C75"/>
    <w:rsid w:val="00862CFA"/>
    <w:rsid w:val="0086375E"/>
    <w:rsid w:val="00864465"/>
    <w:rsid w:val="00864817"/>
    <w:rsid w:val="00864EB3"/>
    <w:rsid w:val="00865273"/>
    <w:rsid w:val="008652BC"/>
    <w:rsid w:val="00865731"/>
    <w:rsid w:val="00866024"/>
    <w:rsid w:val="00866545"/>
    <w:rsid w:val="00866F7B"/>
    <w:rsid w:val="00867794"/>
    <w:rsid w:val="008678B4"/>
    <w:rsid w:val="00872259"/>
    <w:rsid w:val="008733CF"/>
    <w:rsid w:val="00873591"/>
    <w:rsid w:val="00874798"/>
    <w:rsid w:val="00874A66"/>
    <w:rsid w:val="00874D7B"/>
    <w:rsid w:val="00874D8A"/>
    <w:rsid w:val="00875363"/>
    <w:rsid w:val="0087643C"/>
    <w:rsid w:val="0088104C"/>
    <w:rsid w:val="0088140F"/>
    <w:rsid w:val="0088148E"/>
    <w:rsid w:val="00881A79"/>
    <w:rsid w:val="00881E03"/>
    <w:rsid w:val="0088255A"/>
    <w:rsid w:val="00882738"/>
    <w:rsid w:val="00884536"/>
    <w:rsid w:val="008847D0"/>
    <w:rsid w:val="00884D76"/>
    <w:rsid w:val="00885529"/>
    <w:rsid w:val="008861E2"/>
    <w:rsid w:val="00886B85"/>
    <w:rsid w:val="00886EEF"/>
    <w:rsid w:val="0088743B"/>
    <w:rsid w:val="0089046D"/>
    <w:rsid w:val="00890845"/>
    <w:rsid w:val="00890B01"/>
    <w:rsid w:val="00893EC5"/>
    <w:rsid w:val="00894FC9"/>
    <w:rsid w:val="008959F2"/>
    <w:rsid w:val="00896222"/>
    <w:rsid w:val="0089677C"/>
    <w:rsid w:val="00896DFD"/>
    <w:rsid w:val="00896FA1"/>
    <w:rsid w:val="00897350"/>
    <w:rsid w:val="0089785A"/>
    <w:rsid w:val="008A0067"/>
    <w:rsid w:val="008A0D17"/>
    <w:rsid w:val="008A20A1"/>
    <w:rsid w:val="008A2B7F"/>
    <w:rsid w:val="008A2CCF"/>
    <w:rsid w:val="008A3019"/>
    <w:rsid w:val="008A365B"/>
    <w:rsid w:val="008A5302"/>
    <w:rsid w:val="008A57BA"/>
    <w:rsid w:val="008A65D0"/>
    <w:rsid w:val="008A7E4C"/>
    <w:rsid w:val="008B0265"/>
    <w:rsid w:val="008B2E91"/>
    <w:rsid w:val="008B3635"/>
    <w:rsid w:val="008B3CEB"/>
    <w:rsid w:val="008B4C9D"/>
    <w:rsid w:val="008B4F8C"/>
    <w:rsid w:val="008B50D0"/>
    <w:rsid w:val="008B50F5"/>
    <w:rsid w:val="008B55EA"/>
    <w:rsid w:val="008B578E"/>
    <w:rsid w:val="008B6405"/>
    <w:rsid w:val="008B6870"/>
    <w:rsid w:val="008B70BB"/>
    <w:rsid w:val="008B7600"/>
    <w:rsid w:val="008C1064"/>
    <w:rsid w:val="008C1AC7"/>
    <w:rsid w:val="008C2036"/>
    <w:rsid w:val="008C209C"/>
    <w:rsid w:val="008C24D2"/>
    <w:rsid w:val="008C2613"/>
    <w:rsid w:val="008C27AD"/>
    <w:rsid w:val="008C2A8B"/>
    <w:rsid w:val="008C34B2"/>
    <w:rsid w:val="008C3CBD"/>
    <w:rsid w:val="008C50DD"/>
    <w:rsid w:val="008C5178"/>
    <w:rsid w:val="008C6A7C"/>
    <w:rsid w:val="008C776E"/>
    <w:rsid w:val="008D030B"/>
    <w:rsid w:val="008D036D"/>
    <w:rsid w:val="008D0A9B"/>
    <w:rsid w:val="008D0D01"/>
    <w:rsid w:val="008D0DB8"/>
    <w:rsid w:val="008D0ED3"/>
    <w:rsid w:val="008D1234"/>
    <w:rsid w:val="008D1A7B"/>
    <w:rsid w:val="008D2218"/>
    <w:rsid w:val="008D2C7A"/>
    <w:rsid w:val="008D2DE9"/>
    <w:rsid w:val="008D2EC4"/>
    <w:rsid w:val="008D3303"/>
    <w:rsid w:val="008D3649"/>
    <w:rsid w:val="008D4131"/>
    <w:rsid w:val="008D58DF"/>
    <w:rsid w:val="008D5ED8"/>
    <w:rsid w:val="008D6074"/>
    <w:rsid w:val="008D6195"/>
    <w:rsid w:val="008D6210"/>
    <w:rsid w:val="008D6798"/>
    <w:rsid w:val="008D73E2"/>
    <w:rsid w:val="008E0B65"/>
    <w:rsid w:val="008E1C3F"/>
    <w:rsid w:val="008E1F08"/>
    <w:rsid w:val="008E273D"/>
    <w:rsid w:val="008E29E0"/>
    <w:rsid w:val="008E46B4"/>
    <w:rsid w:val="008E5423"/>
    <w:rsid w:val="008E5591"/>
    <w:rsid w:val="008E59FB"/>
    <w:rsid w:val="008E74FA"/>
    <w:rsid w:val="008E7ECC"/>
    <w:rsid w:val="008F0EB0"/>
    <w:rsid w:val="008F1817"/>
    <w:rsid w:val="008F1C27"/>
    <w:rsid w:val="008F2C13"/>
    <w:rsid w:val="008F2D72"/>
    <w:rsid w:val="008F39C2"/>
    <w:rsid w:val="008F3D7A"/>
    <w:rsid w:val="008F421A"/>
    <w:rsid w:val="008F42A9"/>
    <w:rsid w:val="008F45AA"/>
    <w:rsid w:val="008F4FE9"/>
    <w:rsid w:val="008F5257"/>
    <w:rsid w:val="008F5434"/>
    <w:rsid w:val="008F54CD"/>
    <w:rsid w:val="008F6D4F"/>
    <w:rsid w:val="008F7635"/>
    <w:rsid w:val="009004B1"/>
    <w:rsid w:val="009006DF"/>
    <w:rsid w:val="009006EC"/>
    <w:rsid w:val="0090126F"/>
    <w:rsid w:val="00901625"/>
    <w:rsid w:val="00902118"/>
    <w:rsid w:val="0090239A"/>
    <w:rsid w:val="00902CCD"/>
    <w:rsid w:val="00903DBB"/>
    <w:rsid w:val="00904099"/>
    <w:rsid w:val="009046BB"/>
    <w:rsid w:val="00904F0E"/>
    <w:rsid w:val="00907A3D"/>
    <w:rsid w:val="009100B4"/>
    <w:rsid w:val="00910BEC"/>
    <w:rsid w:val="00911141"/>
    <w:rsid w:val="00911A37"/>
    <w:rsid w:val="00913443"/>
    <w:rsid w:val="00915034"/>
    <w:rsid w:val="009172FA"/>
    <w:rsid w:val="0092036A"/>
    <w:rsid w:val="009210B7"/>
    <w:rsid w:val="009211A9"/>
    <w:rsid w:val="00924C2F"/>
    <w:rsid w:val="00924DE8"/>
    <w:rsid w:val="00924E20"/>
    <w:rsid w:val="00925214"/>
    <w:rsid w:val="009254E0"/>
    <w:rsid w:val="00925E89"/>
    <w:rsid w:val="0092690B"/>
    <w:rsid w:val="00926D7E"/>
    <w:rsid w:val="00927BA6"/>
    <w:rsid w:val="00927C14"/>
    <w:rsid w:val="0093017A"/>
    <w:rsid w:val="00930673"/>
    <w:rsid w:val="00931098"/>
    <w:rsid w:val="00931CA4"/>
    <w:rsid w:val="00933D07"/>
    <w:rsid w:val="00934C35"/>
    <w:rsid w:val="009354E4"/>
    <w:rsid w:val="00935DD5"/>
    <w:rsid w:val="00935EB3"/>
    <w:rsid w:val="00936340"/>
    <w:rsid w:val="00937A3E"/>
    <w:rsid w:val="009405AC"/>
    <w:rsid w:val="00940878"/>
    <w:rsid w:val="00940F00"/>
    <w:rsid w:val="009423D3"/>
    <w:rsid w:val="0094258C"/>
    <w:rsid w:val="00942B46"/>
    <w:rsid w:val="0094356A"/>
    <w:rsid w:val="00943778"/>
    <w:rsid w:val="00943F88"/>
    <w:rsid w:val="0094425A"/>
    <w:rsid w:val="0094453D"/>
    <w:rsid w:val="009445D3"/>
    <w:rsid w:val="0094460B"/>
    <w:rsid w:val="00945060"/>
    <w:rsid w:val="00945F56"/>
    <w:rsid w:val="00946082"/>
    <w:rsid w:val="0095039D"/>
    <w:rsid w:val="00950A39"/>
    <w:rsid w:val="00950ED4"/>
    <w:rsid w:val="009534FF"/>
    <w:rsid w:val="009536DD"/>
    <w:rsid w:val="00953DB1"/>
    <w:rsid w:val="00954E6E"/>
    <w:rsid w:val="00955672"/>
    <w:rsid w:val="00955C25"/>
    <w:rsid w:val="00956941"/>
    <w:rsid w:val="00957C29"/>
    <w:rsid w:val="00960AAB"/>
    <w:rsid w:val="009612B3"/>
    <w:rsid w:val="00961467"/>
    <w:rsid w:val="009619C1"/>
    <w:rsid w:val="009622B9"/>
    <w:rsid w:val="009625E6"/>
    <w:rsid w:val="00962B1B"/>
    <w:rsid w:val="0096326A"/>
    <w:rsid w:val="009658AF"/>
    <w:rsid w:val="0096616A"/>
    <w:rsid w:val="00966464"/>
    <w:rsid w:val="00966D2C"/>
    <w:rsid w:val="00970794"/>
    <w:rsid w:val="00970ECD"/>
    <w:rsid w:val="0097205A"/>
    <w:rsid w:val="00972694"/>
    <w:rsid w:val="009734D7"/>
    <w:rsid w:val="00973621"/>
    <w:rsid w:val="00973FD7"/>
    <w:rsid w:val="009740B9"/>
    <w:rsid w:val="009744A0"/>
    <w:rsid w:val="00974F4C"/>
    <w:rsid w:val="00975579"/>
    <w:rsid w:val="009755C4"/>
    <w:rsid w:val="00975626"/>
    <w:rsid w:val="00975BEA"/>
    <w:rsid w:val="00976E35"/>
    <w:rsid w:val="009772C3"/>
    <w:rsid w:val="009773C2"/>
    <w:rsid w:val="0097767F"/>
    <w:rsid w:val="009803A5"/>
    <w:rsid w:val="00982D8D"/>
    <w:rsid w:val="00983986"/>
    <w:rsid w:val="00983C14"/>
    <w:rsid w:val="00983C60"/>
    <w:rsid w:val="00985CD4"/>
    <w:rsid w:val="00986265"/>
    <w:rsid w:val="0098677E"/>
    <w:rsid w:val="00986978"/>
    <w:rsid w:val="009869F7"/>
    <w:rsid w:val="00987019"/>
    <w:rsid w:val="009877E8"/>
    <w:rsid w:val="00987B52"/>
    <w:rsid w:val="00991123"/>
    <w:rsid w:val="00991278"/>
    <w:rsid w:val="009920EF"/>
    <w:rsid w:val="009920FB"/>
    <w:rsid w:val="0099294B"/>
    <w:rsid w:val="00992A65"/>
    <w:rsid w:val="00992CAC"/>
    <w:rsid w:val="00993B9F"/>
    <w:rsid w:val="00994510"/>
    <w:rsid w:val="00994FA1"/>
    <w:rsid w:val="009954BA"/>
    <w:rsid w:val="00995733"/>
    <w:rsid w:val="00995B45"/>
    <w:rsid w:val="00995F0B"/>
    <w:rsid w:val="00996D45"/>
    <w:rsid w:val="00997C8C"/>
    <w:rsid w:val="009A02C0"/>
    <w:rsid w:val="009A0A4A"/>
    <w:rsid w:val="009A106F"/>
    <w:rsid w:val="009A1584"/>
    <w:rsid w:val="009A1604"/>
    <w:rsid w:val="009A1DE8"/>
    <w:rsid w:val="009A1E44"/>
    <w:rsid w:val="009A23D8"/>
    <w:rsid w:val="009A2959"/>
    <w:rsid w:val="009A3664"/>
    <w:rsid w:val="009A3AAE"/>
    <w:rsid w:val="009A4721"/>
    <w:rsid w:val="009A4878"/>
    <w:rsid w:val="009A4FC0"/>
    <w:rsid w:val="009A5279"/>
    <w:rsid w:val="009A6E84"/>
    <w:rsid w:val="009A6FD9"/>
    <w:rsid w:val="009A6FDF"/>
    <w:rsid w:val="009B14B9"/>
    <w:rsid w:val="009B1750"/>
    <w:rsid w:val="009B202A"/>
    <w:rsid w:val="009B2108"/>
    <w:rsid w:val="009B241D"/>
    <w:rsid w:val="009B2594"/>
    <w:rsid w:val="009B25C4"/>
    <w:rsid w:val="009B2ABF"/>
    <w:rsid w:val="009B2F79"/>
    <w:rsid w:val="009B423C"/>
    <w:rsid w:val="009B470B"/>
    <w:rsid w:val="009B514D"/>
    <w:rsid w:val="009B5A90"/>
    <w:rsid w:val="009B6345"/>
    <w:rsid w:val="009B6B5A"/>
    <w:rsid w:val="009B7494"/>
    <w:rsid w:val="009C0A3B"/>
    <w:rsid w:val="009C1623"/>
    <w:rsid w:val="009C340E"/>
    <w:rsid w:val="009C3D79"/>
    <w:rsid w:val="009C43B6"/>
    <w:rsid w:val="009C4F8A"/>
    <w:rsid w:val="009C5B36"/>
    <w:rsid w:val="009C5BB6"/>
    <w:rsid w:val="009C6EEA"/>
    <w:rsid w:val="009C72CA"/>
    <w:rsid w:val="009C7313"/>
    <w:rsid w:val="009C762F"/>
    <w:rsid w:val="009C7FC6"/>
    <w:rsid w:val="009D09D3"/>
    <w:rsid w:val="009D0CF5"/>
    <w:rsid w:val="009D0F50"/>
    <w:rsid w:val="009D2671"/>
    <w:rsid w:val="009D2CEE"/>
    <w:rsid w:val="009D2EF9"/>
    <w:rsid w:val="009D42A0"/>
    <w:rsid w:val="009D494C"/>
    <w:rsid w:val="009D56FE"/>
    <w:rsid w:val="009D57DC"/>
    <w:rsid w:val="009D6EE9"/>
    <w:rsid w:val="009D7683"/>
    <w:rsid w:val="009E0429"/>
    <w:rsid w:val="009E0833"/>
    <w:rsid w:val="009E1101"/>
    <w:rsid w:val="009E13EA"/>
    <w:rsid w:val="009E1520"/>
    <w:rsid w:val="009E17A6"/>
    <w:rsid w:val="009E1E00"/>
    <w:rsid w:val="009E2D14"/>
    <w:rsid w:val="009E3195"/>
    <w:rsid w:val="009E3C48"/>
    <w:rsid w:val="009E3EE4"/>
    <w:rsid w:val="009E5893"/>
    <w:rsid w:val="009E6875"/>
    <w:rsid w:val="009E6BCB"/>
    <w:rsid w:val="009E6CC8"/>
    <w:rsid w:val="009E73B3"/>
    <w:rsid w:val="009E7BE5"/>
    <w:rsid w:val="009F0041"/>
    <w:rsid w:val="009F2111"/>
    <w:rsid w:val="009F2A96"/>
    <w:rsid w:val="009F301A"/>
    <w:rsid w:val="009F306C"/>
    <w:rsid w:val="009F3C75"/>
    <w:rsid w:val="009F437E"/>
    <w:rsid w:val="009F5BCF"/>
    <w:rsid w:val="009F5BE4"/>
    <w:rsid w:val="009F6CF4"/>
    <w:rsid w:val="009F7AEC"/>
    <w:rsid w:val="009F7D44"/>
    <w:rsid w:val="009F7FF7"/>
    <w:rsid w:val="00A007EE"/>
    <w:rsid w:val="00A01731"/>
    <w:rsid w:val="00A0187E"/>
    <w:rsid w:val="00A02932"/>
    <w:rsid w:val="00A0325E"/>
    <w:rsid w:val="00A033FE"/>
    <w:rsid w:val="00A035A2"/>
    <w:rsid w:val="00A04203"/>
    <w:rsid w:val="00A051BD"/>
    <w:rsid w:val="00A061A6"/>
    <w:rsid w:val="00A064EC"/>
    <w:rsid w:val="00A06697"/>
    <w:rsid w:val="00A07347"/>
    <w:rsid w:val="00A107A7"/>
    <w:rsid w:val="00A109F8"/>
    <w:rsid w:val="00A10C7F"/>
    <w:rsid w:val="00A11911"/>
    <w:rsid w:val="00A11F07"/>
    <w:rsid w:val="00A12668"/>
    <w:rsid w:val="00A12C55"/>
    <w:rsid w:val="00A13890"/>
    <w:rsid w:val="00A143CB"/>
    <w:rsid w:val="00A15039"/>
    <w:rsid w:val="00A15519"/>
    <w:rsid w:val="00A15ADF"/>
    <w:rsid w:val="00A16770"/>
    <w:rsid w:val="00A17672"/>
    <w:rsid w:val="00A21863"/>
    <w:rsid w:val="00A21FB9"/>
    <w:rsid w:val="00A220C7"/>
    <w:rsid w:val="00A2320F"/>
    <w:rsid w:val="00A236AA"/>
    <w:rsid w:val="00A2370C"/>
    <w:rsid w:val="00A23F4F"/>
    <w:rsid w:val="00A24A42"/>
    <w:rsid w:val="00A257F5"/>
    <w:rsid w:val="00A2608E"/>
    <w:rsid w:val="00A26321"/>
    <w:rsid w:val="00A272EC"/>
    <w:rsid w:val="00A2738A"/>
    <w:rsid w:val="00A27974"/>
    <w:rsid w:val="00A27AA1"/>
    <w:rsid w:val="00A3059E"/>
    <w:rsid w:val="00A306BF"/>
    <w:rsid w:val="00A30FBD"/>
    <w:rsid w:val="00A315BD"/>
    <w:rsid w:val="00A316D1"/>
    <w:rsid w:val="00A3258F"/>
    <w:rsid w:val="00A32BF6"/>
    <w:rsid w:val="00A33C0C"/>
    <w:rsid w:val="00A343D7"/>
    <w:rsid w:val="00A3458D"/>
    <w:rsid w:val="00A351E0"/>
    <w:rsid w:val="00A361C6"/>
    <w:rsid w:val="00A3671F"/>
    <w:rsid w:val="00A368A3"/>
    <w:rsid w:val="00A378FC"/>
    <w:rsid w:val="00A40049"/>
    <w:rsid w:val="00A41220"/>
    <w:rsid w:val="00A41250"/>
    <w:rsid w:val="00A418CA"/>
    <w:rsid w:val="00A422AD"/>
    <w:rsid w:val="00A431C5"/>
    <w:rsid w:val="00A43339"/>
    <w:rsid w:val="00A43C31"/>
    <w:rsid w:val="00A443ED"/>
    <w:rsid w:val="00A45535"/>
    <w:rsid w:val="00A46035"/>
    <w:rsid w:val="00A4613E"/>
    <w:rsid w:val="00A46C98"/>
    <w:rsid w:val="00A4756D"/>
    <w:rsid w:val="00A50595"/>
    <w:rsid w:val="00A5154A"/>
    <w:rsid w:val="00A520B1"/>
    <w:rsid w:val="00A520F3"/>
    <w:rsid w:val="00A52D3E"/>
    <w:rsid w:val="00A5318C"/>
    <w:rsid w:val="00A5330F"/>
    <w:rsid w:val="00A53CC4"/>
    <w:rsid w:val="00A54713"/>
    <w:rsid w:val="00A56727"/>
    <w:rsid w:val="00A56DEF"/>
    <w:rsid w:val="00A572B5"/>
    <w:rsid w:val="00A573B6"/>
    <w:rsid w:val="00A57618"/>
    <w:rsid w:val="00A60B5C"/>
    <w:rsid w:val="00A61093"/>
    <w:rsid w:val="00A6192C"/>
    <w:rsid w:val="00A61A3A"/>
    <w:rsid w:val="00A61DDF"/>
    <w:rsid w:val="00A61F84"/>
    <w:rsid w:val="00A627BC"/>
    <w:rsid w:val="00A62AD3"/>
    <w:rsid w:val="00A63E87"/>
    <w:rsid w:val="00A63F3F"/>
    <w:rsid w:val="00A642C2"/>
    <w:rsid w:val="00A64862"/>
    <w:rsid w:val="00A64BDB"/>
    <w:rsid w:val="00A66482"/>
    <w:rsid w:val="00A67432"/>
    <w:rsid w:val="00A7001C"/>
    <w:rsid w:val="00A70A85"/>
    <w:rsid w:val="00A70DA6"/>
    <w:rsid w:val="00A70E0F"/>
    <w:rsid w:val="00A71373"/>
    <w:rsid w:val="00A731A1"/>
    <w:rsid w:val="00A73BCE"/>
    <w:rsid w:val="00A73CED"/>
    <w:rsid w:val="00A74532"/>
    <w:rsid w:val="00A749A9"/>
    <w:rsid w:val="00A75626"/>
    <w:rsid w:val="00A7565B"/>
    <w:rsid w:val="00A767D9"/>
    <w:rsid w:val="00A80873"/>
    <w:rsid w:val="00A80ADD"/>
    <w:rsid w:val="00A80B62"/>
    <w:rsid w:val="00A80BCE"/>
    <w:rsid w:val="00A814DF"/>
    <w:rsid w:val="00A817B8"/>
    <w:rsid w:val="00A82E8D"/>
    <w:rsid w:val="00A83D1E"/>
    <w:rsid w:val="00A83DAC"/>
    <w:rsid w:val="00A8476F"/>
    <w:rsid w:val="00A84AAA"/>
    <w:rsid w:val="00A8507C"/>
    <w:rsid w:val="00A85318"/>
    <w:rsid w:val="00A871E3"/>
    <w:rsid w:val="00A872D7"/>
    <w:rsid w:val="00A903E5"/>
    <w:rsid w:val="00A90552"/>
    <w:rsid w:val="00A909A9"/>
    <w:rsid w:val="00A91219"/>
    <w:rsid w:val="00A91923"/>
    <w:rsid w:val="00A92BDB"/>
    <w:rsid w:val="00A92DB0"/>
    <w:rsid w:val="00A92DDD"/>
    <w:rsid w:val="00A93321"/>
    <w:rsid w:val="00A949F7"/>
    <w:rsid w:val="00A959A1"/>
    <w:rsid w:val="00A95C04"/>
    <w:rsid w:val="00A95DB9"/>
    <w:rsid w:val="00A96DBE"/>
    <w:rsid w:val="00A97C61"/>
    <w:rsid w:val="00A97E25"/>
    <w:rsid w:val="00A97EE6"/>
    <w:rsid w:val="00AA0152"/>
    <w:rsid w:val="00AA0675"/>
    <w:rsid w:val="00AA1BA9"/>
    <w:rsid w:val="00AA232B"/>
    <w:rsid w:val="00AA28E8"/>
    <w:rsid w:val="00AA33A1"/>
    <w:rsid w:val="00AA3B2A"/>
    <w:rsid w:val="00AA3CB4"/>
    <w:rsid w:val="00AA3D01"/>
    <w:rsid w:val="00AA484F"/>
    <w:rsid w:val="00AA4987"/>
    <w:rsid w:val="00AA4DD7"/>
    <w:rsid w:val="00AA5129"/>
    <w:rsid w:val="00AA554E"/>
    <w:rsid w:val="00AA597B"/>
    <w:rsid w:val="00AA6B5D"/>
    <w:rsid w:val="00AA7B19"/>
    <w:rsid w:val="00AA7E8E"/>
    <w:rsid w:val="00AB1615"/>
    <w:rsid w:val="00AB1A04"/>
    <w:rsid w:val="00AB2050"/>
    <w:rsid w:val="00AB2404"/>
    <w:rsid w:val="00AB3231"/>
    <w:rsid w:val="00AB35B5"/>
    <w:rsid w:val="00AB3A66"/>
    <w:rsid w:val="00AB3F41"/>
    <w:rsid w:val="00AB6337"/>
    <w:rsid w:val="00AB6AD5"/>
    <w:rsid w:val="00AB7ADF"/>
    <w:rsid w:val="00AC023F"/>
    <w:rsid w:val="00AC0967"/>
    <w:rsid w:val="00AC1448"/>
    <w:rsid w:val="00AC16EE"/>
    <w:rsid w:val="00AC1C83"/>
    <w:rsid w:val="00AC2AC2"/>
    <w:rsid w:val="00AC3943"/>
    <w:rsid w:val="00AC490E"/>
    <w:rsid w:val="00AC4A63"/>
    <w:rsid w:val="00AC5CA7"/>
    <w:rsid w:val="00AC5DB7"/>
    <w:rsid w:val="00AC645C"/>
    <w:rsid w:val="00AC6863"/>
    <w:rsid w:val="00AC6B90"/>
    <w:rsid w:val="00AC70AF"/>
    <w:rsid w:val="00AC777B"/>
    <w:rsid w:val="00AC7C68"/>
    <w:rsid w:val="00AD1899"/>
    <w:rsid w:val="00AD2700"/>
    <w:rsid w:val="00AD3544"/>
    <w:rsid w:val="00AD43AA"/>
    <w:rsid w:val="00AD53CD"/>
    <w:rsid w:val="00AD5DEE"/>
    <w:rsid w:val="00AD62D0"/>
    <w:rsid w:val="00AD649C"/>
    <w:rsid w:val="00AD73F4"/>
    <w:rsid w:val="00AD7436"/>
    <w:rsid w:val="00AE03DE"/>
    <w:rsid w:val="00AE0C87"/>
    <w:rsid w:val="00AE0D41"/>
    <w:rsid w:val="00AE1961"/>
    <w:rsid w:val="00AE2D61"/>
    <w:rsid w:val="00AE37F0"/>
    <w:rsid w:val="00AE3892"/>
    <w:rsid w:val="00AE4CCE"/>
    <w:rsid w:val="00AE5022"/>
    <w:rsid w:val="00AE5414"/>
    <w:rsid w:val="00AE56C3"/>
    <w:rsid w:val="00AE585D"/>
    <w:rsid w:val="00AE636F"/>
    <w:rsid w:val="00AE70A2"/>
    <w:rsid w:val="00AE72C0"/>
    <w:rsid w:val="00AE7B9F"/>
    <w:rsid w:val="00AF0779"/>
    <w:rsid w:val="00AF080B"/>
    <w:rsid w:val="00AF155A"/>
    <w:rsid w:val="00AF1BAB"/>
    <w:rsid w:val="00AF1F77"/>
    <w:rsid w:val="00AF2992"/>
    <w:rsid w:val="00AF3D2C"/>
    <w:rsid w:val="00AF4621"/>
    <w:rsid w:val="00AF483F"/>
    <w:rsid w:val="00AF5187"/>
    <w:rsid w:val="00AF518D"/>
    <w:rsid w:val="00AF7D22"/>
    <w:rsid w:val="00B00192"/>
    <w:rsid w:val="00B00667"/>
    <w:rsid w:val="00B0083E"/>
    <w:rsid w:val="00B022D9"/>
    <w:rsid w:val="00B0273A"/>
    <w:rsid w:val="00B045B2"/>
    <w:rsid w:val="00B05172"/>
    <w:rsid w:val="00B07013"/>
    <w:rsid w:val="00B0713B"/>
    <w:rsid w:val="00B10502"/>
    <w:rsid w:val="00B12284"/>
    <w:rsid w:val="00B12B2B"/>
    <w:rsid w:val="00B12E69"/>
    <w:rsid w:val="00B15C83"/>
    <w:rsid w:val="00B166C7"/>
    <w:rsid w:val="00B16778"/>
    <w:rsid w:val="00B16CA0"/>
    <w:rsid w:val="00B17A72"/>
    <w:rsid w:val="00B17C88"/>
    <w:rsid w:val="00B203CA"/>
    <w:rsid w:val="00B20F57"/>
    <w:rsid w:val="00B21491"/>
    <w:rsid w:val="00B2183A"/>
    <w:rsid w:val="00B221FE"/>
    <w:rsid w:val="00B2223C"/>
    <w:rsid w:val="00B22255"/>
    <w:rsid w:val="00B229F2"/>
    <w:rsid w:val="00B2429F"/>
    <w:rsid w:val="00B24868"/>
    <w:rsid w:val="00B25227"/>
    <w:rsid w:val="00B25518"/>
    <w:rsid w:val="00B25607"/>
    <w:rsid w:val="00B26254"/>
    <w:rsid w:val="00B26D16"/>
    <w:rsid w:val="00B27049"/>
    <w:rsid w:val="00B27139"/>
    <w:rsid w:val="00B2720E"/>
    <w:rsid w:val="00B3009A"/>
    <w:rsid w:val="00B30469"/>
    <w:rsid w:val="00B30621"/>
    <w:rsid w:val="00B312BD"/>
    <w:rsid w:val="00B3144D"/>
    <w:rsid w:val="00B33676"/>
    <w:rsid w:val="00B35FB0"/>
    <w:rsid w:val="00B3623C"/>
    <w:rsid w:val="00B3762F"/>
    <w:rsid w:val="00B377AC"/>
    <w:rsid w:val="00B4179C"/>
    <w:rsid w:val="00B418D5"/>
    <w:rsid w:val="00B42D42"/>
    <w:rsid w:val="00B4353C"/>
    <w:rsid w:val="00B44585"/>
    <w:rsid w:val="00B447DB"/>
    <w:rsid w:val="00B456CC"/>
    <w:rsid w:val="00B45BA7"/>
    <w:rsid w:val="00B45DE1"/>
    <w:rsid w:val="00B4629B"/>
    <w:rsid w:val="00B475B8"/>
    <w:rsid w:val="00B47652"/>
    <w:rsid w:val="00B507D4"/>
    <w:rsid w:val="00B50DDE"/>
    <w:rsid w:val="00B51AE4"/>
    <w:rsid w:val="00B51C95"/>
    <w:rsid w:val="00B51D49"/>
    <w:rsid w:val="00B51EC6"/>
    <w:rsid w:val="00B53559"/>
    <w:rsid w:val="00B543EB"/>
    <w:rsid w:val="00B54505"/>
    <w:rsid w:val="00B546A1"/>
    <w:rsid w:val="00B548EE"/>
    <w:rsid w:val="00B5594B"/>
    <w:rsid w:val="00B55DF2"/>
    <w:rsid w:val="00B56000"/>
    <w:rsid w:val="00B5638A"/>
    <w:rsid w:val="00B56EF1"/>
    <w:rsid w:val="00B573AB"/>
    <w:rsid w:val="00B604C0"/>
    <w:rsid w:val="00B607D7"/>
    <w:rsid w:val="00B60A99"/>
    <w:rsid w:val="00B6138A"/>
    <w:rsid w:val="00B61A69"/>
    <w:rsid w:val="00B637F2"/>
    <w:rsid w:val="00B645CC"/>
    <w:rsid w:val="00B647FB"/>
    <w:rsid w:val="00B65112"/>
    <w:rsid w:val="00B6530C"/>
    <w:rsid w:val="00B65531"/>
    <w:rsid w:val="00B65987"/>
    <w:rsid w:val="00B65B3A"/>
    <w:rsid w:val="00B65BE0"/>
    <w:rsid w:val="00B65E9A"/>
    <w:rsid w:val="00B6662F"/>
    <w:rsid w:val="00B67531"/>
    <w:rsid w:val="00B67887"/>
    <w:rsid w:val="00B70C98"/>
    <w:rsid w:val="00B7160F"/>
    <w:rsid w:val="00B717CE"/>
    <w:rsid w:val="00B71CE4"/>
    <w:rsid w:val="00B71E23"/>
    <w:rsid w:val="00B71E51"/>
    <w:rsid w:val="00B722BD"/>
    <w:rsid w:val="00B72F63"/>
    <w:rsid w:val="00B730C1"/>
    <w:rsid w:val="00B73402"/>
    <w:rsid w:val="00B73A2C"/>
    <w:rsid w:val="00B7466E"/>
    <w:rsid w:val="00B74CAD"/>
    <w:rsid w:val="00B75057"/>
    <w:rsid w:val="00B7520A"/>
    <w:rsid w:val="00B75398"/>
    <w:rsid w:val="00B756A4"/>
    <w:rsid w:val="00B757DA"/>
    <w:rsid w:val="00B769EC"/>
    <w:rsid w:val="00B776BE"/>
    <w:rsid w:val="00B8075F"/>
    <w:rsid w:val="00B808AC"/>
    <w:rsid w:val="00B80A3A"/>
    <w:rsid w:val="00B81122"/>
    <w:rsid w:val="00B82C3E"/>
    <w:rsid w:val="00B82EDF"/>
    <w:rsid w:val="00B840F3"/>
    <w:rsid w:val="00B85023"/>
    <w:rsid w:val="00B850B0"/>
    <w:rsid w:val="00B852F6"/>
    <w:rsid w:val="00B85345"/>
    <w:rsid w:val="00B855D1"/>
    <w:rsid w:val="00B855FC"/>
    <w:rsid w:val="00B858BF"/>
    <w:rsid w:val="00B85EB6"/>
    <w:rsid w:val="00B8662C"/>
    <w:rsid w:val="00B873AF"/>
    <w:rsid w:val="00B879E0"/>
    <w:rsid w:val="00B87CBF"/>
    <w:rsid w:val="00B87D62"/>
    <w:rsid w:val="00B87E56"/>
    <w:rsid w:val="00B906C5"/>
    <w:rsid w:val="00B90A48"/>
    <w:rsid w:val="00B91866"/>
    <w:rsid w:val="00B91E78"/>
    <w:rsid w:val="00B9225F"/>
    <w:rsid w:val="00B922B3"/>
    <w:rsid w:val="00B92573"/>
    <w:rsid w:val="00B92B20"/>
    <w:rsid w:val="00B937BF"/>
    <w:rsid w:val="00B93CA4"/>
    <w:rsid w:val="00B94282"/>
    <w:rsid w:val="00B945BE"/>
    <w:rsid w:val="00B951E2"/>
    <w:rsid w:val="00B95A99"/>
    <w:rsid w:val="00B96062"/>
    <w:rsid w:val="00B96446"/>
    <w:rsid w:val="00B964A5"/>
    <w:rsid w:val="00B97592"/>
    <w:rsid w:val="00B97E62"/>
    <w:rsid w:val="00BA0B3A"/>
    <w:rsid w:val="00BA1D32"/>
    <w:rsid w:val="00BA22CA"/>
    <w:rsid w:val="00BA22E9"/>
    <w:rsid w:val="00BA2869"/>
    <w:rsid w:val="00BA28CE"/>
    <w:rsid w:val="00BA4156"/>
    <w:rsid w:val="00BA50DB"/>
    <w:rsid w:val="00BA57E9"/>
    <w:rsid w:val="00BA6353"/>
    <w:rsid w:val="00BA681B"/>
    <w:rsid w:val="00BA68F2"/>
    <w:rsid w:val="00BA6B7F"/>
    <w:rsid w:val="00BA79D9"/>
    <w:rsid w:val="00BA7CDB"/>
    <w:rsid w:val="00BA7E24"/>
    <w:rsid w:val="00BB0BFB"/>
    <w:rsid w:val="00BB1301"/>
    <w:rsid w:val="00BB155A"/>
    <w:rsid w:val="00BB2208"/>
    <w:rsid w:val="00BB27AB"/>
    <w:rsid w:val="00BB2D6B"/>
    <w:rsid w:val="00BB2E28"/>
    <w:rsid w:val="00BB40F3"/>
    <w:rsid w:val="00BB42A6"/>
    <w:rsid w:val="00BB4E50"/>
    <w:rsid w:val="00BB50AA"/>
    <w:rsid w:val="00BB7B0C"/>
    <w:rsid w:val="00BB7D5F"/>
    <w:rsid w:val="00BC18ED"/>
    <w:rsid w:val="00BC1C5C"/>
    <w:rsid w:val="00BC257F"/>
    <w:rsid w:val="00BC2E4C"/>
    <w:rsid w:val="00BC3293"/>
    <w:rsid w:val="00BC3417"/>
    <w:rsid w:val="00BC37D8"/>
    <w:rsid w:val="00BC3F36"/>
    <w:rsid w:val="00BC4749"/>
    <w:rsid w:val="00BC48A6"/>
    <w:rsid w:val="00BC54FB"/>
    <w:rsid w:val="00BC56DA"/>
    <w:rsid w:val="00BC570A"/>
    <w:rsid w:val="00BC5BD1"/>
    <w:rsid w:val="00BC6525"/>
    <w:rsid w:val="00BC67B8"/>
    <w:rsid w:val="00BC7E8C"/>
    <w:rsid w:val="00BD0405"/>
    <w:rsid w:val="00BD0FFF"/>
    <w:rsid w:val="00BD1523"/>
    <w:rsid w:val="00BD1644"/>
    <w:rsid w:val="00BD16CA"/>
    <w:rsid w:val="00BD187F"/>
    <w:rsid w:val="00BD1D2B"/>
    <w:rsid w:val="00BD31B6"/>
    <w:rsid w:val="00BD3B4D"/>
    <w:rsid w:val="00BD413E"/>
    <w:rsid w:val="00BD4D08"/>
    <w:rsid w:val="00BD5638"/>
    <w:rsid w:val="00BD5FA0"/>
    <w:rsid w:val="00BD6A02"/>
    <w:rsid w:val="00BD6F7D"/>
    <w:rsid w:val="00BD7331"/>
    <w:rsid w:val="00BE1130"/>
    <w:rsid w:val="00BE3254"/>
    <w:rsid w:val="00BE3539"/>
    <w:rsid w:val="00BE4E60"/>
    <w:rsid w:val="00BE7232"/>
    <w:rsid w:val="00BF0103"/>
    <w:rsid w:val="00BF0684"/>
    <w:rsid w:val="00BF06B0"/>
    <w:rsid w:val="00BF0734"/>
    <w:rsid w:val="00BF12F3"/>
    <w:rsid w:val="00BF1E8C"/>
    <w:rsid w:val="00BF285D"/>
    <w:rsid w:val="00BF3211"/>
    <w:rsid w:val="00BF33BE"/>
    <w:rsid w:val="00BF399F"/>
    <w:rsid w:val="00BF3DC2"/>
    <w:rsid w:val="00BF4735"/>
    <w:rsid w:val="00BF4A7B"/>
    <w:rsid w:val="00BF4D13"/>
    <w:rsid w:val="00BF4F13"/>
    <w:rsid w:val="00BF551F"/>
    <w:rsid w:val="00BF5555"/>
    <w:rsid w:val="00BF5BBE"/>
    <w:rsid w:val="00BF5E27"/>
    <w:rsid w:val="00BF5F4F"/>
    <w:rsid w:val="00BF5FF0"/>
    <w:rsid w:val="00BF7F4A"/>
    <w:rsid w:val="00C00705"/>
    <w:rsid w:val="00C011F9"/>
    <w:rsid w:val="00C015C6"/>
    <w:rsid w:val="00C01DA6"/>
    <w:rsid w:val="00C0292F"/>
    <w:rsid w:val="00C02C45"/>
    <w:rsid w:val="00C03321"/>
    <w:rsid w:val="00C04BA3"/>
    <w:rsid w:val="00C04CC4"/>
    <w:rsid w:val="00C04D7C"/>
    <w:rsid w:val="00C061F0"/>
    <w:rsid w:val="00C06465"/>
    <w:rsid w:val="00C1019F"/>
    <w:rsid w:val="00C1065B"/>
    <w:rsid w:val="00C106BB"/>
    <w:rsid w:val="00C11BFD"/>
    <w:rsid w:val="00C122E7"/>
    <w:rsid w:val="00C12561"/>
    <w:rsid w:val="00C139D8"/>
    <w:rsid w:val="00C13B64"/>
    <w:rsid w:val="00C13DDE"/>
    <w:rsid w:val="00C143FF"/>
    <w:rsid w:val="00C161A5"/>
    <w:rsid w:val="00C203EF"/>
    <w:rsid w:val="00C20D3A"/>
    <w:rsid w:val="00C23160"/>
    <w:rsid w:val="00C235F7"/>
    <w:rsid w:val="00C25C0D"/>
    <w:rsid w:val="00C25D1D"/>
    <w:rsid w:val="00C26819"/>
    <w:rsid w:val="00C26FBB"/>
    <w:rsid w:val="00C27155"/>
    <w:rsid w:val="00C27600"/>
    <w:rsid w:val="00C279E9"/>
    <w:rsid w:val="00C27B75"/>
    <w:rsid w:val="00C3010E"/>
    <w:rsid w:val="00C302AC"/>
    <w:rsid w:val="00C30611"/>
    <w:rsid w:val="00C3083A"/>
    <w:rsid w:val="00C314AE"/>
    <w:rsid w:val="00C3191E"/>
    <w:rsid w:val="00C31B47"/>
    <w:rsid w:val="00C31BA1"/>
    <w:rsid w:val="00C3249C"/>
    <w:rsid w:val="00C3258D"/>
    <w:rsid w:val="00C32601"/>
    <w:rsid w:val="00C33333"/>
    <w:rsid w:val="00C34057"/>
    <w:rsid w:val="00C34B38"/>
    <w:rsid w:val="00C34C56"/>
    <w:rsid w:val="00C34EE6"/>
    <w:rsid w:val="00C35406"/>
    <w:rsid w:val="00C355D1"/>
    <w:rsid w:val="00C35A7C"/>
    <w:rsid w:val="00C35B41"/>
    <w:rsid w:val="00C360B3"/>
    <w:rsid w:val="00C36466"/>
    <w:rsid w:val="00C3775C"/>
    <w:rsid w:val="00C37945"/>
    <w:rsid w:val="00C37D28"/>
    <w:rsid w:val="00C37D6E"/>
    <w:rsid w:val="00C434D8"/>
    <w:rsid w:val="00C43E9D"/>
    <w:rsid w:val="00C44E43"/>
    <w:rsid w:val="00C45258"/>
    <w:rsid w:val="00C45397"/>
    <w:rsid w:val="00C458D1"/>
    <w:rsid w:val="00C468B6"/>
    <w:rsid w:val="00C470FE"/>
    <w:rsid w:val="00C4792A"/>
    <w:rsid w:val="00C47B89"/>
    <w:rsid w:val="00C5061D"/>
    <w:rsid w:val="00C507FA"/>
    <w:rsid w:val="00C51210"/>
    <w:rsid w:val="00C5181F"/>
    <w:rsid w:val="00C51D45"/>
    <w:rsid w:val="00C525B2"/>
    <w:rsid w:val="00C5385E"/>
    <w:rsid w:val="00C538CD"/>
    <w:rsid w:val="00C53DB9"/>
    <w:rsid w:val="00C5489A"/>
    <w:rsid w:val="00C550E5"/>
    <w:rsid w:val="00C55512"/>
    <w:rsid w:val="00C5713A"/>
    <w:rsid w:val="00C57977"/>
    <w:rsid w:val="00C57BD1"/>
    <w:rsid w:val="00C60313"/>
    <w:rsid w:val="00C60812"/>
    <w:rsid w:val="00C615E6"/>
    <w:rsid w:val="00C61689"/>
    <w:rsid w:val="00C61D58"/>
    <w:rsid w:val="00C61F7A"/>
    <w:rsid w:val="00C622AC"/>
    <w:rsid w:val="00C6318A"/>
    <w:rsid w:val="00C63395"/>
    <w:rsid w:val="00C63C3B"/>
    <w:rsid w:val="00C64088"/>
    <w:rsid w:val="00C64A7C"/>
    <w:rsid w:val="00C65336"/>
    <w:rsid w:val="00C663AD"/>
    <w:rsid w:val="00C66A40"/>
    <w:rsid w:val="00C67402"/>
    <w:rsid w:val="00C67AFD"/>
    <w:rsid w:val="00C67BF2"/>
    <w:rsid w:val="00C70141"/>
    <w:rsid w:val="00C703EC"/>
    <w:rsid w:val="00C7043E"/>
    <w:rsid w:val="00C72113"/>
    <w:rsid w:val="00C72551"/>
    <w:rsid w:val="00C72774"/>
    <w:rsid w:val="00C737FB"/>
    <w:rsid w:val="00C73E8A"/>
    <w:rsid w:val="00C746DF"/>
    <w:rsid w:val="00C74847"/>
    <w:rsid w:val="00C748BF"/>
    <w:rsid w:val="00C7498D"/>
    <w:rsid w:val="00C74A57"/>
    <w:rsid w:val="00C74B85"/>
    <w:rsid w:val="00C74D34"/>
    <w:rsid w:val="00C759D9"/>
    <w:rsid w:val="00C7725F"/>
    <w:rsid w:val="00C8002B"/>
    <w:rsid w:val="00C80739"/>
    <w:rsid w:val="00C81311"/>
    <w:rsid w:val="00C81D24"/>
    <w:rsid w:val="00C81E02"/>
    <w:rsid w:val="00C821B1"/>
    <w:rsid w:val="00C822CE"/>
    <w:rsid w:val="00C822EE"/>
    <w:rsid w:val="00C83A81"/>
    <w:rsid w:val="00C84838"/>
    <w:rsid w:val="00C86633"/>
    <w:rsid w:val="00C86D7E"/>
    <w:rsid w:val="00C903E9"/>
    <w:rsid w:val="00C90473"/>
    <w:rsid w:val="00C9131B"/>
    <w:rsid w:val="00C91A10"/>
    <w:rsid w:val="00C91EB8"/>
    <w:rsid w:val="00C92BE6"/>
    <w:rsid w:val="00C92D0C"/>
    <w:rsid w:val="00C93309"/>
    <w:rsid w:val="00C93D72"/>
    <w:rsid w:val="00C940EF"/>
    <w:rsid w:val="00C94396"/>
    <w:rsid w:val="00C94839"/>
    <w:rsid w:val="00C94A95"/>
    <w:rsid w:val="00C94EE8"/>
    <w:rsid w:val="00C957F0"/>
    <w:rsid w:val="00C959FE"/>
    <w:rsid w:val="00C95A30"/>
    <w:rsid w:val="00C95B48"/>
    <w:rsid w:val="00C9628E"/>
    <w:rsid w:val="00C97CD9"/>
    <w:rsid w:val="00CA0072"/>
    <w:rsid w:val="00CA11B5"/>
    <w:rsid w:val="00CA1325"/>
    <w:rsid w:val="00CA149B"/>
    <w:rsid w:val="00CA1CE5"/>
    <w:rsid w:val="00CA271A"/>
    <w:rsid w:val="00CA2AE2"/>
    <w:rsid w:val="00CA323F"/>
    <w:rsid w:val="00CA5DD5"/>
    <w:rsid w:val="00CA6C13"/>
    <w:rsid w:val="00CB01C3"/>
    <w:rsid w:val="00CB1071"/>
    <w:rsid w:val="00CB109A"/>
    <w:rsid w:val="00CB10C1"/>
    <w:rsid w:val="00CB137A"/>
    <w:rsid w:val="00CB3368"/>
    <w:rsid w:val="00CB3603"/>
    <w:rsid w:val="00CB59BC"/>
    <w:rsid w:val="00CB5C21"/>
    <w:rsid w:val="00CB5C45"/>
    <w:rsid w:val="00CB621A"/>
    <w:rsid w:val="00CB62A9"/>
    <w:rsid w:val="00CB6B8C"/>
    <w:rsid w:val="00CB6F58"/>
    <w:rsid w:val="00CB77A4"/>
    <w:rsid w:val="00CB7C38"/>
    <w:rsid w:val="00CC0370"/>
    <w:rsid w:val="00CC046D"/>
    <w:rsid w:val="00CC058F"/>
    <w:rsid w:val="00CC10F5"/>
    <w:rsid w:val="00CC2010"/>
    <w:rsid w:val="00CC246D"/>
    <w:rsid w:val="00CC3343"/>
    <w:rsid w:val="00CC3418"/>
    <w:rsid w:val="00CC4F35"/>
    <w:rsid w:val="00CC692D"/>
    <w:rsid w:val="00CC7CAB"/>
    <w:rsid w:val="00CD031C"/>
    <w:rsid w:val="00CD114B"/>
    <w:rsid w:val="00CD14CF"/>
    <w:rsid w:val="00CD17A6"/>
    <w:rsid w:val="00CD1CD3"/>
    <w:rsid w:val="00CD34F1"/>
    <w:rsid w:val="00CD3AAD"/>
    <w:rsid w:val="00CD3C5F"/>
    <w:rsid w:val="00CD4533"/>
    <w:rsid w:val="00CD4C88"/>
    <w:rsid w:val="00CD4DC5"/>
    <w:rsid w:val="00CD5249"/>
    <w:rsid w:val="00CD55CC"/>
    <w:rsid w:val="00CD7023"/>
    <w:rsid w:val="00CD7A9F"/>
    <w:rsid w:val="00CD7CD3"/>
    <w:rsid w:val="00CE0104"/>
    <w:rsid w:val="00CE0C4A"/>
    <w:rsid w:val="00CE11A9"/>
    <w:rsid w:val="00CE2228"/>
    <w:rsid w:val="00CE2689"/>
    <w:rsid w:val="00CE2B01"/>
    <w:rsid w:val="00CE2CF6"/>
    <w:rsid w:val="00CE2D4F"/>
    <w:rsid w:val="00CE3682"/>
    <w:rsid w:val="00CE37C1"/>
    <w:rsid w:val="00CE3C64"/>
    <w:rsid w:val="00CE45F4"/>
    <w:rsid w:val="00CE5F2A"/>
    <w:rsid w:val="00CE600F"/>
    <w:rsid w:val="00CE60CF"/>
    <w:rsid w:val="00CE61DF"/>
    <w:rsid w:val="00CE655B"/>
    <w:rsid w:val="00CE6624"/>
    <w:rsid w:val="00CE67E5"/>
    <w:rsid w:val="00CE683B"/>
    <w:rsid w:val="00CE7664"/>
    <w:rsid w:val="00CE7755"/>
    <w:rsid w:val="00CF0BA8"/>
    <w:rsid w:val="00CF0F0D"/>
    <w:rsid w:val="00CF13D9"/>
    <w:rsid w:val="00CF1B9D"/>
    <w:rsid w:val="00CF1E42"/>
    <w:rsid w:val="00CF24AB"/>
    <w:rsid w:val="00CF34F0"/>
    <w:rsid w:val="00CF526D"/>
    <w:rsid w:val="00CF5BD4"/>
    <w:rsid w:val="00CF5C02"/>
    <w:rsid w:val="00CF6883"/>
    <w:rsid w:val="00CF7A9F"/>
    <w:rsid w:val="00CF7D36"/>
    <w:rsid w:val="00CF7E82"/>
    <w:rsid w:val="00D00915"/>
    <w:rsid w:val="00D00F27"/>
    <w:rsid w:val="00D017AB"/>
    <w:rsid w:val="00D01A8E"/>
    <w:rsid w:val="00D01BB3"/>
    <w:rsid w:val="00D023E9"/>
    <w:rsid w:val="00D0296C"/>
    <w:rsid w:val="00D02CE1"/>
    <w:rsid w:val="00D03B70"/>
    <w:rsid w:val="00D03D50"/>
    <w:rsid w:val="00D04561"/>
    <w:rsid w:val="00D0463F"/>
    <w:rsid w:val="00D067D4"/>
    <w:rsid w:val="00D07B62"/>
    <w:rsid w:val="00D101A2"/>
    <w:rsid w:val="00D104E7"/>
    <w:rsid w:val="00D10BB1"/>
    <w:rsid w:val="00D10C45"/>
    <w:rsid w:val="00D11D1F"/>
    <w:rsid w:val="00D149CD"/>
    <w:rsid w:val="00D14A5F"/>
    <w:rsid w:val="00D14E43"/>
    <w:rsid w:val="00D15B71"/>
    <w:rsid w:val="00D16DE6"/>
    <w:rsid w:val="00D17290"/>
    <w:rsid w:val="00D17A4B"/>
    <w:rsid w:val="00D17D64"/>
    <w:rsid w:val="00D20307"/>
    <w:rsid w:val="00D2095D"/>
    <w:rsid w:val="00D218D0"/>
    <w:rsid w:val="00D221F7"/>
    <w:rsid w:val="00D232E6"/>
    <w:rsid w:val="00D25069"/>
    <w:rsid w:val="00D25C51"/>
    <w:rsid w:val="00D26358"/>
    <w:rsid w:val="00D341E4"/>
    <w:rsid w:val="00D34EBA"/>
    <w:rsid w:val="00D356C4"/>
    <w:rsid w:val="00D359FF"/>
    <w:rsid w:val="00D3656C"/>
    <w:rsid w:val="00D367EA"/>
    <w:rsid w:val="00D36B01"/>
    <w:rsid w:val="00D36C21"/>
    <w:rsid w:val="00D36DF3"/>
    <w:rsid w:val="00D37923"/>
    <w:rsid w:val="00D37E29"/>
    <w:rsid w:val="00D403C7"/>
    <w:rsid w:val="00D40B29"/>
    <w:rsid w:val="00D40D70"/>
    <w:rsid w:val="00D40FC0"/>
    <w:rsid w:val="00D41B69"/>
    <w:rsid w:val="00D4236F"/>
    <w:rsid w:val="00D425DB"/>
    <w:rsid w:val="00D42D89"/>
    <w:rsid w:val="00D43361"/>
    <w:rsid w:val="00D43D3D"/>
    <w:rsid w:val="00D44C26"/>
    <w:rsid w:val="00D452D0"/>
    <w:rsid w:val="00D454D1"/>
    <w:rsid w:val="00D455DF"/>
    <w:rsid w:val="00D45E78"/>
    <w:rsid w:val="00D462BF"/>
    <w:rsid w:val="00D46994"/>
    <w:rsid w:val="00D47011"/>
    <w:rsid w:val="00D47D38"/>
    <w:rsid w:val="00D5146D"/>
    <w:rsid w:val="00D522FC"/>
    <w:rsid w:val="00D52476"/>
    <w:rsid w:val="00D524E1"/>
    <w:rsid w:val="00D5319F"/>
    <w:rsid w:val="00D531BE"/>
    <w:rsid w:val="00D536F5"/>
    <w:rsid w:val="00D53898"/>
    <w:rsid w:val="00D53DB2"/>
    <w:rsid w:val="00D54B01"/>
    <w:rsid w:val="00D5763A"/>
    <w:rsid w:val="00D609C5"/>
    <w:rsid w:val="00D61469"/>
    <w:rsid w:val="00D61C69"/>
    <w:rsid w:val="00D61D36"/>
    <w:rsid w:val="00D621A9"/>
    <w:rsid w:val="00D62ACF"/>
    <w:rsid w:val="00D634BB"/>
    <w:rsid w:val="00D63868"/>
    <w:rsid w:val="00D64113"/>
    <w:rsid w:val="00D644F0"/>
    <w:rsid w:val="00D6458E"/>
    <w:rsid w:val="00D64BAA"/>
    <w:rsid w:val="00D64CD8"/>
    <w:rsid w:val="00D64F77"/>
    <w:rsid w:val="00D657B9"/>
    <w:rsid w:val="00D66210"/>
    <w:rsid w:val="00D66612"/>
    <w:rsid w:val="00D669D0"/>
    <w:rsid w:val="00D66DC5"/>
    <w:rsid w:val="00D70B57"/>
    <w:rsid w:val="00D70ED0"/>
    <w:rsid w:val="00D71007"/>
    <w:rsid w:val="00D7115B"/>
    <w:rsid w:val="00D717A0"/>
    <w:rsid w:val="00D71FAF"/>
    <w:rsid w:val="00D721D9"/>
    <w:rsid w:val="00D73098"/>
    <w:rsid w:val="00D73837"/>
    <w:rsid w:val="00D73D63"/>
    <w:rsid w:val="00D75E69"/>
    <w:rsid w:val="00D761E9"/>
    <w:rsid w:val="00D76226"/>
    <w:rsid w:val="00D76376"/>
    <w:rsid w:val="00D7787D"/>
    <w:rsid w:val="00D77DAB"/>
    <w:rsid w:val="00D805C0"/>
    <w:rsid w:val="00D809DD"/>
    <w:rsid w:val="00D81416"/>
    <w:rsid w:val="00D82015"/>
    <w:rsid w:val="00D837B7"/>
    <w:rsid w:val="00D83B6A"/>
    <w:rsid w:val="00D84673"/>
    <w:rsid w:val="00D853C2"/>
    <w:rsid w:val="00D863CF"/>
    <w:rsid w:val="00D868CD"/>
    <w:rsid w:val="00D86985"/>
    <w:rsid w:val="00D86D10"/>
    <w:rsid w:val="00D876E0"/>
    <w:rsid w:val="00D87C83"/>
    <w:rsid w:val="00D91177"/>
    <w:rsid w:val="00D91358"/>
    <w:rsid w:val="00D91ED0"/>
    <w:rsid w:val="00D91FEE"/>
    <w:rsid w:val="00D9242F"/>
    <w:rsid w:val="00D929B5"/>
    <w:rsid w:val="00D92AD9"/>
    <w:rsid w:val="00D93324"/>
    <w:rsid w:val="00D93B0C"/>
    <w:rsid w:val="00D93B44"/>
    <w:rsid w:val="00D942F4"/>
    <w:rsid w:val="00D94492"/>
    <w:rsid w:val="00D957C8"/>
    <w:rsid w:val="00D958EA"/>
    <w:rsid w:val="00D95D49"/>
    <w:rsid w:val="00D95F33"/>
    <w:rsid w:val="00D96996"/>
    <w:rsid w:val="00D96B16"/>
    <w:rsid w:val="00D96CDA"/>
    <w:rsid w:val="00D971EE"/>
    <w:rsid w:val="00D97631"/>
    <w:rsid w:val="00D9772F"/>
    <w:rsid w:val="00DA039F"/>
    <w:rsid w:val="00DA102C"/>
    <w:rsid w:val="00DA124D"/>
    <w:rsid w:val="00DA1E5D"/>
    <w:rsid w:val="00DA273D"/>
    <w:rsid w:val="00DA275B"/>
    <w:rsid w:val="00DA28D3"/>
    <w:rsid w:val="00DA30D8"/>
    <w:rsid w:val="00DA310A"/>
    <w:rsid w:val="00DA3550"/>
    <w:rsid w:val="00DA3FCC"/>
    <w:rsid w:val="00DA4775"/>
    <w:rsid w:val="00DA5082"/>
    <w:rsid w:val="00DA5A6F"/>
    <w:rsid w:val="00DA5DE3"/>
    <w:rsid w:val="00DA636A"/>
    <w:rsid w:val="00DA6436"/>
    <w:rsid w:val="00DA65F1"/>
    <w:rsid w:val="00DA6B02"/>
    <w:rsid w:val="00DA72DA"/>
    <w:rsid w:val="00DB01EE"/>
    <w:rsid w:val="00DB034A"/>
    <w:rsid w:val="00DB1927"/>
    <w:rsid w:val="00DB2057"/>
    <w:rsid w:val="00DB3740"/>
    <w:rsid w:val="00DB3B80"/>
    <w:rsid w:val="00DB3C87"/>
    <w:rsid w:val="00DB4612"/>
    <w:rsid w:val="00DB5785"/>
    <w:rsid w:val="00DB5F05"/>
    <w:rsid w:val="00DB633D"/>
    <w:rsid w:val="00DB65AE"/>
    <w:rsid w:val="00DB65D2"/>
    <w:rsid w:val="00DB6CFB"/>
    <w:rsid w:val="00DB718D"/>
    <w:rsid w:val="00DB73DF"/>
    <w:rsid w:val="00DB74E9"/>
    <w:rsid w:val="00DB7552"/>
    <w:rsid w:val="00DB7859"/>
    <w:rsid w:val="00DB7D0D"/>
    <w:rsid w:val="00DC01DC"/>
    <w:rsid w:val="00DC0777"/>
    <w:rsid w:val="00DC0882"/>
    <w:rsid w:val="00DC1536"/>
    <w:rsid w:val="00DC1576"/>
    <w:rsid w:val="00DC1662"/>
    <w:rsid w:val="00DC1AA7"/>
    <w:rsid w:val="00DC1B62"/>
    <w:rsid w:val="00DC214B"/>
    <w:rsid w:val="00DC2544"/>
    <w:rsid w:val="00DC25C6"/>
    <w:rsid w:val="00DC2869"/>
    <w:rsid w:val="00DC2FC1"/>
    <w:rsid w:val="00DC4BFD"/>
    <w:rsid w:val="00DC5337"/>
    <w:rsid w:val="00DC58B4"/>
    <w:rsid w:val="00DC60CB"/>
    <w:rsid w:val="00DC6878"/>
    <w:rsid w:val="00DC6C0F"/>
    <w:rsid w:val="00DD044E"/>
    <w:rsid w:val="00DD059A"/>
    <w:rsid w:val="00DD1055"/>
    <w:rsid w:val="00DD2E82"/>
    <w:rsid w:val="00DD3188"/>
    <w:rsid w:val="00DD3697"/>
    <w:rsid w:val="00DD4918"/>
    <w:rsid w:val="00DD4DBA"/>
    <w:rsid w:val="00DD5B65"/>
    <w:rsid w:val="00DD5E10"/>
    <w:rsid w:val="00DD6944"/>
    <w:rsid w:val="00DD6A4E"/>
    <w:rsid w:val="00DD6C9B"/>
    <w:rsid w:val="00DD728F"/>
    <w:rsid w:val="00DD7355"/>
    <w:rsid w:val="00DE0007"/>
    <w:rsid w:val="00DE0894"/>
    <w:rsid w:val="00DE0C09"/>
    <w:rsid w:val="00DE182C"/>
    <w:rsid w:val="00DE1CCD"/>
    <w:rsid w:val="00DE2B81"/>
    <w:rsid w:val="00DE2DA7"/>
    <w:rsid w:val="00DE3DF0"/>
    <w:rsid w:val="00DE43B4"/>
    <w:rsid w:val="00DE4CE7"/>
    <w:rsid w:val="00DE740C"/>
    <w:rsid w:val="00DE74A4"/>
    <w:rsid w:val="00DE771D"/>
    <w:rsid w:val="00DF0650"/>
    <w:rsid w:val="00DF1E44"/>
    <w:rsid w:val="00DF3613"/>
    <w:rsid w:val="00DF373D"/>
    <w:rsid w:val="00DF48F0"/>
    <w:rsid w:val="00DF50A2"/>
    <w:rsid w:val="00DF5113"/>
    <w:rsid w:val="00DF520B"/>
    <w:rsid w:val="00DF5A38"/>
    <w:rsid w:val="00DF5DAE"/>
    <w:rsid w:val="00DF6409"/>
    <w:rsid w:val="00DF64D2"/>
    <w:rsid w:val="00DF66A8"/>
    <w:rsid w:val="00DF7613"/>
    <w:rsid w:val="00DF7C07"/>
    <w:rsid w:val="00E00D27"/>
    <w:rsid w:val="00E00D2E"/>
    <w:rsid w:val="00E0118E"/>
    <w:rsid w:val="00E01653"/>
    <w:rsid w:val="00E024A7"/>
    <w:rsid w:val="00E02E2B"/>
    <w:rsid w:val="00E03281"/>
    <w:rsid w:val="00E039FD"/>
    <w:rsid w:val="00E03CCC"/>
    <w:rsid w:val="00E04E3F"/>
    <w:rsid w:val="00E064ED"/>
    <w:rsid w:val="00E076FD"/>
    <w:rsid w:val="00E0786C"/>
    <w:rsid w:val="00E07A2F"/>
    <w:rsid w:val="00E113B4"/>
    <w:rsid w:val="00E1230F"/>
    <w:rsid w:val="00E12C24"/>
    <w:rsid w:val="00E13134"/>
    <w:rsid w:val="00E140DA"/>
    <w:rsid w:val="00E15752"/>
    <w:rsid w:val="00E1730E"/>
    <w:rsid w:val="00E17CA8"/>
    <w:rsid w:val="00E17EC2"/>
    <w:rsid w:val="00E2043A"/>
    <w:rsid w:val="00E2080D"/>
    <w:rsid w:val="00E20D63"/>
    <w:rsid w:val="00E20FD5"/>
    <w:rsid w:val="00E21266"/>
    <w:rsid w:val="00E216CD"/>
    <w:rsid w:val="00E237AB"/>
    <w:rsid w:val="00E2444B"/>
    <w:rsid w:val="00E248EC"/>
    <w:rsid w:val="00E26404"/>
    <w:rsid w:val="00E26A2A"/>
    <w:rsid w:val="00E26CD4"/>
    <w:rsid w:val="00E301BD"/>
    <w:rsid w:val="00E30416"/>
    <w:rsid w:val="00E30E27"/>
    <w:rsid w:val="00E31AD1"/>
    <w:rsid w:val="00E31C4B"/>
    <w:rsid w:val="00E31EA0"/>
    <w:rsid w:val="00E31F43"/>
    <w:rsid w:val="00E32021"/>
    <w:rsid w:val="00E320EB"/>
    <w:rsid w:val="00E3211C"/>
    <w:rsid w:val="00E32BFC"/>
    <w:rsid w:val="00E33B3F"/>
    <w:rsid w:val="00E34A43"/>
    <w:rsid w:val="00E34A56"/>
    <w:rsid w:val="00E34FEA"/>
    <w:rsid w:val="00E35949"/>
    <w:rsid w:val="00E35FEB"/>
    <w:rsid w:val="00E3618C"/>
    <w:rsid w:val="00E36383"/>
    <w:rsid w:val="00E36BA9"/>
    <w:rsid w:val="00E36F7B"/>
    <w:rsid w:val="00E374A9"/>
    <w:rsid w:val="00E374CC"/>
    <w:rsid w:val="00E375EA"/>
    <w:rsid w:val="00E37AC0"/>
    <w:rsid w:val="00E37EC3"/>
    <w:rsid w:val="00E41D97"/>
    <w:rsid w:val="00E42C61"/>
    <w:rsid w:val="00E430E0"/>
    <w:rsid w:val="00E4387C"/>
    <w:rsid w:val="00E43A2C"/>
    <w:rsid w:val="00E44D20"/>
    <w:rsid w:val="00E45D2F"/>
    <w:rsid w:val="00E45D48"/>
    <w:rsid w:val="00E46C74"/>
    <w:rsid w:val="00E47C61"/>
    <w:rsid w:val="00E52E1A"/>
    <w:rsid w:val="00E53E00"/>
    <w:rsid w:val="00E564C0"/>
    <w:rsid w:val="00E572C2"/>
    <w:rsid w:val="00E57CAA"/>
    <w:rsid w:val="00E57E82"/>
    <w:rsid w:val="00E600DC"/>
    <w:rsid w:val="00E61D68"/>
    <w:rsid w:val="00E6273F"/>
    <w:rsid w:val="00E62A65"/>
    <w:rsid w:val="00E62E12"/>
    <w:rsid w:val="00E635D0"/>
    <w:rsid w:val="00E64231"/>
    <w:rsid w:val="00E6439B"/>
    <w:rsid w:val="00E6490A"/>
    <w:rsid w:val="00E64E9B"/>
    <w:rsid w:val="00E65040"/>
    <w:rsid w:val="00E65133"/>
    <w:rsid w:val="00E651A7"/>
    <w:rsid w:val="00E6791B"/>
    <w:rsid w:val="00E70B27"/>
    <w:rsid w:val="00E711A7"/>
    <w:rsid w:val="00E71626"/>
    <w:rsid w:val="00E717FA"/>
    <w:rsid w:val="00E72553"/>
    <w:rsid w:val="00E73359"/>
    <w:rsid w:val="00E73A99"/>
    <w:rsid w:val="00E7462F"/>
    <w:rsid w:val="00E74661"/>
    <w:rsid w:val="00E74D6F"/>
    <w:rsid w:val="00E761DF"/>
    <w:rsid w:val="00E765E5"/>
    <w:rsid w:val="00E7731A"/>
    <w:rsid w:val="00E776BB"/>
    <w:rsid w:val="00E778C5"/>
    <w:rsid w:val="00E80415"/>
    <w:rsid w:val="00E80A2A"/>
    <w:rsid w:val="00E80AD3"/>
    <w:rsid w:val="00E81AC6"/>
    <w:rsid w:val="00E827BA"/>
    <w:rsid w:val="00E83164"/>
    <w:rsid w:val="00E83A2F"/>
    <w:rsid w:val="00E83B7A"/>
    <w:rsid w:val="00E83D11"/>
    <w:rsid w:val="00E83F88"/>
    <w:rsid w:val="00E8413E"/>
    <w:rsid w:val="00E84AA7"/>
    <w:rsid w:val="00E84D9F"/>
    <w:rsid w:val="00E84E12"/>
    <w:rsid w:val="00E84ED8"/>
    <w:rsid w:val="00E85466"/>
    <w:rsid w:val="00E866E4"/>
    <w:rsid w:val="00E86A9F"/>
    <w:rsid w:val="00E875E7"/>
    <w:rsid w:val="00E87C04"/>
    <w:rsid w:val="00E87EAD"/>
    <w:rsid w:val="00E900F4"/>
    <w:rsid w:val="00E91BDD"/>
    <w:rsid w:val="00E9209D"/>
    <w:rsid w:val="00E9291C"/>
    <w:rsid w:val="00E939DE"/>
    <w:rsid w:val="00E93A22"/>
    <w:rsid w:val="00E940DE"/>
    <w:rsid w:val="00E94CEB"/>
    <w:rsid w:val="00E95522"/>
    <w:rsid w:val="00E956DF"/>
    <w:rsid w:val="00E958F7"/>
    <w:rsid w:val="00E95A09"/>
    <w:rsid w:val="00E95D3F"/>
    <w:rsid w:val="00E9741C"/>
    <w:rsid w:val="00EA0EBB"/>
    <w:rsid w:val="00EA0EC1"/>
    <w:rsid w:val="00EA22F3"/>
    <w:rsid w:val="00EA2CCC"/>
    <w:rsid w:val="00EA3369"/>
    <w:rsid w:val="00EA457B"/>
    <w:rsid w:val="00EA4BF7"/>
    <w:rsid w:val="00EA596A"/>
    <w:rsid w:val="00EA5989"/>
    <w:rsid w:val="00EA5DBC"/>
    <w:rsid w:val="00EA6233"/>
    <w:rsid w:val="00EA6796"/>
    <w:rsid w:val="00EA6B38"/>
    <w:rsid w:val="00EA7EBF"/>
    <w:rsid w:val="00EB00AE"/>
    <w:rsid w:val="00EB0324"/>
    <w:rsid w:val="00EB14C7"/>
    <w:rsid w:val="00EB32D8"/>
    <w:rsid w:val="00EB3786"/>
    <w:rsid w:val="00EB382F"/>
    <w:rsid w:val="00EB3A8C"/>
    <w:rsid w:val="00EB4A77"/>
    <w:rsid w:val="00EB50AC"/>
    <w:rsid w:val="00EB5ECA"/>
    <w:rsid w:val="00EB705F"/>
    <w:rsid w:val="00EB7640"/>
    <w:rsid w:val="00EB796F"/>
    <w:rsid w:val="00EB7C32"/>
    <w:rsid w:val="00EC0390"/>
    <w:rsid w:val="00EC113D"/>
    <w:rsid w:val="00EC13FE"/>
    <w:rsid w:val="00EC18D6"/>
    <w:rsid w:val="00EC1A74"/>
    <w:rsid w:val="00EC246C"/>
    <w:rsid w:val="00EC2A25"/>
    <w:rsid w:val="00EC2D96"/>
    <w:rsid w:val="00EC30AF"/>
    <w:rsid w:val="00EC3F51"/>
    <w:rsid w:val="00EC4B4F"/>
    <w:rsid w:val="00EC540F"/>
    <w:rsid w:val="00EC5BE4"/>
    <w:rsid w:val="00EC674C"/>
    <w:rsid w:val="00EC6BA9"/>
    <w:rsid w:val="00EC7479"/>
    <w:rsid w:val="00EC7E92"/>
    <w:rsid w:val="00ED064D"/>
    <w:rsid w:val="00ED19DD"/>
    <w:rsid w:val="00ED256A"/>
    <w:rsid w:val="00ED3E66"/>
    <w:rsid w:val="00ED4203"/>
    <w:rsid w:val="00ED48BD"/>
    <w:rsid w:val="00ED5606"/>
    <w:rsid w:val="00ED58CD"/>
    <w:rsid w:val="00ED5BA9"/>
    <w:rsid w:val="00ED7A27"/>
    <w:rsid w:val="00EE07FC"/>
    <w:rsid w:val="00EE1ADE"/>
    <w:rsid w:val="00EE248B"/>
    <w:rsid w:val="00EE3C76"/>
    <w:rsid w:val="00EE6223"/>
    <w:rsid w:val="00EE7761"/>
    <w:rsid w:val="00EE799A"/>
    <w:rsid w:val="00EE7E5A"/>
    <w:rsid w:val="00EF0944"/>
    <w:rsid w:val="00EF0C23"/>
    <w:rsid w:val="00EF18C0"/>
    <w:rsid w:val="00EF1C55"/>
    <w:rsid w:val="00EF26CD"/>
    <w:rsid w:val="00EF2860"/>
    <w:rsid w:val="00EF2F8B"/>
    <w:rsid w:val="00EF308C"/>
    <w:rsid w:val="00EF45A2"/>
    <w:rsid w:val="00EF49D5"/>
    <w:rsid w:val="00EF4E1B"/>
    <w:rsid w:val="00EF5234"/>
    <w:rsid w:val="00EF546C"/>
    <w:rsid w:val="00EF58F8"/>
    <w:rsid w:val="00EF5A2A"/>
    <w:rsid w:val="00EF5D62"/>
    <w:rsid w:val="00EF68FE"/>
    <w:rsid w:val="00EF6C79"/>
    <w:rsid w:val="00EF76F2"/>
    <w:rsid w:val="00F00409"/>
    <w:rsid w:val="00F00A9F"/>
    <w:rsid w:val="00F00D98"/>
    <w:rsid w:val="00F024E2"/>
    <w:rsid w:val="00F02956"/>
    <w:rsid w:val="00F02DBF"/>
    <w:rsid w:val="00F03104"/>
    <w:rsid w:val="00F056CF"/>
    <w:rsid w:val="00F05A5F"/>
    <w:rsid w:val="00F05B7C"/>
    <w:rsid w:val="00F07795"/>
    <w:rsid w:val="00F07A5A"/>
    <w:rsid w:val="00F11338"/>
    <w:rsid w:val="00F1173D"/>
    <w:rsid w:val="00F12A39"/>
    <w:rsid w:val="00F12B92"/>
    <w:rsid w:val="00F132BB"/>
    <w:rsid w:val="00F134B8"/>
    <w:rsid w:val="00F134D2"/>
    <w:rsid w:val="00F14BDF"/>
    <w:rsid w:val="00F14F8A"/>
    <w:rsid w:val="00F154F1"/>
    <w:rsid w:val="00F155D3"/>
    <w:rsid w:val="00F15628"/>
    <w:rsid w:val="00F166CC"/>
    <w:rsid w:val="00F16E50"/>
    <w:rsid w:val="00F177F8"/>
    <w:rsid w:val="00F17AA1"/>
    <w:rsid w:val="00F17C13"/>
    <w:rsid w:val="00F20042"/>
    <w:rsid w:val="00F2014B"/>
    <w:rsid w:val="00F208CE"/>
    <w:rsid w:val="00F2121B"/>
    <w:rsid w:val="00F21949"/>
    <w:rsid w:val="00F22186"/>
    <w:rsid w:val="00F228C3"/>
    <w:rsid w:val="00F22909"/>
    <w:rsid w:val="00F22F28"/>
    <w:rsid w:val="00F248B4"/>
    <w:rsid w:val="00F264E9"/>
    <w:rsid w:val="00F26714"/>
    <w:rsid w:val="00F269C4"/>
    <w:rsid w:val="00F30F81"/>
    <w:rsid w:val="00F329BC"/>
    <w:rsid w:val="00F35214"/>
    <w:rsid w:val="00F35916"/>
    <w:rsid w:val="00F360A5"/>
    <w:rsid w:val="00F36D83"/>
    <w:rsid w:val="00F372E0"/>
    <w:rsid w:val="00F378D9"/>
    <w:rsid w:val="00F37C11"/>
    <w:rsid w:val="00F37EE3"/>
    <w:rsid w:val="00F40401"/>
    <w:rsid w:val="00F409A3"/>
    <w:rsid w:val="00F41724"/>
    <w:rsid w:val="00F41820"/>
    <w:rsid w:val="00F4260C"/>
    <w:rsid w:val="00F432F0"/>
    <w:rsid w:val="00F441E1"/>
    <w:rsid w:val="00F447B4"/>
    <w:rsid w:val="00F450FB"/>
    <w:rsid w:val="00F45672"/>
    <w:rsid w:val="00F45E31"/>
    <w:rsid w:val="00F462C3"/>
    <w:rsid w:val="00F463F9"/>
    <w:rsid w:val="00F464F2"/>
    <w:rsid w:val="00F50001"/>
    <w:rsid w:val="00F51180"/>
    <w:rsid w:val="00F51C97"/>
    <w:rsid w:val="00F523E2"/>
    <w:rsid w:val="00F5336B"/>
    <w:rsid w:val="00F53E75"/>
    <w:rsid w:val="00F54A67"/>
    <w:rsid w:val="00F54BE7"/>
    <w:rsid w:val="00F55906"/>
    <w:rsid w:val="00F55947"/>
    <w:rsid w:val="00F57336"/>
    <w:rsid w:val="00F57406"/>
    <w:rsid w:val="00F57667"/>
    <w:rsid w:val="00F60138"/>
    <w:rsid w:val="00F608FB"/>
    <w:rsid w:val="00F60B48"/>
    <w:rsid w:val="00F61935"/>
    <w:rsid w:val="00F61A53"/>
    <w:rsid w:val="00F61ADA"/>
    <w:rsid w:val="00F61C15"/>
    <w:rsid w:val="00F62EAE"/>
    <w:rsid w:val="00F6460D"/>
    <w:rsid w:val="00F64C7D"/>
    <w:rsid w:val="00F658CB"/>
    <w:rsid w:val="00F66C24"/>
    <w:rsid w:val="00F671BA"/>
    <w:rsid w:val="00F671CC"/>
    <w:rsid w:val="00F67205"/>
    <w:rsid w:val="00F7003E"/>
    <w:rsid w:val="00F709D4"/>
    <w:rsid w:val="00F70E8B"/>
    <w:rsid w:val="00F7146B"/>
    <w:rsid w:val="00F7228F"/>
    <w:rsid w:val="00F72909"/>
    <w:rsid w:val="00F739C1"/>
    <w:rsid w:val="00F73D72"/>
    <w:rsid w:val="00F7454C"/>
    <w:rsid w:val="00F74CB2"/>
    <w:rsid w:val="00F74E1B"/>
    <w:rsid w:val="00F76C95"/>
    <w:rsid w:val="00F77604"/>
    <w:rsid w:val="00F77684"/>
    <w:rsid w:val="00F77E0A"/>
    <w:rsid w:val="00F80B48"/>
    <w:rsid w:val="00F811FB"/>
    <w:rsid w:val="00F83409"/>
    <w:rsid w:val="00F83522"/>
    <w:rsid w:val="00F838DF"/>
    <w:rsid w:val="00F8512A"/>
    <w:rsid w:val="00F87000"/>
    <w:rsid w:val="00F874BA"/>
    <w:rsid w:val="00F876CC"/>
    <w:rsid w:val="00F87C69"/>
    <w:rsid w:val="00F87D66"/>
    <w:rsid w:val="00F908B1"/>
    <w:rsid w:val="00F93AB2"/>
    <w:rsid w:val="00F93C88"/>
    <w:rsid w:val="00F94906"/>
    <w:rsid w:val="00F94993"/>
    <w:rsid w:val="00F94AAE"/>
    <w:rsid w:val="00F95046"/>
    <w:rsid w:val="00F95048"/>
    <w:rsid w:val="00F95525"/>
    <w:rsid w:val="00F95E58"/>
    <w:rsid w:val="00F95FE7"/>
    <w:rsid w:val="00F969A3"/>
    <w:rsid w:val="00F969B3"/>
    <w:rsid w:val="00F973CD"/>
    <w:rsid w:val="00FA0750"/>
    <w:rsid w:val="00FA0D34"/>
    <w:rsid w:val="00FA0FF7"/>
    <w:rsid w:val="00FA370A"/>
    <w:rsid w:val="00FA45B7"/>
    <w:rsid w:val="00FA53DD"/>
    <w:rsid w:val="00FA57CC"/>
    <w:rsid w:val="00FA584B"/>
    <w:rsid w:val="00FA5CB8"/>
    <w:rsid w:val="00FA626E"/>
    <w:rsid w:val="00FA64E2"/>
    <w:rsid w:val="00FA6504"/>
    <w:rsid w:val="00FA6722"/>
    <w:rsid w:val="00FA6866"/>
    <w:rsid w:val="00FA6C01"/>
    <w:rsid w:val="00FA6FC3"/>
    <w:rsid w:val="00FA7801"/>
    <w:rsid w:val="00FA7B7A"/>
    <w:rsid w:val="00FA7FA1"/>
    <w:rsid w:val="00FB0038"/>
    <w:rsid w:val="00FB0392"/>
    <w:rsid w:val="00FB0F21"/>
    <w:rsid w:val="00FB146D"/>
    <w:rsid w:val="00FB2849"/>
    <w:rsid w:val="00FB2A3C"/>
    <w:rsid w:val="00FB36E2"/>
    <w:rsid w:val="00FB37EF"/>
    <w:rsid w:val="00FB4E20"/>
    <w:rsid w:val="00FB5052"/>
    <w:rsid w:val="00FB539C"/>
    <w:rsid w:val="00FB7997"/>
    <w:rsid w:val="00FC0584"/>
    <w:rsid w:val="00FC0715"/>
    <w:rsid w:val="00FC0EDC"/>
    <w:rsid w:val="00FC173F"/>
    <w:rsid w:val="00FC23AF"/>
    <w:rsid w:val="00FC321C"/>
    <w:rsid w:val="00FC4BC3"/>
    <w:rsid w:val="00FC5515"/>
    <w:rsid w:val="00FC779C"/>
    <w:rsid w:val="00FD0927"/>
    <w:rsid w:val="00FD0BF6"/>
    <w:rsid w:val="00FD0D03"/>
    <w:rsid w:val="00FD1B99"/>
    <w:rsid w:val="00FD1DD2"/>
    <w:rsid w:val="00FD2D64"/>
    <w:rsid w:val="00FD2E7C"/>
    <w:rsid w:val="00FD3B08"/>
    <w:rsid w:val="00FD4A99"/>
    <w:rsid w:val="00FD4E74"/>
    <w:rsid w:val="00FD657C"/>
    <w:rsid w:val="00FD6E8D"/>
    <w:rsid w:val="00FE0F6D"/>
    <w:rsid w:val="00FE13CA"/>
    <w:rsid w:val="00FE1AB5"/>
    <w:rsid w:val="00FE223D"/>
    <w:rsid w:val="00FE2378"/>
    <w:rsid w:val="00FE2545"/>
    <w:rsid w:val="00FE2660"/>
    <w:rsid w:val="00FE3A3E"/>
    <w:rsid w:val="00FE40DB"/>
    <w:rsid w:val="00FE499B"/>
    <w:rsid w:val="00FE5F29"/>
    <w:rsid w:val="00FE70FB"/>
    <w:rsid w:val="00FE773E"/>
    <w:rsid w:val="00FE7EC9"/>
    <w:rsid w:val="00FF0389"/>
    <w:rsid w:val="00FF0E49"/>
    <w:rsid w:val="00FF0E67"/>
    <w:rsid w:val="00FF19B3"/>
    <w:rsid w:val="00FF1A1B"/>
    <w:rsid w:val="00FF2800"/>
    <w:rsid w:val="00FF28C6"/>
    <w:rsid w:val="00FF2D19"/>
    <w:rsid w:val="00FF2DC7"/>
    <w:rsid w:val="00FF3439"/>
    <w:rsid w:val="00FF3BDD"/>
    <w:rsid w:val="00FF538D"/>
    <w:rsid w:val="00FF57CF"/>
    <w:rsid w:val="00FF5CD0"/>
    <w:rsid w:val="00FF5CDE"/>
    <w:rsid w:val="00FF6CCB"/>
    <w:rsid w:val="00FF6D73"/>
    <w:rsid w:val="00FF7968"/>
    <w:rsid w:val="0AE6681F"/>
    <w:rsid w:val="15669704"/>
    <w:rsid w:val="25249150"/>
    <w:rsid w:val="2652765E"/>
    <w:rsid w:val="2E96ABE4"/>
    <w:rsid w:val="2FDB0CA5"/>
    <w:rsid w:val="34DEFE5F"/>
    <w:rsid w:val="3824044A"/>
    <w:rsid w:val="39260D18"/>
    <w:rsid w:val="43FE2F6D"/>
    <w:rsid w:val="4734B6CF"/>
    <w:rsid w:val="477DFF1C"/>
    <w:rsid w:val="68C78989"/>
    <w:rsid w:val="799903E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79354E6"/>
  <w15:chartTrackingRefBased/>
  <w15:docId w15:val="{2F0A6CF9-6004-44EC-BB8B-EB547741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zh-TW"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C02"/>
    <w:pPr>
      <w:spacing w:before="120" w:after="120" w:line="240" w:lineRule="auto"/>
    </w:pPr>
    <w:rPr>
      <w:rFonts w:ascii="Times New Roman" w:hAnsi="Times New Roman"/>
      <w:sz w:val="24"/>
    </w:rPr>
  </w:style>
  <w:style w:type="paragraph" w:styleId="Heading1">
    <w:name w:val="heading 1"/>
    <w:basedOn w:val="Normal"/>
    <w:next w:val="Normal"/>
    <w:link w:val="Heading1Char"/>
    <w:uiPriority w:val="2"/>
    <w:qFormat/>
    <w:rsid w:val="00000DAB"/>
    <w:pPr>
      <w:keepNext/>
      <w:keepLines/>
      <w:spacing w:before="240" w:after="0"/>
      <w:outlineLvl w:val="0"/>
    </w:pPr>
    <w:rPr>
      <w:rFonts w:eastAsiaTheme="majorEastAsia" w:cstheme="majorBidi"/>
      <w:b/>
      <w:bCs/>
      <w:szCs w:val="28"/>
    </w:rPr>
  </w:style>
  <w:style w:type="paragraph" w:styleId="Heading2">
    <w:name w:val="heading 2"/>
    <w:basedOn w:val="Normal"/>
    <w:next w:val="Normal"/>
    <w:link w:val="Heading2Char"/>
    <w:uiPriority w:val="3"/>
    <w:qFormat/>
    <w:rsid w:val="008A65D0"/>
    <w:pPr>
      <w:keepNext/>
      <w:keepLines/>
      <w:outlineLvl w:val="1"/>
    </w:pPr>
    <w:rPr>
      <w:rFonts w:eastAsiaTheme="majorEastAsia" w:cstheme="majorBidi"/>
      <w:b/>
      <w:bCs/>
      <w:szCs w:val="26"/>
    </w:rPr>
  </w:style>
  <w:style w:type="paragraph" w:styleId="Heading3">
    <w:name w:val="heading 3"/>
    <w:basedOn w:val="Normal"/>
    <w:next w:val="Normal"/>
    <w:link w:val="Heading3Char"/>
    <w:uiPriority w:val="4"/>
    <w:qFormat/>
    <w:rsid w:val="00000DAB"/>
    <w:pPr>
      <w:keepNext/>
      <w:keepLines/>
      <w:spacing w:before="240"/>
      <w:outlineLvl w:val="2"/>
    </w:pPr>
    <w:rPr>
      <w:rFonts w:eastAsiaTheme="majorEastAsia" w:cstheme="majorBidi"/>
      <w:b/>
      <w:bCs/>
    </w:rPr>
  </w:style>
  <w:style w:type="paragraph" w:styleId="Heading4">
    <w:name w:val="heading 4"/>
    <w:basedOn w:val="Normal"/>
    <w:next w:val="Normal"/>
    <w:link w:val="Heading4Char"/>
    <w:uiPriority w:val="9"/>
    <w:qFormat/>
    <w:rsid w:val="008A65D0"/>
    <w:pPr>
      <w:keepNext/>
      <w:keepLines/>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8A65D0"/>
    <w:pPr>
      <w:keepNext/>
      <w:keepLines/>
      <w:spacing w:after="0"/>
      <w:outlineLvl w:val="4"/>
    </w:pPr>
    <w:rPr>
      <w:rFonts w:eastAsiaTheme="majorEastAsia" w:cstheme="majorBidi"/>
      <w:u w:val="single"/>
    </w:rPr>
  </w:style>
  <w:style w:type="paragraph" w:styleId="Heading6">
    <w:name w:val="heading 6"/>
    <w:basedOn w:val="Normal"/>
    <w:next w:val="Normal"/>
    <w:link w:val="Heading6Char"/>
    <w:uiPriority w:val="9"/>
    <w:semiHidden/>
    <w:unhideWhenUsed/>
    <w:qFormat/>
    <w:rsid w:val="008A65D0"/>
    <w:pPr>
      <w:keepNext/>
      <w:keepLines/>
      <w:spacing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8A65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5D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65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00DA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3"/>
    <w:rsid w:val="008A65D0"/>
    <w:rPr>
      <w:rFonts w:ascii="Verdana" w:eastAsiaTheme="majorEastAsia" w:hAnsi="Verdana" w:cstheme="majorBidi"/>
      <w:b/>
      <w:bCs/>
      <w:sz w:val="24"/>
      <w:szCs w:val="26"/>
    </w:rPr>
  </w:style>
  <w:style w:type="character" w:customStyle="1" w:styleId="Heading3Char">
    <w:name w:val="Heading 3 Char"/>
    <w:basedOn w:val="DefaultParagraphFont"/>
    <w:link w:val="Heading3"/>
    <w:uiPriority w:val="4"/>
    <w:rsid w:val="00000DAB"/>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8A65D0"/>
    <w:pPr>
      <w:keepNext/>
      <w:spacing w:after="24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8A65D0"/>
    <w:rPr>
      <w:rFonts w:ascii="Verdana" w:eastAsiaTheme="majorEastAsia" w:hAnsi="Verdana" w:cstheme="majorBidi"/>
      <w:b/>
      <w:spacing w:val="5"/>
      <w:kern w:val="28"/>
      <w:sz w:val="28"/>
      <w:szCs w:val="52"/>
    </w:rPr>
  </w:style>
  <w:style w:type="character" w:customStyle="1" w:styleId="Heading4Char">
    <w:name w:val="Heading 4 Char"/>
    <w:basedOn w:val="DefaultParagraphFont"/>
    <w:link w:val="Heading4"/>
    <w:uiPriority w:val="9"/>
    <w:rsid w:val="008A65D0"/>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8A65D0"/>
    <w:rPr>
      <w:rFonts w:ascii="Times New Roman" w:eastAsiaTheme="majorEastAsia" w:hAnsi="Times New Roman" w:cstheme="majorBidi"/>
      <w:sz w:val="24"/>
      <w:u w:val="single"/>
    </w:rPr>
  </w:style>
  <w:style w:type="character" w:customStyle="1" w:styleId="Heading6Char">
    <w:name w:val="Heading 6 Char"/>
    <w:basedOn w:val="DefaultParagraphFont"/>
    <w:link w:val="Heading6"/>
    <w:uiPriority w:val="9"/>
    <w:semiHidden/>
    <w:rsid w:val="008A65D0"/>
    <w:rPr>
      <w:rFonts w:ascii="Times New Roman" w:eastAsiaTheme="majorEastAsia" w:hAnsi="Times New Roman" w:cstheme="majorBidi"/>
      <w:i/>
      <w:iCs/>
      <w:sz w:val="24"/>
    </w:rPr>
  </w:style>
  <w:style w:type="paragraph" w:styleId="BodyText">
    <w:name w:val="Body Text"/>
    <w:basedOn w:val="Normal"/>
    <w:link w:val="BodyTextChar"/>
    <w:uiPriority w:val="4"/>
    <w:qFormat/>
    <w:rsid w:val="008A65D0"/>
    <w:pPr>
      <w:ind w:firstLine="720"/>
    </w:pPr>
  </w:style>
  <w:style w:type="character" w:customStyle="1" w:styleId="BodyTextChar">
    <w:name w:val="Body Text Char"/>
    <w:basedOn w:val="DefaultParagraphFont"/>
    <w:link w:val="BodyText"/>
    <w:uiPriority w:val="4"/>
    <w:rsid w:val="008A65D0"/>
    <w:rPr>
      <w:rFonts w:ascii="Verdana" w:hAnsi="Verdana"/>
      <w:sz w:val="21"/>
    </w:rPr>
  </w:style>
  <w:style w:type="paragraph" w:styleId="Subtitle">
    <w:name w:val="Subtitle"/>
    <w:basedOn w:val="Normal"/>
    <w:next w:val="Normal"/>
    <w:link w:val="SubtitleChar"/>
    <w:uiPriority w:val="11"/>
    <w:qFormat/>
    <w:rsid w:val="008A65D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A65D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rsid w:val="008A65D0"/>
    <w:pPr>
      <w:ind w:left="720"/>
      <w:contextualSpacing/>
    </w:pPr>
  </w:style>
  <w:style w:type="paragraph" w:styleId="BodyText2">
    <w:name w:val="Body Text 2"/>
    <w:basedOn w:val="Normal"/>
    <w:link w:val="BodyText2Char"/>
    <w:rsid w:val="00D92AD9"/>
    <w:pPr>
      <w:spacing w:line="480" w:lineRule="auto"/>
    </w:pPr>
  </w:style>
  <w:style w:type="paragraph" w:customStyle="1" w:styleId="OSCPLListNumber">
    <w:name w:val="OSC PL List Number"/>
    <w:basedOn w:val="ListNumber"/>
    <w:qFormat/>
    <w:rsid w:val="008A65D0"/>
    <w:rPr>
      <w:rFonts w:eastAsia="Times New Roman"/>
    </w:rPr>
  </w:style>
  <w:style w:type="paragraph" w:styleId="ListNumber">
    <w:name w:val="List Number"/>
    <w:basedOn w:val="Normal"/>
    <w:rsid w:val="00575777"/>
  </w:style>
  <w:style w:type="numbering" w:customStyle="1" w:styleId="OSCPlainLanguage">
    <w:name w:val="OSC Plain Language"/>
    <w:uiPriority w:val="99"/>
    <w:rsid w:val="00BD413E"/>
    <w:pPr>
      <w:numPr>
        <w:numId w:val="5"/>
      </w:numPr>
    </w:pPr>
  </w:style>
  <w:style w:type="character" w:customStyle="1" w:styleId="Heading7Char">
    <w:name w:val="Heading 7 Char"/>
    <w:basedOn w:val="DefaultParagraphFont"/>
    <w:link w:val="Heading7"/>
    <w:uiPriority w:val="9"/>
    <w:semiHidden/>
    <w:rsid w:val="008A65D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A65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65D0"/>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8A65D0"/>
    <w:rPr>
      <w:b/>
      <w:bCs/>
    </w:rPr>
  </w:style>
  <w:style w:type="character" w:styleId="Emphasis">
    <w:name w:val="Emphasis"/>
    <w:uiPriority w:val="20"/>
    <w:qFormat/>
    <w:rsid w:val="008A65D0"/>
    <w:rPr>
      <w:i/>
      <w:iCs/>
    </w:rPr>
  </w:style>
  <w:style w:type="paragraph" w:styleId="NoSpacing">
    <w:name w:val="No Spacing"/>
    <w:basedOn w:val="Normal"/>
    <w:link w:val="NoSpacingChar"/>
    <w:uiPriority w:val="1"/>
    <w:qFormat/>
    <w:rsid w:val="008A65D0"/>
    <w:pPr>
      <w:spacing w:after="0"/>
    </w:pPr>
  </w:style>
  <w:style w:type="paragraph" w:styleId="Quote">
    <w:name w:val="Quote"/>
    <w:basedOn w:val="Normal"/>
    <w:next w:val="Normal"/>
    <w:link w:val="QuoteChar"/>
    <w:uiPriority w:val="29"/>
    <w:qFormat/>
    <w:rsid w:val="008A65D0"/>
    <w:rPr>
      <w:i/>
      <w:iCs/>
      <w:color w:val="000000" w:themeColor="text1"/>
    </w:rPr>
  </w:style>
  <w:style w:type="character" w:customStyle="1" w:styleId="QuoteChar">
    <w:name w:val="Quote Char"/>
    <w:basedOn w:val="DefaultParagraphFont"/>
    <w:link w:val="Quote"/>
    <w:uiPriority w:val="29"/>
    <w:rsid w:val="008A65D0"/>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8A65D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A65D0"/>
    <w:rPr>
      <w:rFonts w:ascii="Times New Roman" w:hAnsi="Times New Roman"/>
      <w:b/>
      <w:bCs/>
      <w:i/>
      <w:iCs/>
      <w:color w:val="4F81BD" w:themeColor="accent1"/>
      <w:sz w:val="24"/>
    </w:rPr>
  </w:style>
  <w:style w:type="character" w:styleId="SubtleEmphasis">
    <w:name w:val="Subtle Emphasis"/>
    <w:uiPriority w:val="19"/>
    <w:qFormat/>
    <w:rsid w:val="008A65D0"/>
    <w:rPr>
      <w:i/>
      <w:iCs/>
      <w:color w:val="808080" w:themeColor="text1" w:themeTint="7F"/>
    </w:rPr>
  </w:style>
  <w:style w:type="character" w:styleId="IntenseEmphasis">
    <w:name w:val="Intense Emphasis"/>
    <w:uiPriority w:val="21"/>
    <w:qFormat/>
    <w:rsid w:val="008A65D0"/>
    <w:rPr>
      <w:b/>
      <w:bCs/>
      <w:i/>
      <w:iCs/>
      <w:color w:val="4F81BD" w:themeColor="accent1"/>
    </w:rPr>
  </w:style>
  <w:style w:type="character" w:styleId="SubtleReference">
    <w:name w:val="Subtle Reference"/>
    <w:uiPriority w:val="31"/>
    <w:qFormat/>
    <w:rsid w:val="008A65D0"/>
    <w:rPr>
      <w:smallCaps/>
      <w:color w:val="C0504D" w:themeColor="accent2"/>
      <w:u w:val="single"/>
    </w:rPr>
  </w:style>
  <w:style w:type="character" w:styleId="IntenseReference">
    <w:name w:val="Intense Reference"/>
    <w:uiPriority w:val="32"/>
    <w:qFormat/>
    <w:rsid w:val="008A65D0"/>
    <w:rPr>
      <w:b/>
      <w:bCs/>
      <w:smallCaps/>
      <w:color w:val="C0504D" w:themeColor="accent2"/>
      <w:spacing w:val="5"/>
      <w:u w:val="single"/>
    </w:rPr>
  </w:style>
  <w:style w:type="character" w:styleId="BookTitle">
    <w:name w:val="Book Title"/>
    <w:uiPriority w:val="33"/>
    <w:qFormat/>
    <w:rsid w:val="008A65D0"/>
    <w:rPr>
      <w:b/>
      <w:bCs/>
      <w:smallCaps/>
      <w:spacing w:val="5"/>
    </w:rPr>
  </w:style>
  <w:style w:type="paragraph" w:styleId="TOCHeading">
    <w:name w:val="TOC Heading"/>
    <w:basedOn w:val="Heading1"/>
    <w:next w:val="Normal"/>
    <w:uiPriority w:val="39"/>
    <w:semiHidden/>
    <w:unhideWhenUsed/>
    <w:qFormat/>
    <w:rsid w:val="008A65D0"/>
    <w:pPr>
      <w:spacing w:before="480"/>
      <w:outlineLvl w:val="9"/>
    </w:pPr>
    <w:rPr>
      <w:rFonts w:asciiTheme="majorHAnsi" w:hAnsiTheme="majorHAnsi"/>
      <w:color w:val="365F91" w:themeColor="accent1" w:themeShade="BF"/>
    </w:rPr>
  </w:style>
  <w:style w:type="paragraph" w:styleId="Caption">
    <w:name w:val="caption"/>
    <w:basedOn w:val="Normal"/>
    <w:next w:val="Normal"/>
    <w:link w:val="CaptionChar"/>
    <w:uiPriority w:val="35"/>
    <w:semiHidden/>
    <w:unhideWhenUsed/>
    <w:qFormat/>
    <w:rsid w:val="008A65D0"/>
    <w:pPr>
      <w:spacing w:after="200"/>
    </w:pPr>
    <w:rPr>
      <w:b/>
      <w:bCs/>
      <w:color w:val="4F81BD" w:themeColor="accent1"/>
      <w:sz w:val="18"/>
      <w:szCs w:val="18"/>
    </w:rPr>
  </w:style>
  <w:style w:type="character" w:customStyle="1" w:styleId="NoSpacingChar">
    <w:name w:val="No Spacing Char"/>
    <w:basedOn w:val="DefaultParagraphFont"/>
    <w:link w:val="NoSpacing"/>
    <w:uiPriority w:val="1"/>
    <w:rsid w:val="008A65D0"/>
    <w:rPr>
      <w:rFonts w:ascii="Times New Roman" w:hAnsi="Times New Roman"/>
      <w:sz w:val="24"/>
    </w:rPr>
  </w:style>
  <w:style w:type="paragraph" w:styleId="NormalIndent">
    <w:name w:val="Normal Indent"/>
    <w:basedOn w:val="Normal"/>
    <w:rsid w:val="00D92AD9"/>
    <w:pPr>
      <w:ind w:left="720"/>
    </w:pPr>
  </w:style>
  <w:style w:type="character" w:customStyle="1" w:styleId="BodyText2Char">
    <w:name w:val="Body Text 2 Char"/>
    <w:basedOn w:val="DefaultParagraphFont"/>
    <w:link w:val="BodyText2"/>
    <w:rsid w:val="00D92AD9"/>
    <w:rPr>
      <w:rFonts w:ascii="Verdana" w:hAnsi="Verdana"/>
      <w:sz w:val="21"/>
    </w:rPr>
  </w:style>
  <w:style w:type="paragraph" w:styleId="BodyText3">
    <w:name w:val="Body Text 3"/>
    <w:basedOn w:val="Normal"/>
    <w:link w:val="BodyText3Char"/>
    <w:rsid w:val="00D92AD9"/>
    <w:rPr>
      <w:sz w:val="16"/>
      <w:szCs w:val="16"/>
    </w:rPr>
  </w:style>
  <w:style w:type="character" w:customStyle="1" w:styleId="BodyText3Char">
    <w:name w:val="Body Text 3 Char"/>
    <w:basedOn w:val="DefaultParagraphFont"/>
    <w:link w:val="BodyText3"/>
    <w:rsid w:val="00D92AD9"/>
    <w:rPr>
      <w:rFonts w:ascii="Verdana" w:hAnsi="Verdana"/>
      <w:sz w:val="16"/>
      <w:szCs w:val="16"/>
    </w:rPr>
  </w:style>
  <w:style w:type="paragraph" w:styleId="BlockText">
    <w:name w:val="Block Text"/>
    <w:basedOn w:val="Normal"/>
    <w:rsid w:val="00D92AD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rsid w:val="00D92AD9"/>
    <w:pPr>
      <w:ind w:firstLine="360"/>
    </w:pPr>
  </w:style>
  <w:style w:type="character" w:customStyle="1" w:styleId="BodyTextFirstIndentChar">
    <w:name w:val="Body Text First Indent Char"/>
    <w:basedOn w:val="BodyTextChar"/>
    <w:link w:val="BodyTextFirstIndent"/>
    <w:rsid w:val="00D92AD9"/>
    <w:rPr>
      <w:rFonts w:ascii="Verdana" w:hAnsi="Verdana"/>
      <w:sz w:val="21"/>
    </w:rPr>
  </w:style>
  <w:style w:type="paragraph" w:styleId="BodyTextIndent">
    <w:name w:val="Body Text Indent"/>
    <w:basedOn w:val="Normal"/>
    <w:link w:val="BodyTextIndentChar"/>
    <w:rsid w:val="00D92AD9"/>
    <w:pPr>
      <w:ind w:left="283"/>
    </w:pPr>
  </w:style>
  <w:style w:type="character" w:customStyle="1" w:styleId="BodyTextIndentChar">
    <w:name w:val="Body Text Indent Char"/>
    <w:basedOn w:val="DefaultParagraphFont"/>
    <w:link w:val="BodyTextIndent"/>
    <w:rsid w:val="00D92AD9"/>
    <w:rPr>
      <w:rFonts w:ascii="Verdana" w:hAnsi="Verdana"/>
      <w:sz w:val="21"/>
    </w:rPr>
  </w:style>
  <w:style w:type="paragraph" w:styleId="BodyTextFirstIndent2">
    <w:name w:val="Body Text First Indent 2"/>
    <w:basedOn w:val="BodyTextIndent"/>
    <w:link w:val="BodyTextFirstIndent2Char"/>
    <w:rsid w:val="00D92AD9"/>
    <w:pPr>
      <w:ind w:left="360" w:firstLine="360"/>
    </w:pPr>
  </w:style>
  <w:style w:type="character" w:customStyle="1" w:styleId="BodyTextFirstIndent2Char">
    <w:name w:val="Body Text First Indent 2 Char"/>
    <w:basedOn w:val="BodyTextIndentChar"/>
    <w:link w:val="BodyTextFirstIndent2"/>
    <w:rsid w:val="00D92AD9"/>
    <w:rPr>
      <w:rFonts w:ascii="Verdana" w:hAnsi="Verdana"/>
      <w:sz w:val="21"/>
    </w:rPr>
  </w:style>
  <w:style w:type="character" w:styleId="FootnoteReference">
    <w:name w:val="footnote reference"/>
    <w:basedOn w:val="DefaultParagraphFont"/>
    <w:uiPriority w:val="99"/>
    <w:unhideWhenUsed/>
    <w:rsid w:val="00DE43B4"/>
    <w:rPr>
      <w:vertAlign w:val="superscript"/>
    </w:rPr>
  </w:style>
  <w:style w:type="paragraph" w:customStyle="1" w:styleId="footnote">
    <w:name w:val="footnote"/>
    <w:basedOn w:val="FootnoteText"/>
    <w:link w:val="footnoteChar"/>
    <w:qFormat/>
    <w:rsid w:val="00000DAB"/>
    <w:pPr>
      <w:spacing w:before="0" w:after="40"/>
    </w:pPr>
    <w:rPr>
      <w:sz w:val="18"/>
    </w:rPr>
  </w:style>
  <w:style w:type="character" w:customStyle="1" w:styleId="footnoteChar">
    <w:name w:val="footnote Char"/>
    <w:basedOn w:val="FootnoteTextChar"/>
    <w:link w:val="footnote"/>
    <w:rsid w:val="00000DAB"/>
    <w:rPr>
      <w:rFonts w:ascii="Times New Roman" w:hAnsi="Times New Roman"/>
      <w:sz w:val="18"/>
      <w:szCs w:val="20"/>
    </w:rPr>
  </w:style>
  <w:style w:type="paragraph" w:styleId="FootnoteText">
    <w:name w:val="footnote text"/>
    <w:basedOn w:val="Normal"/>
    <w:link w:val="FootnoteTextChar"/>
    <w:uiPriority w:val="99"/>
    <w:unhideWhenUsed/>
    <w:rsid w:val="00DE43B4"/>
    <w:pPr>
      <w:spacing w:after="0"/>
    </w:pPr>
    <w:rPr>
      <w:sz w:val="20"/>
      <w:szCs w:val="20"/>
    </w:rPr>
  </w:style>
  <w:style w:type="character" w:customStyle="1" w:styleId="FootnoteTextChar">
    <w:name w:val="Footnote Text Char"/>
    <w:basedOn w:val="DefaultParagraphFont"/>
    <w:link w:val="FootnoteText"/>
    <w:uiPriority w:val="99"/>
    <w:rsid w:val="00DE43B4"/>
    <w:rPr>
      <w:rFonts w:ascii="Verdana" w:hAnsi="Verdana"/>
      <w:sz w:val="20"/>
      <w:szCs w:val="20"/>
    </w:rPr>
  </w:style>
  <w:style w:type="paragraph" w:styleId="Header">
    <w:name w:val="header"/>
    <w:basedOn w:val="Normal"/>
    <w:link w:val="HeaderChar"/>
    <w:unhideWhenUsed/>
    <w:rsid w:val="007A0AB7"/>
    <w:pPr>
      <w:tabs>
        <w:tab w:val="center" w:pos="4680"/>
        <w:tab w:val="right" w:pos="9360"/>
      </w:tabs>
      <w:spacing w:after="0"/>
    </w:pPr>
  </w:style>
  <w:style w:type="character" w:customStyle="1" w:styleId="HeaderChar">
    <w:name w:val="Header Char"/>
    <w:basedOn w:val="DefaultParagraphFont"/>
    <w:link w:val="Header"/>
    <w:rsid w:val="007A0AB7"/>
    <w:rPr>
      <w:rFonts w:ascii="Verdana" w:hAnsi="Verdana"/>
      <w:sz w:val="21"/>
    </w:rPr>
  </w:style>
  <w:style w:type="paragraph" w:styleId="Footer">
    <w:name w:val="footer"/>
    <w:basedOn w:val="Normal"/>
    <w:link w:val="FooterChar"/>
    <w:uiPriority w:val="99"/>
    <w:unhideWhenUsed/>
    <w:rsid w:val="007A0AB7"/>
    <w:pPr>
      <w:tabs>
        <w:tab w:val="center" w:pos="4680"/>
        <w:tab w:val="right" w:pos="9360"/>
      </w:tabs>
      <w:spacing w:after="0"/>
    </w:pPr>
  </w:style>
  <w:style w:type="character" w:customStyle="1" w:styleId="FooterChar">
    <w:name w:val="Footer Char"/>
    <w:basedOn w:val="DefaultParagraphFont"/>
    <w:link w:val="Footer"/>
    <w:uiPriority w:val="99"/>
    <w:rsid w:val="007A0AB7"/>
    <w:rPr>
      <w:rFonts w:ascii="Verdana" w:hAnsi="Verdana"/>
      <w:sz w:val="21"/>
    </w:rPr>
  </w:style>
  <w:style w:type="character" w:styleId="CommentReference">
    <w:name w:val="annotation reference"/>
    <w:basedOn w:val="DefaultParagraphFont"/>
    <w:uiPriority w:val="99"/>
    <w:semiHidden/>
    <w:unhideWhenUsed/>
    <w:rsid w:val="00500F84"/>
    <w:rPr>
      <w:sz w:val="16"/>
      <w:szCs w:val="16"/>
    </w:rPr>
  </w:style>
  <w:style w:type="character" w:styleId="Hyperlink">
    <w:name w:val="Hyperlink"/>
    <w:basedOn w:val="DefaultParagraphFont"/>
    <w:uiPriority w:val="99"/>
    <w:unhideWhenUsed/>
    <w:rsid w:val="00500F84"/>
    <w:rPr>
      <w:color w:val="0000FF"/>
      <w:u w:val="single"/>
    </w:rPr>
  </w:style>
  <w:style w:type="character" w:customStyle="1" w:styleId="ListParagraphChar">
    <w:name w:val="List Paragraph Char"/>
    <w:basedOn w:val="DefaultParagraphFont"/>
    <w:link w:val="ListParagraph"/>
    <w:uiPriority w:val="34"/>
    <w:rsid w:val="00500F84"/>
    <w:rPr>
      <w:rFonts w:ascii="Verdana" w:hAnsi="Verdana"/>
      <w:sz w:val="21"/>
    </w:rPr>
  </w:style>
  <w:style w:type="character" w:customStyle="1" w:styleId="ssit2">
    <w:name w:val="ss_it2"/>
    <w:basedOn w:val="DefaultParagraphFont"/>
    <w:rsid w:val="002F344B"/>
    <w:rPr>
      <w:i/>
      <w:iCs/>
    </w:rPr>
  </w:style>
  <w:style w:type="paragraph" w:styleId="CommentText">
    <w:name w:val="annotation text"/>
    <w:basedOn w:val="Normal"/>
    <w:link w:val="CommentTextChar"/>
    <w:unhideWhenUsed/>
    <w:rsid w:val="005C1B9E"/>
    <w:rPr>
      <w:sz w:val="20"/>
      <w:szCs w:val="20"/>
    </w:rPr>
  </w:style>
  <w:style w:type="character" w:customStyle="1" w:styleId="CommentTextChar">
    <w:name w:val="Comment Text Char"/>
    <w:basedOn w:val="DefaultParagraphFont"/>
    <w:link w:val="CommentText"/>
    <w:rsid w:val="005C1B9E"/>
    <w:rPr>
      <w:rFonts w:ascii="Verdana" w:hAnsi="Verdana"/>
      <w:sz w:val="20"/>
      <w:szCs w:val="20"/>
    </w:rPr>
  </w:style>
  <w:style w:type="paragraph" w:styleId="CommentSubject">
    <w:name w:val="annotation subject"/>
    <w:basedOn w:val="CommentText"/>
    <w:next w:val="CommentText"/>
    <w:link w:val="CommentSubjectChar"/>
    <w:semiHidden/>
    <w:unhideWhenUsed/>
    <w:rsid w:val="005C1B9E"/>
    <w:rPr>
      <w:b/>
      <w:bCs/>
    </w:rPr>
  </w:style>
  <w:style w:type="character" w:customStyle="1" w:styleId="CommentSubjectChar">
    <w:name w:val="Comment Subject Char"/>
    <w:basedOn w:val="CommentTextChar"/>
    <w:link w:val="CommentSubject"/>
    <w:semiHidden/>
    <w:rsid w:val="005C1B9E"/>
    <w:rPr>
      <w:rFonts w:ascii="Verdana" w:hAnsi="Verdana"/>
      <w:b/>
      <w:bCs/>
      <w:sz w:val="20"/>
      <w:szCs w:val="20"/>
    </w:rPr>
  </w:style>
  <w:style w:type="paragraph" w:styleId="BalloonText">
    <w:name w:val="Balloon Text"/>
    <w:basedOn w:val="Normal"/>
    <w:link w:val="BalloonTextChar"/>
    <w:semiHidden/>
    <w:unhideWhenUsed/>
    <w:rsid w:val="005C1B9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C1B9E"/>
    <w:rPr>
      <w:rFonts w:ascii="Segoe UI" w:hAnsi="Segoe UI" w:cs="Segoe UI"/>
      <w:sz w:val="18"/>
      <w:szCs w:val="18"/>
    </w:rPr>
  </w:style>
  <w:style w:type="paragraph" w:customStyle="1" w:styleId="Default">
    <w:name w:val="Default"/>
    <w:rsid w:val="001C25F8"/>
    <w:pPr>
      <w:autoSpaceDE w:val="0"/>
      <w:autoSpaceDN w:val="0"/>
      <w:adjustRightInd w:val="0"/>
      <w:spacing w:after="0" w:line="240" w:lineRule="auto"/>
    </w:pPr>
    <w:rPr>
      <w:rFonts w:ascii="Arial" w:hAnsi="Arial" w:cs="Arial"/>
      <w:color w:val="000000"/>
      <w:sz w:val="24"/>
      <w:szCs w:val="24"/>
      <w:lang w:val="fr-CA"/>
    </w:rPr>
  </w:style>
  <w:style w:type="character" w:customStyle="1" w:styleId="UnresolvedMention1">
    <w:name w:val="Unresolved Mention1"/>
    <w:basedOn w:val="DefaultParagraphFont"/>
    <w:uiPriority w:val="99"/>
    <w:semiHidden/>
    <w:unhideWhenUsed/>
    <w:rsid w:val="001C25F8"/>
    <w:rPr>
      <w:color w:val="605E5C"/>
      <w:shd w:val="clear" w:color="auto" w:fill="E1DFDD"/>
    </w:rPr>
  </w:style>
  <w:style w:type="character" w:customStyle="1" w:styleId="label-section1">
    <w:name w:val="label-section1"/>
    <w:basedOn w:val="DefaultParagraphFont"/>
    <w:rsid w:val="007637CB"/>
    <w:rPr>
      <w:rFonts w:ascii="Arial" w:hAnsi="Arial" w:cs="Arial" w:hint="default"/>
      <w:b/>
      <w:bCs/>
      <w:sz w:val="24"/>
      <w:szCs w:val="24"/>
    </w:rPr>
  </w:style>
  <w:style w:type="character" w:customStyle="1" w:styleId="texte-courant1">
    <w:name w:val="texte-courant1"/>
    <w:basedOn w:val="DefaultParagraphFont"/>
    <w:rsid w:val="007637CB"/>
  </w:style>
  <w:style w:type="character" w:customStyle="1" w:styleId="label-z">
    <w:name w:val="label-z"/>
    <w:basedOn w:val="DefaultParagraphFont"/>
    <w:rsid w:val="007637CB"/>
  </w:style>
  <w:style w:type="character" w:customStyle="1" w:styleId="normal1">
    <w:name w:val="normal1"/>
    <w:basedOn w:val="DefaultParagraphFont"/>
    <w:rsid w:val="007637CB"/>
    <w:rPr>
      <w:b w:val="0"/>
      <w:bCs w:val="0"/>
      <w:i w:val="0"/>
      <w:iCs w:val="0"/>
      <w:caps w:val="0"/>
      <w:smallCaps w:val="0"/>
      <w:strike w:val="0"/>
      <w:dstrike w:val="0"/>
      <w:u w:val="none"/>
      <w:effect w:val="none"/>
    </w:rPr>
  </w:style>
  <w:style w:type="character" w:customStyle="1" w:styleId="widthfixforlabel1">
    <w:name w:val="widthfixforlabel1"/>
    <w:basedOn w:val="DefaultParagraphFont"/>
    <w:rsid w:val="007637CB"/>
  </w:style>
  <w:style w:type="character" w:styleId="FollowedHyperlink">
    <w:name w:val="FollowedHyperlink"/>
    <w:basedOn w:val="DefaultParagraphFont"/>
    <w:semiHidden/>
    <w:unhideWhenUsed/>
    <w:rsid w:val="00BA28CE"/>
    <w:rPr>
      <w:color w:val="800080" w:themeColor="followedHyperlink"/>
      <w:u w:val="single"/>
    </w:rPr>
  </w:style>
  <w:style w:type="paragraph" w:styleId="NormalWeb">
    <w:name w:val="Normal (Web)"/>
    <w:basedOn w:val="Normal"/>
    <w:uiPriority w:val="99"/>
    <w:unhideWhenUsed/>
    <w:rsid w:val="00E9291C"/>
    <w:pPr>
      <w:spacing w:after="300"/>
    </w:pPr>
    <w:rPr>
      <w:rFonts w:eastAsia="Times New Roman" w:cs="Times New Roman"/>
      <w:szCs w:val="24"/>
      <w:lang w:val="fr-CA" w:eastAsia="fr-CA"/>
    </w:rPr>
  </w:style>
  <w:style w:type="paragraph" w:styleId="Revision">
    <w:name w:val="Revision"/>
    <w:hidden/>
    <w:uiPriority w:val="99"/>
    <w:semiHidden/>
    <w:rsid w:val="003F3B25"/>
    <w:pPr>
      <w:spacing w:after="0" w:line="240" w:lineRule="auto"/>
    </w:pPr>
    <w:rPr>
      <w:rFonts w:ascii="Verdana" w:hAnsi="Verdana"/>
      <w:sz w:val="21"/>
    </w:rPr>
  </w:style>
  <w:style w:type="paragraph" w:customStyle="1" w:styleId="SECTION">
    <w:name w:val="SECTION"/>
    <w:basedOn w:val="ListParagraph"/>
    <w:link w:val="SECTIONChar"/>
    <w:qFormat/>
    <w:rsid w:val="00000DAB"/>
    <w:pPr>
      <w:numPr>
        <w:numId w:val="11"/>
      </w:numPr>
      <w:spacing w:before="240"/>
      <w:ind w:left="714" w:hanging="357"/>
      <w:jc w:val="both"/>
    </w:pPr>
    <w:rPr>
      <w:rFonts w:cs="Times New Roman"/>
      <w:b/>
      <w:szCs w:val="24"/>
      <w:lang w:val="en-US"/>
    </w:rPr>
  </w:style>
  <w:style w:type="paragraph" w:customStyle="1" w:styleId="SUB-SECTION">
    <w:name w:val="SUB-SECTION"/>
    <w:basedOn w:val="ListParagraph"/>
    <w:link w:val="SUB-SECTIONChar"/>
    <w:qFormat/>
    <w:rsid w:val="00682625"/>
    <w:pPr>
      <w:numPr>
        <w:ilvl w:val="1"/>
        <w:numId w:val="11"/>
      </w:numPr>
      <w:spacing w:before="240"/>
      <w:jc w:val="both"/>
    </w:pPr>
    <w:rPr>
      <w:rFonts w:cs="Times New Roman"/>
      <w:b/>
      <w:szCs w:val="24"/>
      <w:lang w:val="en-US"/>
    </w:rPr>
  </w:style>
  <w:style w:type="character" w:customStyle="1" w:styleId="SECTIONChar">
    <w:name w:val="SECTION Char"/>
    <w:basedOn w:val="ListParagraphChar"/>
    <w:link w:val="SECTION"/>
    <w:rsid w:val="00000DAB"/>
    <w:rPr>
      <w:rFonts w:ascii="Times New Roman" w:hAnsi="Times New Roman" w:cs="Times New Roman"/>
      <w:b/>
      <w:sz w:val="24"/>
      <w:szCs w:val="24"/>
      <w:lang w:val="en-US"/>
    </w:rPr>
  </w:style>
  <w:style w:type="paragraph" w:customStyle="1" w:styleId="FIGURES">
    <w:name w:val="FIGURES"/>
    <w:basedOn w:val="Caption"/>
    <w:link w:val="FIGURESChar"/>
    <w:qFormat/>
    <w:rsid w:val="00000DAB"/>
    <w:pPr>
      <w:keepNext/>
      <w:spacing w:before="240"/>
      <w:jc w:val="center"/>
    </w:pPr>
  </w:style>
  <w:style w:type="character" w:customStyle="1" w:styleId="SUB-SECTIONChar">
    <w:name w:val="SUB-SECTION Char"/>
    <w:basedOn w:val="ListParagraphChar"/>
    <w:link w:val="SUB-SECTION"/>
    <w:rsid w:val="00682625"/>
    <w:rPr>
      <w:rFonts w:ascii="Times New Roman" w:hAnsi="Times New Roman" w:cs="Times New Roman"/>
      <w:b/>
      <w:sz w:val="24"/>
      <w:szCs w:val="24"/>
      <w:lang w:val="en-US"/>
    </w:rPr>
  </w:style>
  <w:style w:type="character" w:customStyle="1" w:styleId="CaptionChar">
    <w:name w:val="Caption Char"/>
    <w:basedOn w:val="DefaultParagraphFont"/>
    <w:link w:val="Caption"/>
    <w:uiPriority w:val="35"/>
    <w:semiHidden/>
    <w:rsid w:val="00000DAB"/>
    <w:rPr>
      <w:rFonts w:ascii="Times New Roman" w:hAnsi="Times New Roman"/>
      <w:b/>
      <w:bCs/>
      <w:color w:val="4F81BD" w:themeColor="accent1"/>
      <w:sz w:val="18"/>
      <w:szCs w:val="18"/>
    </w:rPr>
  </w:style>
  <w:style w:type="character" w:customStyle="1" w:styleId="FIGURESChar">
    <w:name w:val="FIGURES Char"/>
    <w:basedOn w:val="CaptionChar"/>
    <w:link w:val="FIGURES"/>
    <w:rsid w:val="00000DAB"/>
    <w:rPr>
      <w:rFonts w:ascii="Times New Roman" w:hAnsi="Times New Roman"/>
      <w:b/>
      <w:bCs/>
      <w:color w:val="4F81BD" w:themeColor="accent1"/>
      <w:sz w:val="18"/>
      <w:szCs w:val="18"/>
    </w:rPr>
  </w:style>
  <w:style w:type="character" w:customStyle="1" w:styleId="UnresolvedMention">
    <w:name w:val="Unresolved Mention"/>
    <w:basedOn w:val="DefaultParagraphFont"/>
    <w:uiPriority w:val="99"/>
    <w:semiHidden/>
    <w:unhideWhenUsed/>
    <w:rsid w:val="00EF76F2"/>
    <w:rPr>
      <w:color w:val="605E5C"/>
      <w:shd w:val="clear" w:color="auto" w:fill="E1DFDD"/>
    </w:rPr>
  </w:style>
  <w:style w:type="table" w:customStyle="1" w:styleId="TableGrid1">
    <w:name w:val="Table Grid1"/>
    <w:basedOn w:val="TableNormal"/>
    <w:next w:val="TableGrid"/>
    <w:uiPriority w:val="39"/>
    <w:rsid w:val="0078629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78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8907">
      <w:bodyDiv w:val="1"/>
      <w:marLeft w:val="0"/>
      <w:marRight w:val="0"/>
      <w:marTop w:val="0"/>
      <w:marBottom w:val="0"/>
      <w:divBdr>
        <w:top w:val="none" w:sz="0" w:space="0" w:color="auto"/>
        <w:left w:val="none" w:sz="0" w:space="0" w:color="auto"/>
        <w:bottom w:val="none" w:sz="0" w:space="0" w:color="auto"/>
        <w:right w:val="none" w:sz="0" w:space="0" w:color="auto"/>
      </w:divBdr>
    </w:div>
    <w:div w:id="262109673">
      <w:bodyDiv w:val="1"/>
      <w:marLeft w:val="0"/>
      <w:marRight w:val="0"/>
      <w:marTop w:val="0"/>
      <w:marBottom w:val="0"/>
      <w:divBdr>
        <w:top w:val="none" w:sz="0" w:space="0" w:color="auto"/>
        <w:left w:val="none" w:sz="0" w:space="0" w:color="auto"/>
        <w:bottom w:val="none" w:sz="0" w:space="0" w:color="auto"/>
        <w:right w:val="none" w:sz="0" w:space="0" w:color="auto"/>
      </w:divBdr>
    </w:div>
    <w:div w:id="413210156">
      <w:bodyDiv w:val="1"/>
      <w:marLeft w:val="0"/>
      <w:marRight w:val="0"/>
      <w:marTop w:val="0"/>
      <w:marBottom w:val="0"/>
      <w:divBdr>
        <w:top w:val="none" w:sz="0" w:space="0" w:color="auto"/>
        <w:left w:val="none" w:sz="0" w:space="0" w:color="auto"/>
        <w:bottom w:val="none" w:sz="0" w:space="0" w:color="auto"/>
        <w:right w:val="none" w:sz="0" w:space="0" w:color="auto"/>
      </w:divBdr>
    </w:div>
    <w:div w:id="466506568">
      <w:bodyDiv w:val="1"/>
      <w:marLeft w:val="0"/>
      <w:marRight w:val="0"/>
      <w:marTop w:val="0"/>
      <w:marBottom w:val="0"/>
      <w:divBdr>
        <w:top w:val="none" w:sz="0" w:space="0" w:color="auto"/>
        <w:left w:val="none" w:sz="0" w:space="0" w:color="auto"/>
        <w:bottom w:val="none" w:sz="0" w:space="0" w:color="auto"/>
        <w:right w:val="none" w:sz="0" w:space="0" w:color="auto"/>
      </w:divBdr>
    </w:div>
    <w:div w:id="508451772">
      <w:bodyDiv w:val="1"/>
      <w:marLeft w:val="0"/>
      <w:marRight w:val="0"/>
      <w:marTop w:val="0"/>
      <w:marBottom w:val="0"/>
      <w:divBdr>
        <w:top w:val="none" w:sz="0" w:space="0" w:color="auto"/>
        <w:left w:val="none" w:sz="0" w:space="0" w:color="auto"/>
        <w:bottom w:val="none" w:sz="0" w:space="0" w:color="auto"/>
        <w:right w:val="none" w:sz="0" w:space="0" w:color="auto"/>
      </w:divBdr>
      <w:divsChild>
        <w:div w:id="348920444">
          <w:marLeft w:val="0"/>
          <w:marRight w:val="0"/>
          <w:marTop w:val="0"/>
          <w:marBottom w:val="0"/>
          <w:divBdr>
            <w:top w:val="none" w:sz="0" w:space="0" w:color="auto"/>
            <w:left w:val="none" w:sz="0" w:space="0" w:color="auto"/>
            <w:bottom w:val="none" w:sz="0" w:space="0" w:color="auto"/>
            <w:right w:val="none" w:sz="0" w:space="0" w:color="auto"/>
          </w:divBdr>
          <w:divsChild>
            <w:div w:id="834804685">
              <w:marLeft w:val="-225"/>
              <w:marRight w:val="-150"/>
              <w:marTop w:val="0"/>
              <w:marBottom w:val="0"/>
              <w:divBdr>
                <w:top w:val="none" w:sz="0" w:space="0" w:color="auto"/>
                <w:left w:val="none" w:sz="0" w:space="0" w:color="auto"/>
                <w:bottom w:val="none" w:sz="0" w:space="0" w:color="auto"/>
                <w:right w:val="none" w:sz="0" w:space="0" w:color="auto"/>
              </w:divBdr>
              <w:divsChild>
                <w:div w:id="243608690">
                  <w:marLeft w:val="0"/>
                  <w:marRight w:val="0"/>
                  <w:marTop w:val="0"/>
                  <w:marBottom w:val="0"/>
                  <w:divBdr>
                    <w:top w:val="none" w:sz="0" w:space="0" w:color="auto"/>
                    <w:left w:val="none" w:sz="0" w:space="0" w:color="auto"/>
                    <w:bottom w:val="none" w:sz="0" w:space="0" w:color="auto"/>
                    <w:right w:val="none" w:sz="0" w:space="0" w:color="auto"/>
                  </w:divBdr>
                  <w:divsChild>
                    <w:div w:id="1233007443">
                      <w:marLeft w:val="0"/>
                      <w:marRight w:val="0"/>
                      <w:marTop w:val="0"/>
                      <w:marBottom w:val="255"/>
                      <w:divBdr>
                        <w:top w:val="none" w:sz="0" w:space="0" w:color="auto"/>
                        <w:left w:val="none" w:sz="0" w:space="0" w:color="auto"/>
                        <w:bottom w:val="none" w:sz="0" w:space="0" w:color="auto"/>
                        <w:right w:val="none" w:sz="0" w:space="0" w:color="auto"/>
                      </w:divBdr>
                      <w:divsChild>
                        <w:div w:id="1299847568">
                          <w:marLeft w:val="0"/>
                          <w:marRight w:val="0"/>
                          <w:marTop w:val="0"/>
                          <w:marBottom w:val="0"/>
                          <w:divBdr>
                            <w:top w:val="none" w:sz="0" w:space="0" w:color="auto"/>
                            <w:left w:val="none" w:sz="0" w:space="0" w:color="auto"/>
                            <w:bottom w:val="none" w:sz="0" w:space="0" w:color="auto"/>
                            <w:right w:val="none" w:sz="0" w:space="0" w:color="auto"/>
                          </w:divBdr>
                          <w:divsChild>
                            <w:div w:id="658851253">
                              <w:marLeft w:val="0"/>
                              <w:marRight w:val="0"/>
                              <w:marTop w:val="0"/>
                              <w:marBottom w:val="255"/>
                              <w:divBdr>
                                <w:top w:val="none" w:sz="0" w:space="0" w:color="auto"/>
                                <w:left w:val="none" w:sz="0" w:space="0" w:color="auto"/>
                                <w:bottom w:val="none" w:sz="0" w:space="0" w:color="auto"/>
                                <w:right w:val="none" w:sz="0" w:space="0" w:color="auto"/>
                              </w:divBdr>
                              <w:divsChild>
                                <w:div w:id="1797144388">
                                  <w:marLeft w:val="0"/>
                                  <w:marRight w:val="0"/>
                                  <w:marTop w:val="0"/>
                                  <w:marBottom w:val="0"/>
                                  <w:divBdr>
                                    <w:top w:val="none" w:sz="0" w:space="0" w:color="auto"/>
                                    <w:left w:val="none" w:sz="0" w:space="0" w:color="auto"/>
                                    <w:bottom w:val="none" w:sz="0" w:space="0" w:color="auto"/>
                                    <w:right w:val="none" w:sz="0" w:space="0" w:color="auto"/>
                                  </w:divBdr>
                                  <w:divsChild>
                                    <w:div w:id="535584217">
                                      <w:marLeft w:val="0"/>
                                      <w:marRight w:val="0"/>
                                      <w:marTop w:val="0"/>
                                      <w:marBottom w:val="0"/>
                                      <w:divBdr>
                                        <w:top w:val="none" w:sz="0" w:space="0" w:color="auto"/>
                                        <w:left w:val="none" w:sz="0" w:space="0" w:color="auto"/>
                                        <w:bottom w:val="none" w:sz="0" w:space="0" w:color="auto"/>
                                        <w:right w:val="none" w:sz="0" w:space="0" w:color="auto"/>
                                      </w:divBdr>
                                      <w:divsChild>
                                        <w:div w:id="1499886040">
                                          <w:marLeft w:val="0"/>
                                          <w:marRight w:val="0"/>
                                          <w:marTop w:val="0"/>
                                          <w:marBottom w:val="0"/>
                                          <w:divBdr>
                                            <w:top w:val="none" w:sz="0" w:space="0" w:color="auto"/>
                                            <w:left w:val="none" w:sz="0" w:space="0" w:color="auto"/>
                                            <w:bottom w:val="none" w:sz="0" w:space="0" w:color="auto"/>
                                            <w:right w:val="none" w:sz="0" w:space="0" w:color="auto"/>
                                          </w:divBdr>
                                          <w:divsChild>
                                            <w:div w:id="407114175">
                                              <w:marLeft w:val="0"/>
                                              <w:marRight w:val="0"/>
                                              <w:marTop w:val="0"/>
                                              <w:marBottom w:val="0"/>
                                              <w:divBdr>
                                                <w:top w:val="none" w:sz="0" w:space="0" w:color="auto"/>
                                                <w:left w:val="none" w:sz="0" w:space="0" w:color="auto"/>
                                                <w:bottom w:val="none" w:sz="0" w:space="0" w:color="auto"/>
                                                <w:right w:val="none" w:sz="0" w:space="0" w:color="auto"/>
                                              </w:divBdr>
                                              <w:divsChild>
                                                <w:div w:id="414129845">
                                                  <w:marLeft w:val="0"/>
                                                  <w:marRight w:val="0"/>
                                                  <w:marTop w:val="0"/>
                                                  <w:marBottom w:val="0"/>
                                                  <w:divBdr>
                                                    <w:top w:val="none" w:sz="0" w:space="0" w:color="auto"/>
                                                    <w:left w:val="none" w:sz="0" w:space="0" w:color="auto"/>
                                                    <w:bottom w:val="none" w:sz="0" w:space="0" w:color="auto"/>
                                                    <w:right w:val="none" w:sz="0" w:space="0" w:color="auto"/>
                                                  </w:divBdr>
                                                  <w:divsChild>
                                                    <w:div w:id="1850633711">
                                                      <w:marLeft w:val="0"/>
                                                      <w:marRight w:val="0"/>
                                                      <w:marTop w:val="0"/>
                                                      <w:marBottom w:val="0"/>
                                                      <w:divBdr>
                                                        <w:top w:val="none" w:sz="0" w:space="0" w:color="auto"/>
                                                        <w:left w:val="none" w:sz="0" w:space="0" w:color="auto"/>
                                                        <w:bottom w:val="none" w:sz="0" w:space="0" w:color="auto"/>
                                                        <w:right w:val="none" w:sz="0" w:space="0" w:color="auto"/>
                                                      </w:divBdr>
                                                      <w:divsChild>
                                                        <w:div w:id="1739746705">
                                                          <w:marLeft w:val="0"/>
                                                          <w:marRight w:val="0"/>
                                                          <w:marTop w:val="219"/>
                                                          <w:marBottom w:val="0"/>
                                                          <w:divBdr>
                                                            <w:top w:val="none" w:sz="0" w:space="0" w:color="auto"/>
                                                            <w:left w:val="none" w:sz="0" w:space="0" w:color="auto"/>
                                                            <w:bottom w:val="none" w:sz="0" w:space="0" w:color="auto"/>
                                                            <w:right w:val="none" w:sz="0" w:space="0" w:color="auto"/>
                                                          </w:divBdr>
                                                          <w:divsChild>
                                                            <w:div w:id="1294479292">
                                                              <w:marLeft w:val="0"/>
                                                              <w:marRight w:val="0"/>
                                                              <w:marTop w:val="260"/>
                                                              <w:marBottom w:val="240"/>
                                                              <w:divBdr>
                                                                <w:top w:val="none" w:sz="0" w:space="0" w:color="auto"/>
                                                                <w:left w:val="none" w:sz="0" w:space="0" w:color="auto"/>
                                                                <w:bottom w:val="none" w:sz="0" w:space="0" w:color="auto"/>
                                                                <w:right w:val="none" w:sz="0" w:space="0" w:color="auto"/>
                                                              </w:divBdr>
                                                            </w:div>
                                                            <w:div w:id="1807700816">
                                                              <w:marLeft w:val="0"/>
                                                              <w:marRight w:val="0"/>
                                                              <w:marTop w:val="260"/>
                                                              <w:marBottom w:val="240"/>
                                                              <w:divBdr>
                                                                <w:top w:val="none" w:sz="0" w:space="0" w:color="auto"/>
                                                                <w:left w:val="none" w:sz="0" w:space="0" w:color="auto"/>
                                                                <w:bottom w:val="none" w:sz="0" w:space="0" w:color="auto"/>
                                                                <w:right w:val="none" w:sz="0" w:space="0" w:color="auto"/>
                                                              </w:divBdr>
                                                              <w:divsChild>
                                                                <w:div w:id="618025512">
                                                                  <w:marLeft w:val="0"/>
                                                                  <w:marRight w:val="0"/>
                                                                  <w:marTop w:val="219"/>
                                                                  <w:marBottom w:val="0"/>
                                                                  <w:divBdr>
                                                                    <w:top w:val="none" w:sz="0" w:space="0" w:color="auto"/>
                                                                    <w:left w:val="none" w:sz="0" w:space="0" w:color="auto"/>
                                                                    <w:bottom w:val="none" w:sz="0" w:space="0" w:color="auto"/>
                                                                    <w:right w:val="none" w:sz="0" w:space="0" w:color="auto"/>
                                                                  </w:divBdr>
                                                                </w:div>
                                                                <w:div w:id="689378203">
                                                                  <w:marLeft w:val="0"/>
                                                                  <w:marRight w:val="0"/>
                                                                  <w:marTop w:val="219"/>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0865737">
      <w:bodyDiv w:val="1"/>
      <w:marLeft w:val="0"/>
      <w:marRight w:val="0"/>
      <w:marTop w:val="0"/>
      <w:marBottom w:val="0"/>
      <w:divBdr>
        <w:top w:val="none" w:sz="0" w:space="0" w:color="auto"/>
        <w:left w:val="none" w:sz="0" w:space="0" w:color="auto"/>
        <w:bottom w:val="none" w:sz="0" w:space="0" w:color="auto"/>
        <w:right w:val="none" w:sz="0" w:space="0" w:color="auto"/>
      </w:divBdr>
    </w:div>
    <w:div w:id="760763420">
      <w:bodyDiv w:val="1"/>
      <w:marLeft w:val="0"/>
      <w:marRight w:val="0"/>
      <w:marTop w:val="0"/>
      <w:marBottom w:val="0"/>
      <w:divBdr>
        <w:top w:val="none" w:sz="0" w:space="0" w:color="auto"/>
        <w:left w:val="none" w:sz="0" w:space="0" w:color="auto"/>
        <w:bottom w:val="none" w:sz="0" w:space="0" w:color="auto"/>
        <w:right w:val="none" w:sz="0" w:space="0" w:color="auto"/>
      </w:divBdr>
    </w:div>
    <w:div w:id="1194227593">
      <w:bodyDiv w:val="1"/>
      <w:marLeft w:val="0"/>
      <w:marRight w:val="0"/>
      <w:marTop w:val="0"/>
      <w:marBottom w:val="0"/>
      <w:divBdr>
        <w:top w:val="none" w:sz="0" w:space="0" w:color="auto"/>
        <w:left w:val="none" w:sz="0" w:space="0" w:color="auto"/>
        <w:bottom w:val="none" w:sz="0" w:space="0" w:color="auto"/>
        <w:right w:val="none" w:sz="0" w:space="0" w:color="auto"/>
      </w:divBdr>
    </w:div>
    <w:div w:id="1354570758">
      <w:bodyDiv w:val="1"/>
      <w:marLeft w:val="0"/>
      <w:marRight w:val="0"/>
      <w:marTop w:val="0"/>
      <w:marBottom w:val="0"/>
      <w:divBdr>
        <w:top w:val="none" w:sz="0" w:space="0" w:color="auto"/>
        <w:left w:val="none" w:sz="0" w:space="0" w:color="auto"/>
        <w:bottom w:val="none" w:sz="0" w:space="0" w:color="auto"/>
        <w:right w:val="none" w:sz="0" w:space="0" w:color="auto"/>
      </w:divBdr>
      <w:divsChild>
        <w:div w:id="71435330">
          <w:marLeft w:val="0"/>
          <w:marRight w:val="0"/>
          <w:marTop w:val="300"/>
          <w:marBottom w:val="600"/>
          <w:divBdr>
            <w:top w:val="none" w:sz="0" w:space="0" w:color="auto"/>
            <w:left w:val="none" w:sz="0" w:space="0" w:color="auto"/>
            <w:bottom w:val="none" w:sz="0" w:space="0" w:color="auto"/>
            <w:right w:val="none" w:sz="0" w:space="0" w:color="auto"/>
          </w:divBdr>
          <w:divsChild>
            <w:div w:id="1601376891">
              <w:marLeft w:val="72"/>
              <w:marRight w:val="72"/>
              <w:marTop w:val="0"/>
              <w:marBottom w:val="0"/>
              <w:divBdr>
                <w:top w:val="none" w:sz="0" w:space="0" w:color="auto"/>
                <w:left w:val="none" w:sz="0" w:space="0" w:color="auto"/>
                <w:bottom w:val="none" w:sz="0" w:space="0" w:color="auto"/>
                <w:right w:val="none" w:sz="0" w:space="0" w:color="auto"/>
              </w:divBdr>
              <w:divsChild>
                <w:div w:id="713778225">
                  <w:marLeft w:val="0"/>
                  <w:marRight w:val="0"/>
                  <w:marTop w:val="0"/>
                  <w:marBottom w:val="0"/>
                  <w:divBdr>
                    <w:top w:val="none" w:sz="0" w:space="0" w:color="auto"/>
                    <w:left w:val="none" w:sz="0" w:space="0" w:color="auto"/>
                    <w:bottom w:val="none" w:sz="0" w:space="0" w:color="auto"/>
                    <w:right w:val="none" w:sz="0" w:space="0" w:color="auto"/>
                  </w:divBdr>
                  <w:divsChild>
                    <w:div w:id="1359503629">
                      <w:marLeft w:val="0"/>
                      <w:marRight w:val="0"/>
                      <w:marTop w:val="0"/>
                      <w:marBottom w:val="0"/>
                      <w:divBdr>
                        <w:top w:val="none" w:sz="0" w:space="0" w:color="auto"/>
                        <w:left w:val="none" w:sz="0" w:space="0" w:color="auto"/>
                        <w:bottom w:val="none" w:sz="0" w:space="0" w:color="auto"/>
                        <w:right w:val="none" w:sz="0" w:space="0" w:color="auto"/>
                      </w:divBdr>
                    </w:div>
                    <w:div w:id="1615284309">
                      <w:marLeft w:val="0"/>
                      <w:marRight w:val="0"/>
                      <w:marTop w:val="0"/>
                      <w:marBottom w:val="0"/>
                      <w:divBdr>
                        <w:top w:val="none" w:sz="0" w:space="0" w:color="auto"/>
                        <w:left w:val="none" w:sz="0" w:space="0" w:color="auto"/>
                        <w:bottom w:val="none" w:sz="0" w:space="0" w:color="auto"/>
                        <w:right w:val="none" w:sz="0" w:space="0" w:color="auto"/>
                      </w:divBdr>
                    </w:div>
                    <w:div w:id="1731996714">
                      <w:marLeft w:val="0"/>
                      <w:marRight w:val="0"/>
                      <w:marTop w:val="0"/>
                      <w:marBottom w:val="0"/>
                      <w:divBdr>
                        <w:top w:val="none" w:sz="0" w:space="0" w:color="auto"/>
                        <w:left w:val="none" w:sz="0" w:space="0" w:color="auto"/>
                        <w:bottom w:val="none" w:sz="0" w:space="0" w:color="auto"/>
                        <w:right w:val="none" w:sz="0" w:space="0" w:color="auto"/>
                      </w:divBdr>
                    </w:div>
                    <w:div w:id="1994289524">
                      <w:marLeft w:val="0"/>
                      <w:marRight w:val="0"/>
                      <w:marTop w:val="0"/>
                      <w:marBottom w:val="0"/>
                      <w:divBdr>
                        <w:top w:val="none" w:sz="0" w:space="0" w:color="auto"/>
                        <w:left w:val="none" w:sz="0" w:space="0" w:color="auto"/>
                        <w:bottom w:val="none" w:sz="0" w:space="0" w:color="auto"/>
                        <w:right w:val="none" w:sz="0" w:space="0" w:color="auto"/>
                      </w:divBdr>
                    </w:div>
                  </w:divsChild>
                </w:div>
                <w:div w:id="1895506468">
                  <w:marLeft w:val="0"/>
                  <w:marRight w:val="0"/>
                  <w:marTop w:val="0"/>
                  <w:marBottom w:val="0"/>
                  <w:divBdr>
                    <w:top w:val="none" w:sz="0" w:space="0" w:color="auto"/>
                    <w:left w:val="none" w:sz="0" w:space="0" w:color="auto"/>
                    <w:bottom w:val="none" w:sz="0" w:space="0" w:color="auto"/>
                    <w:right w:val="none" w:sz="0" w:space="0" w:color="auto"/>
                  </w:divBdr>
                  <w:divsChild>
                    <w:div w:id="4019981">
                      <w:marLeft w:val="0"/>
                      <w:marRight w:val="0"/>
                      <w:marTop w:val="0"/>
                      <w:marBottom w:val="0"/>
                      <w:divBdr>
                        <w:top w:val="none" w:sz="0" w:space="0" w:color="auto"/>
                        <w:left w:val="none" w:sz="0" w:space="0" w:color="auto"/>
                        <w:bottom w:val="none" w:sz="0" w:space="0" w:color="auto"/>
                        <w:right w:val="none" w:sz="0" w:space="0" w:color="auto"/>
                      </w:divBdr>
                    </w:div>
                    <w:div w:id="17894143">
                      <w:marLeft w:val="0"/>
                      <w:marRight w:val="0"/>
                      <w:marTop w:val="0"/>
                      <w:marBottom w:val="0"/>
                      <w:divBdr>
                        <w:top w:val="none" w:sz="0" w:space="0" w:color="auto"/>
                        <w:left w:val="none" w:sz="0" w:space="0" w:color="auto"/>
                        <w:bottom w:val="none" w:sz="0" w:space="0" w:color="auto"/>
                        <w:right w:val="none" w:sz="0" w:space="0" w:color="auto"/>
                      </w:divBdr>
                    </w:div>
                    <w:div w:id="25060242">
                      <w:marLeft w:val="0"/>
                      <w:marRight w:val="0"/>
                      <w:marTop w:val="0"/>
                      <w:marBottom w:val="0"/>
                      <w:divBdr>
                        <w:top w:val="none" w:sz="0" w:space="0" w:color="auto"/>
                        <w:left w:val="none" w:sz="0" w:space="0" w:color="auto"/>
                        <w:bottom w:val="none" w:sz="0" w:space="0" w:color="auto"/>
                        <w:right w:val="none" w:sz="0" w:space="0" w:color="auto"/>
                      </w:divBdr>
                    </w:div>
                    <w:div w:id="28534563">
                      <w:marLeft w:val="0"/>
                      <w:marRight w:val="0"/>
                      <w:marTop w:val="0"/>
                      <w:marBottom w:val="0"/>
                      <w:divBdr>
                        <w:top w:val="none" w:sz="0" w:space="0" w:color="auto"/>
                        <w:left w:val="none" w:sz="0" w:space="0" w:color="auto"/>
                        <w:bottom w:val="none" w:sz="0" w:space="0" w:color="auto"/>
                        <w:right w:val="none" w:sz="0" w:space="0" w:color="auto"/>
                      </w:divBdr>
                    </w:div>
                    <w:div w:id="39138850">
                      <w:marLeft w:val="0"/>
                      <w:marRight w:val="0"/>
                      <w:marTop w:val="0"/>
                      <w:marBottom w:val="0"/>
                      <w:divBdr>
                        <w:top w:val="none" w:sz="0" w:space="0" w:color="auto"/>
                        <w:left w:val="none" w:sz="0" w:space="0" w:color="auto"/>
                        <w:bottom w:val="none" w:sz="0" w:space="0" w:color="auto"/>
                        <w:right w:val="none" w:sz="0" w:space="0" w:color="auto"/>
                      </w:divBdr>
                    </w:div>
                    <w:div w:id="55714261">
                      <w:marLeft w:val="0"/>
                      <w:marRight w:val="0"/>
                      <w:marTop w:val="0"/>
                      <w:marBottom w:val="0"/>
                      <w:divBdr>
                        <w:top w:val="none" w:sz="0" w:space="0" w:color="auto"/>
                        <w:left w:val="none" w:sz="0" w:space="0" w:color="auto"/>
                        <w:bottom w:val="none" w:sz="0" w:space="0" w:color="auto"/>
                        <w:right w:val="none" w:sz="0" w:space="0" w:color="auto"/>
                      </w:divBdr>
                    </w:div>
                    <w:div w:id="55781976">
                      <w:marLeft w:val="0"/>
                      <w:marRight w:val="0"/>
                      <w:marTop w:val="0"/>
                      <w:marBottom w:val="0"/>
                      <w:divBdr>
                        <w:top w:val="none" w:sz="0" w:space="0" w:color="auto"/>
                        <w:left w:val="none" w:sz="0" w:space="0" w:color="auto"/>
                        <w:bottom w:val="none" w:sz="0" w:space="0" w:color="auto"/>
                        <w:right w:val="none" w:sz="0" w:space="0" w:color="auto"/>
                      </w:divBdr>
                    </w:div>
                    <w:div w:id="317418416">
                      <w:marLeft w:val="0"/>
                      <w:marRight w:val="0"/>
                      <w:marTop w:val="0"/>
                      <w:marBottom w:val="0"/>
                      <w:divBdr>
                        <w:top w:val="none" w:sz="0" w:space="0" w:color="auto"/>
                        <w:left w:val="none" w:sz="0" w:space="0" w:color="auto"/>
                        <w:bottom w:val="none" w:sz="0" w:space="0" w:color="auto"/>
                        <w:right w:val="none" w:sz="0" w:space="0" w:color="auto"/>
                      </w:divBdr>
                    </w:div>
                    <w:div w:id="373963613">
                      <w:marLeft w:val="0"/>
                      <w:marRight w:val="0"/>
                      <w:marTop w:val="0"/>
                      <w:marBottom w:val="0"/>
                      <w:divBdr>
                        <w:top w:val="none" w:sz="0" w:space="0" w:color="auto"/>
                        <w:left w:val="none" w:sz="0" w:space="0" w:color="auto"/>
                        <w:bottom w:val="none" w:sz="0" w:space="0" w:color="auto"/>
                        <w:right w:val="none" w:sz="0" w:space="0" w:color="auto"/>
                      </w:divBdr>
                    </w:div>
                    <w:div w:id="388385423">
                      <w:marLeft w:val="0"/>
                      <w:marRight w:val="0"/>
                      <w:marTop w:val="0"/>
                      <w:marBottom w:val="0"/>
                      <w:divBdr>
                        <w:top w:val="none" w:sz="0" w:space="0" w:color="auto"/>
                        <w:left w:val="none" w:sz="0" w:space="0" w:color="auto"/>
                        <w:bottom w:val="none" w:sz="0" w:space="0" w:color="auto"/>
                        <w:right w:val="none" w:sz="0" w:space="0" w:color="auto"/>
                      </w:divBdr>
                    </w:div>
                    <w:div w:id="702944877">
                      <w:marLeft w:val="0"/>
                      <w:marRight w:val="0"/>
                      <w:marTop w:val="0"/>
                      <w:marBottom w:val="0"/>
                      <w:divBdr>
                        <w:top w:val="none" w:sz="0" w:space="0" w:color="auto"/>
                        <w:left w:val="none" w:sz="0" w:space="0" w:color="auto"/>
                        <w:bottom w:val="none" w:sz="0" w:space="0" w:color="auto"/>
                        <w:right w:val="none" w:sz="0" w:space="0" w:color="auto"/>
                      </w:divBdr>
                    </w:div>
                    <w:div w:id="1048332729">
                      <w:marLeft w:val="0"/>
                      <w:marRight w:val="0"/>
                      <w:marTop w:val="0"/>
                      <w:marBottom w:val="0"/>
                      <w:divBdr>
                        <w:top w:val="none" w:sz="0" w:space="0" w:color="auto"/>
                        <w:left w:val="none" w:sz="0" w:space="0" w:color="auto"/>
                        <w:bottom w:val="none" w:sz="0" w:space="0" w:color="auto"/>
                        <w:right w:val="none" w:sz="0" w:space="0" w:color="auto"/>
                      </w:divBdr>
                    </w:div>
                    <w:div w:id="1144352674">
                      <w:marLeft w:val="0"/>
                      <w:marRight w:val="0"/>
                      <w:marTop w:val="0"/>
                      <w:marBottom w:val="0"/>
                      <w:divBdr>
                        <w:top w:val="none" w:sz="0" w:space="0" w:color="auto"/>
                        <w:left w:val="none" w:sz="0" w:space="0" w:color="auto"/>
                        <w:bottom w:val="none" w:sz="0" w:space="0" w:color="auto"/>
                        <w:right w:val="none" w:sz="0" w:space="0" w:color="auto"/>
                      </w:divBdr>
                    </w:div>
                    <w:div w:id="1163010200">
                      <w:marLeft w:val="0"/>
                      <w:marRight w:val="0"/>
                      <w:marTop w:val="0"/>
                      <w:marBottom w:val="0"/>
                      <w:divBdr>
                        <w:top w:val="none" w:sz="0" w:space="0" w:color="auto"/>
                        <w:left w:val="none" w:sz="0" w:space="0" w:color="auto"/>
                        <w:bottom w:val="none" w:sz="0" w:space="0" w:color="auto"/>
                        <w:right w:val="none" w:sz="0" w:space="0" w:color="auto"/>
                      </w:divBdr>
                    </w:div>
                    <w:div w:id="1169515360">
                      <w:marLeft w:val="0"/>
                      <w:marRight w:val="0"/>
                      <w:marTop w:val="0"/>
                      <w:marBottom w:val="0"/>
                      <w:divBdr>
                        <w:top w:val="none" w:sz="0" w:space="0" w:color="auto"/>
                        <w:left w:val="none" w:sz="0" w:space="0" w:color="auto"/>
                        <w:bottom w:val="none" w:sz="0" w:space="0" w:color="auto"/>
                        <w:right w:val="none" w:sz="0" w:space="0" w:color="auto"/>
                      </w:divBdr>
                    </w:div>
                    <w:div w:id="1233542164">
                      <w:marLeft w:val="0"/>
                      <w:marRight w:val="0"/>
                      <w:marTop w:val="0"/>
                      <w:marBottom w:val="0"/>
                      <w:divBdr>
                        <w:top w:val="none" w:sz="0" w:space="0" w:color="auto"/>
                        <w:left w:val="none" w:sz="0" w:space="0" w:color="auto"/>
                        <w:bottom w:val="none" w:sz="0" w:space="0" w:color="auto"/>
                        <w:right w:val="none" w:sz="0" w:space="0" w:color="auto"/>
                      </w:divBdr>
                    </w:div>
                    <w:div w:id="1357850642">
                      <w:marLeft w:val="0"/>
                      <w:marRight w:val="0"/>
                      <w:marTop w:val="0"/>
                      <w:marBottom w:val="0"/>
                      <w:divBdr>
                        <w:top w:val="none" w:sz="0" w:space="0" w:color="auto"/>
                        <w:left w:val="none" w:sz="0" w:space="0" w:color="auto"/>
                        <w:bottom w:val="none" w:sz="0" w:space="0" w:color="auto"/>
                        <w:right w:val="none" w:sz="0" w:space="0" w:color="auto"/>
                      </w:divBdr>
                    </w:div>
                    <w:div w:id="1409618431">
                      <w:marLeft w:val="0"/>
                      <w:marRight w:val="0"/>
                      <w:marTop w:val="0"/>
                      <w:marBottom w:val="0"/>
                      <w:divBdr>
                        <w:top w:val="none" w:sz="0" w:space="0" w:color="auto"/>
                        <w:left w:val="none" w:sz="0" w:space="0" w:color="auto"/>
                        <w:bottom w:val="none" w:sz="0" w:space="0" w:color="auto"/>
                        <w:right w:val="none" w:sz="0" w:space="0" w:color="auto"/>
                      </w:divBdr>
                    </w:div>
                    <w:div w:id="1489635240">
                      <w:marLeft w:val="0"/>
                      <w:marRight w:val="0"/>
                      <w:marTop w:val="0"/>
                      <w:marBottom w:val="0"/>
                      <w:divBdr>
                        <w:top w:val="none" w:sz="0" w:space="0" w:color="auto"/>
                        <w:left w:val="none" w:sz="0" w:space="0" w:color="auto"/>
                        <w:bottom w:val="none" w:sz="0" w:space="0" w:color="auto"/>
                        <w:right w:val="none" w:sz="0" w:space="0" w:color="auto"/>
                      </w:divBdr>
                    </w:div>
                    <w:div w:id="1507479203">
                      <w:marLeft w:val="0"/>
                      <w:marRight w:val="0"/>
                      <w:marTop w:val="0"/>
                      <w:marBottom w:val="0"/>
                      <w:divBdr>
                        <w:top w:val="none" w:sz="0" w:space="0" w:color="auto"/>
                        <w:left w:val="none" w:sz="0" w:space="0" w:color="auto"/>
                        <w:bottom w:val="none" w:sz="0" w:space="0" w:color="auto"/>
                        <w:right w:val="none" w:sz="0" w:space="0" w:color="auto"/>
                      </w:divBdr>
                    </w:div>
                    <w:div w:id="1527206576">
                      <w:marLeft w:val="0"/>
                      <w:marRight w:val="0"/>
                      <w:marTop w:val="0"/>
                      <w:marBottom w:val="0"/>
                      <w:divBdr>
                        <w:top w:val="none" w:sz="0" w:space="0" w:color="auto"/>
                        <w:left w:val="none" w:sz="0" w:space="0" w:color="auto"/>
                        <w:bottom w:val="none" w:sz="0" w:space="0" w:color="auto"/>
                        <w:right w:val="none" w:sz="0" w:space="0" w:color="auto"/>
                      </w:divBdr>
                    </w:div>
                    <w:div w:id="1560825111">
                      <w:marLeft w:val="0"/>
                      <w:marRight w:val="0"/>
                      <w:marTop w:val="0"/>
                      <w:marBottom w:val="0"/>
                      <w:divBdr>
                        <w:top w:val="none" w:sz="0" w:space="0" w:color="auto"/>
                        <w:left w:val="none" w:sz="0" w:space="0" w:color="auto"/>
                        <w:bottom w:val="none" w:sz="0" w:space="0" w:color="auto"/>
                        <w:right w:val="none" w:sz="0" w:space="0" w:color="auto"/>
                      </w:divBdr>
                    </w:div>
                    <w:div w:id="1593003119">
                      <w:marLeft w:val="0"/>
                      <w:marRight w:val="0"/>
                      <w:marTop w:val="0"/>
                      <w:marBottom w:val="0"/>
                      <w:divBdr>
                        <w:top w:val="none" w:sz="0" w:space="0" w:color="auto"/>
                        <w:left w:val="none" w:sz="0" w:space="0" w:color="auto"/>
                        <w:bottom w:val="none" w:sz="0" w:space="0" w:color="auto"/>
                        <w:right w:val="none" w:sz="0" w:space="0" w:color="auto"/>
                      </w:divBdr>
                    </w:div>
                    <w:div w:id="1646399488">
                      <w:marLeft w:val="0"/>
                      <w:marRight w:val="0"/>
                      <w:marTop w:val="0"/>
                      <w:marBottom w:val="0"/>
                      <w:divBdr>
                        <w:top w:val="none" w:sz="0" w:space="0" w:color="auto"/>
                        <w:left w:val="none" w:sz="0" w:space="0" w:color="auto"/>
                        <w:bottom w:val="none" w:sz="0" w:space="0" w:color="auto"/>
                        <w:right w:val="none" w:sz="0" w:space="0" w:color="auto"/>
                      </w:divBdr>
                    </w:div>
                    <w:div w:id="1663392303">
                      <w:marLeft w:val="0"/>
                      <w:marRight w:val="0"/>
                      <w:marTop w:val="0"/>
                      <w:marBottom w:val="0"/>
                      <w:divBdr>
                        <w:top w:val="none" w:sz="0" w:space="0" w:color="auto"/>
                        <w:left w:val="none" w:sz="0" w:space="0" w:color="auto"/>
                        <w:bottom w:val="none" w:sz="0" w:space="0" w:color="auto"/>
                        <w:right w:val="none" w:sz="0" w:space="0" w:color="auto"/>
                      </w:divBdr>
                    </w:div>
                    <w:div w:id="1689066600">
                      <w:marLeft w:val="0"/>
                      <w:marRight w:val="0"/>
                      <w:marTop w:val="0"/>
                      <w:marBottom w:val="0"/>
                      <w:divBdr>
                        <w:top w:val="none" w:sz="0" w:space="0" w:color="auto"/>
                        <w:left w:val="none" w:sz="0" w:space="0" w:color="auto"/>
                        <w:bottom w:val="none" w:sz="0" w:space="0" w:color="auto"/>
                        <w:right w:val="none" w:sz="0" w:space="0" w:color="auto"/>
                      </w:divBdr>
                    </w:div>
                    <w:div w:id="1715231383">
                      <w:marLeft w:val="0"/>
                      <w:marRight w:val="0"/>
                      <w:marTop w:val="0"/>
                      <w:marBottom w:val="0"/>
                      <w:divBdr>
                        <w:top w:val="none" w:sz="0" w:space="0" w:color="auto"/>
                        <w:left w:val="none" w:sz="0" w:space="0" w:color="auto"/>
                        <w:bottom w:val="none" w:sz="0" w:space="0" w:color="auto"/>
                        <w:right w:val="none" w:sz="0" w:space="0" w:color="auto"/>
                      </w:divBdr>
                    </w:div>
                    <w:div w:id="1742870868">
                      <w:marLeft w:val="0"/>
                      <w:marRight w:val="0"/>
                      <w:marTop w:val="0"/>
                      <w:marBottom w:val="0"/>
                      <w:divBdr>
                        <w:top w:val="none" w:sz="0" w:space="0" w:color="auto"/>
                        <w:left w:val="none" w:sz="0" w:space="0" w:color="auto"/>
                        <w:bottom w:val="none" w:sz="0" w:space="0" w:color="auto"/>
                        <w:right w:val="none" w:sz="0" w:space="0" w:color="auto"/>
                      </w:divBdr>
                    </w:div>
                    <w:div w:id="1789667515">
                      <w:marLeft w:val="0"/>
                      <w:marRight w:val="0"/>
                      <w:marTop w:val="0"/>
                      <w:marBottom w:val="0"/>
                      <w:divBdr>
                        <w:top w:val="none" w:sz="0" w:space="0" w:color="auto"/>
                        <w:left w:val="none" w:sz="0" w:space="0" w:color="auto"/>
                        <w:bottom w:val="none" w:sz="0" w:space="0" w:color="auto"/>
                        <w:right w:val="none" w:sz="0" w:space="0" w:color="auto"/>
                      </w:divBdr>
                    </w:div>
                    <w:div w:id="1963029285">
                      <w:marLeft w:val="0"/>
                      <w:marRight w:val="0"/>
                      <w:marTop w:val="0"/>
                      <w:marBottom w:val="0"/>
                      <w:divBdr>
                        <w:top w:val="none" w:sz="0" w:space="0" w:color="auto"/>
                        <w:left w:val="none" w:sz="0" w:space="0" w:color="auto"/>
                        <w:bottom w:val="none" w:sz="0" w:space="0" w:color="auto"/>
                        <w:right w:val="none" w:sz="0" w:space="0" w:color="auto"/>
                      </w:divBdr>
                    </w:div>
                    <w:div w:id="1995793008">
                      <w:marLeft w:val="0"/>
                      <w:marRight w:val="0"/>
                      <w:marTop w:val="0"/>
                      <w:marBottom w:val="0"/>
                      <w:divBdr>
                        <w:top w:val="none" w:sz="0" w:space="0" w:color="auto"/>
                        <w:left w:val="none" w:sz="0" w:space="0" w:color="auto"/>
                        <w:bottom w:val="none" w:sz="0" w:space="0" w:color="auto"/>
                        <w:right w:val="none" w:sz="0" w:space="0" w:color="auto"/>
                      </w:divBdr>
                    </w:div>
                    <w:div w:id="2019693612">
                      <w:marLeft w:val="0"/>
                      <w:marRight w:val="0"/>
                      <w:marTop w:val="0"/>
                      <w:marBottom w:val="0"/>
                      <w:divBdr>
                        <w:top w:val="none" w:sz="0" w:space="0" w:color="auto"/>
                        <w:left w:val="none" w:sz="0" w:space="0" w:color="auto"/>
                        <w:bottom w:val="none" w:sz="0" w:space="0" w:color="auto"/>
                        <w:right w:val="none" w:sz="0" w:space="0" w:color="auto"/>
                      </w:divBdr>
                    </w:div>
                    <w:div w:id="2028553177">
                      <w:marLeft w:val="0"/>
                      <w:marRight w:val="0"/>
                      <w:marTop w:val="0"/>
                      <w:marBottom w:val="0"/>
                      <w:divBdr>
                        <w:top w:val="none" w:sz="0" w:space="0" w:color="auto"/>
                        <w:left w:val="none" w:sz="0" w:space="0" w:color="auto"/>
                        <w:bottom w:val="none" w:sz="0" w:space="0" w:color="auto"/>
                        <w:right w:val="none" w:sz="0" w:space="0" w:color="auto"/>
                      </w:divBdr>
                    </w:div>
                    <w:div w:id="20953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15390">
      <w:bodyDiv w:val="1"/>
      <w:marLeft w:val="0"/>
      <w:marRight w:val="0"/>
      <w:marTop w:val="0"/>
      <w:marBottom w:val="0"/>
      <w:divBdr>
        <w:top w:val="none" w:sz="0" w:space="0" w:color="auto"/>
        <w:left w:val="none" w:sz="0" w:space="0" w:color="auto"/>
        <w:bottom w:val="none" w:sz="0" w:space="0" w:color="auto"/>
        <w:right w:val="none" w:sz="0" w:space="0" w:color="auto"/>
      </w:divBdr>
    </w:div>
    <w:div w:id="1693993898">
      <w:bodyDiv w:val="1"/>
      <w:marLeft w:val="0"/>
      <w:marRight w:val="0"/>
      <w:marTop w:val="0"/>
      <w:marBottom w:val="0"/>
      <w:divBdr>
        <w:top w:val="none" w:sz="0" w:space="0" w:color="auto"/>
        <w:left w:val="none" w:sz="0" w:space="0" w:color="auto"/>
        <w:bottom w:val="none" w:sz="0" w:space="0" w:color="auto"/>
        <w:right w:val="none" w:sz="0" w:space="0" w:color="auto"/>
      </w:divBdr>
    </w:div>
    <w:div w:id="1772969265">
      <w:bodyDiv w:val="1"/>
      <w:marLeft w:val="0"/>
      <w:marRight w:val="0"/>
      <w:marTop w:val="0"/>
      <w:marBottom w:val="0"/>
      <w:divBdr>
        <w:top w:val="none" w:sz="0" w:space="0" w:color="auto"/>
        <w:left w:val="none" w:sz="0" w:space="0" w:color="auto"/>
        <w:bottom w:val="none" w:sz="0" w:space="0" w:color="auto"/>
        <w:right w:val="none" w:sz="0" w:space="0" w:color="auto"/>
      </w:divBdr>
    </w:div>
    <w:div w:id="1796290094">
      <w:bodyDiv w:val="1"/>
      <w:marLeft w:val="0"/>
      <w:marRight w:val="0"/>
      <w:marTop w:val="0"/>
      <w:marBottom w:val="0"/>
      <w:divBdr>
        <w:top w:val="none" w:sz="0" w:space="0" w:color="auto"/>
        <w:left w:val="none" w:sz="0" w:space="0" w:color="auto"/>
        <w:bottom w:val="none" w:sz="0" w:space="0" w:color="auto"/>
        <w:right w:val="none" w:sz="0" w:space="0" w:color="auto"/>
      </w:divBdr>
    </w:div>
    <w:div w:id="1857619184">
      <w:bodyDiv w:val="1"/>
      <w:marLeft w:val="0"/>
      <w:marRight w:val="0"/>
      <w:marTop w:val="0"/>
      <w:marBottom w:val="0"/>
      <w:divBdr>
        <w:top w:val="none" w:sz="0" w:space="0" w:color="auto"/>
        <w:left w:val="none" w:sz="0" w:space="0" w:color="auto"/>
        <w:bottom w:val="none" w:sz="0" w:space="0" w:color="auto"/>
        <w:right w:val="none" w:sz="0" w:space="0" w:color="auto"/>
      </w:divBdr>
      <w:divsChild>
        <w:div w:id="1421754198">
          <w:marLeft w:val="0"/>
          <w:marRight w:val="0"/>
          <w:marTop w:val="0"/>
          <w:marBottom w:val="0"/>
          <w:divBdr>
            <w:top w:val="none" w:sz="0" w:space="0" w:color="auto"/>
            <w:left w:val="none" w:sz="0" w:space="0" w:color="auto"/>
            <w:bottom w:val="none" w:sz="0" w:space="0" w:color="auto"/>
            <w:right w:val="none" w:sz="0" w:space="0" w:color="auto"/>
          </w:divBdr>
        </w:div>
      </w:divsChild>
    </w:div>
    <w:div w:id="205157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mailto:consultation-en-cours@lautorite.qc.ca" TargetMode="External"/><Relationship Id="rId26" Type="http://schemas.openxmlformats.org/officeDocument/2006/relationships/hyperlink" Target="mailto:Jesse.Ahlan@asc.ca" TargetMode="External"/><Relationship Id="rId21" Type="http://schemas.openxmlformats.org/officeDocument/2006/relationships/hyperlink" Target="mailto:roland.geiling@lautorite.qc.ca" TargetMode="External"/><Relationship Id="rId34" Type="http://schemas.openxmlformats.org/officeDocument/2006/relationships/hyperlink" Target="mailto:rsmith@osc.gov.on.ca"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yperlink" Target="mailto:jwhately@bcsc.bc.ca" TargetMode="External"/><Relationship Id="rId33" Type="http://schemas.openxmlformats.org/officeDocument/2006/relationships/hyperlink" Target="mailto:kyang@osc.gov.on.ca"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yperlink" Target="mailto:serge.boisvert@lautorite.qc.ca" TargetMode="External"/><Relationship Id="rId29" Type="http://schemas.openxmlformats.org/officeDocument/2006/relationships/hyperlink" Target="mailto:tyler.ritchie@gov.mb.c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epau@bcsc.bc.ca" TargetMode="External"/><Relationship Id="rId32" Type="http://schemas.openxmlformats.org/officeDocument/2006/relationships/hyperlink" Target="mailto:soh@osc.gov.on.ca"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hyperlink" Target="mailto:kanthistle@bcsc.bc.ca" TargetMode="External"/><Relationship Id="rId28" Type="http://schemas.openxmlformats.org/officeDocument/2006/relationships/hyperlink" Target="mailto:Jay.Mitchell@asc.ca"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comments@osc.gov.on.ca" TargetMode="External"/><Relationship Id="rId31" Type="http://schemas.openxmlformats.org/officeDocument/2006/relationships/hyperlink" Target="mailto:pellard@osc.gov.on.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yperlink" Target="mailto:catherine.lefebvre@lautorite.qc.ca" TargetMode="External"/><Relationship Id="rId27" Type="http://schemas.openxmlformats.org/officeDocument/2006/relationships/hyperlink" Target="mailto:Jan.Bagh@asc.ca" TargetMode="External"/><Relationship Id="rId30" Type="http://schemas.openxmlformats.org/officeDocument/2006/relationships/hyperlink" Target="mailto:tbaikie@osc.gov.on.ca"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6" Type="http://schemas.openxmlformats.org/officeDocument/2006/relationships/hyperlink" Target="https://ssrn.com/abstract=3198384" TargetMode="External"/><Relationship Id="rId21" Type="http://schemas.openxmlformats.org/officeDocument/2006/relationships/hyperlink" Target="https://www.iiroc.ca/Documents/2019/c60682f1-0b5d-49ee-863f-3d005f4ac010_en.pdf" TargetMode="External"/><Relationship Id="rId34" Type="http://schemas.openxmlformats.org/officeDocument/2006/relationships/hyperlink" Target="https://www.iiroc.ca/industry/rulebook/Documents/UMIR0101_en.pdf" TargetMode="External"/><Relationship Id="rId42" Type="http://schemas.openxmlformats.org/officeDocument/2006/relationships/hyperlink" Target="https://eur-lex.europa.eu/legal-content/EN/TXT/?uri=celex%3A32012R0236" TargetMode="External"/><Relationship Id="rId47" Type="http://schemas.openxmlformats.org/officeDocument/2006/relationships/hyperlink" Target="https://www.imf.org/en/Publications/CR/Issues/2016/12/31/Canada-Financial-Sector-Assessment-Program-IOSCO-Objectives-and-Principles-of-Securities-41409" TargetMode="External"/><Relationship Id="rId50" Type="http://schemas.openxmlformats.org/officeDocument/2006/relationships/hyperlink" Target="https://www.sec.gov/foia/docs/failsdata-archive.htm" TargetMode="External"/><Relationship Id="rId55" Type="http://schemas.openxmlformats.org/officeDocument/2006/relationships/hyperlink" Target="https://www.reuters.com/article/us-japan-gpif/worlds-largest-pension-fund-halts-stock-lending-to-short-sellers-idUSKBN1Y71F6" TargetMode="External"/><Relationship Id="rId63" Type="http://schemas.openxmlformats.org/officeDocument/2006/relationships/hyperlink" Target="https://www.ft.com/content/01b765c2-854e-11ea-b6e9-a94cffd1d9bf" TargetMode="External"/><Relationship Id="rId68" Type="http://schemas.openxmlformats.org/officeDocument/2006/relationships/hyperlink" Target="https://www.dlapiper.com/en/canada/insights/publications/2017/07/defamation-regulatory-claims-short-sellers-canada/" TargetMode="External"/><Relationship Id="rId7" Type="http://schemas.openxmlformats.org/officeDocument/2006/relationships/hyperlink" Target="http://ssrn.com/abstract=3447235" TargetMode="External"/><Relationship Id="rId2" Type="http://schemas.openxmlformats.org/officeDocument/2006/relationships/hyperlink" Target="https://www.theglobeandmail.com/business/commentary/article-its-time-for-regulators-to-crack-down-on-abusive-short-selling/" TargetMode="External"/><Relationship Id="rId16" Type="http://schemas.openxmlformats.org/officeDocument/2006/relationships/hyperlink" Target="http://ssrn.com/abstract=972620" TargetMode="External"/><Relationship Id="rId29" Type="http://schemas.openxmlformats.org/officeDocument/2006/relationships/hyperlink" Target="https://www.dwpv.com/en/Insights/Publications/2019/Shareholder-Activism-Trends-and-Developments" TargetMode="External"/><Relationship Id="rId11" Type="http://schemas.openxmlformats.org/officeDocument/2006/relationships/hyperlink" Target="http://ssrn.com/abstract=3341567" TargetMode="External"/><Relationship Id="rId24" Type="http://schemas.openxmlformats.org/officeDocument/2006/relationships/hyperlink" Target="https://papers.ssrn.com/sol3/papers.cfm?abstract_id=2996896" TargetMode="External"/><Relationship Id="rId32" Type="http://schemas.openxmlformats.org/officeDocument/2006/relationships/hyperlink" Target="https://www.iiroc.ca/industry/rulebook/Documents/UMIR0101_en.pdf" TargetMode="External"/><Relationship Id="rId37" Type="http://schemas.openxmlformats.org/officeDocument/2006/relationships/hyperlink" Target="https://www.iiroc.ca/industry/rulebook/Documents/UMIR0101_en.pdf" TargetMode="External"/><Relationship Id="rId40" Type="http://schemas.openxmlformats.org/officeDocument/2006/relationships/hyperlink" Target="https://www.iiroc.ca/industry/rulebook/Documents/UMIR0202_en.pdf" TargetMode="External"/><Relationship Id="rId45" Type="http://schemas.openxmlformats.org/officeDocument/2006/relationships/hyperlink" Target="https://www.iosco.org/library/pubdocs/pdf/IOSCOPD292.pdf" TargetMode="External"/><Relationship Id="rId53" Type="http://schemas.openxmlformats.org/officeDocument/2006/relationships/hyperlink" Target="https://www.reuters.com/article/us-global-markets-shortbans-analysis/return-of-short-selling-bans-market-protection-or-war-against-truth-idUSKBN1XT1L3" TargetMode="External"/><Relationship Id="rId58" Type="http://schemas.openxmlformats.org/officeDocument/2006/relationships/hyperlink" Target="https://www.esma.europa.eu/sites/default/files/library/esma50-165-538_report_on_trends_risks_and_vulnerabilities_no.1_2018.pdf" TargetMode="External"/><Relationship Id="rId66" Type="http://schemas.openxmlformats.org/officeDocument/2006/relationships/hyperlink" Target="https://www.canlii.org/en/on/onsc/doc/2017/2017onsc2590/2017onsc2590.html?autocompleteStr=2017%20onsc%202590&amp;autocompletePos=1" TargetMode="External"/><Relationship Id="rId5" Type="http://schemas.openxmlformats.org/officeDocument/2006/relationships/hyperlink" Target="http://ssrn.com/abstract=2852041" TargetMode="External"/><Relationship Id="rId61" Type="http://schemas.openxmlformats.org/officeDocument/2006/relationships/hyperlink" Target="https://www.sec.gov/rules/petitions/2019/petn4-750.pdf" TargetMode="External"/><Relationship Id="rId19" Type="http://schemas.openxmlformats.org/officeDocument/2006/relationships/hyperlink" Target="https://ssrn.com/abstract=566901" TargetMode="External"/><Relationship Id="rId14" Type="http://schemas.openxmlformats.org/officeDocument/2006/relationships/hyperlink" Target="https://business.financialpost.com/opinion/counterpoint-short-sellers-like-us-create-real-value-for-public-markets-by-telling-canadian-investors-the-truth" TargetMode="External"/><Relationship Id="rId22" Type="http://schemas.openxmlformats.org/officeDocument/2006/relationships/hyperlink" Target="https://www.osc.gov.on.ca/en/SecuritiesLaw_csa_20170309_51-348_staffs-review-of-social-media.htm" TargetMode="External"/><Relationship Id="rId27" Type="http://schemas.openxmlformats.org/officeDocument/2006/relationships/hyperlink" Target="https://ssrn.com/abstract=855044" TargetMode="External"/><Relationship Id="rId30" Type="http://schemas.openxmlformats.org/officeDocument/2006/relationships/hyperlink" Target="http://www.assemblee-nationale.fr/dyn/15/rapports/cion_fin/l15b2287_rapport-information" TargetMode="External"/><Relationship Id="rId35" Type="http://schemas.openxmlformats.org/officeDocument/2006/relationships/hyperlink" Target="https://www.iiroc.ca/industry/rulebook/Documents/UMIR0101_en.pdf" TargetMode="External"/><Relationship Id="rId43" Type="http://schemas.openxmlformats.org/officeDocument/2006/relationships/hyperlink" Target="https://www.esma.europa.eu/sites/default/files/library/technical_advice_on_the_evaluation_of_certain_aspects_of_the_ssr.pdf" TargetMode="External"/><Relationship Id="rId48" Type="http://schemas.openxmlformats.org/officeDocument/2006/relationships/hyperlink" Target="https://docs.iiroc.ca/DisplayDocument.aspx?DocumentID=3B4FDC12E7AA4177890D0170914D5D7A&amp;Language=en" TargetMode="External"/><Relationship Id="rId56" Type="http://schemas.openxmlformats.org/officeDocument/2006/relationships/hyperlink" Target="https://www.esma.europa.eu/sites/default/files/library/esma42-111-5349_fast_track_peer_review_report_-_wirecard.pdf" TargetMode="External"/><Relationship Id="rId64" Type="http://schemas.openxmlformats.org/officeDocument/2006/relationships/hyperlink" Target="https://www.canlii.org/en/ab/absec/doc/2018/2018abasc161/2018abasc161.html?resultIndex=1" TargetMode="External"/><Relationship Id="rId8" Type="http://schemas.openxmlformats.org/officeDocument/2006/relationships/hyperlink" Target="https://www.ogilvy.com/feed/11-tweets-that-turned-the-stock-market-upside-down/" TargetMode="External"/><Relationship Id="rId51" Type="http://schemas.openxmlformats.org/officeDocument/2006/relationships/hyperlink" Target="https://ssrn.com/abstract=1516911" TargetMode="External"/><Relationship Id="rId3" Type="http://schemas.openxmlformats.org/officeDocument/2006/relationships/hyperlink" Target="https://www.cbc.ca/news/business/short-selling-abuse-1.5009871" TargetMode="External"/><Relationship Id="rId12" Type="http://schemas.openxmlformats.org/officeDocument/2006/relationships/hyperlink" Target="https://www.canlii.org/en/on/onsc/doc/2018/2018onsc7739/2018onsc7739.html?resultIndex=1" TargetMode="External"/><Relationship Id="rId17" Type="http://schemas.openxmlformats.org/officeDocument/2006/relationships/hyperlink" Target="https://www.osc.gov.on.ca/documents/en/Securities-Category2/csa_20120302_23-312_trans-short-selling.pdf%3e" TargetMode="External"/><Relationship Id="rId25" Type="http://schemas.openxmlformats.org/officeDocument/2006/relationships/hyperlink" Target="https://seekingalpha.com/page/about_us" TargetMode="External"/><Relationship Id="rId33" Type="http://schemas.openxmlformats.org/officeDocument/2006/relationships/hyperlink" Target="https://www.iiroc.ca/industry/rulebook/Documents/UMIR0710_en.pdf" TargetMode="External"/><Relationship Id="rId38" Type="http://schemas.openxmlformats.org/officeDocument/2006/relationships/hyperlink" Target="https://www.iiroc.ca/industry/rulebook/Documents/UMIR1010_en.pdf" TargetMode="External"/><Relationship Id="rId46" Type="http://schemas.openxmlformats.org/officeDocument/2006/relationships/hyperlink" Target="https://www.osc.gov.on.ca/en/SecuritiesLaw_csa_20120302_23-312_rfc-trans-short-selling.htm" TargetMode="External"/><Relationship Id="rId59" Type="http://schemas.openxmlformats.org/officeDocument/2006/relationships/hyperlink" Target="https://www.esma.europa.eu/sites/default/files/library/technical_advice_on_the_evaluation_of_certain_aspects_of_the_ssr.pdf" TargetMode="External"/><Relationship Id="rId67" Type="http://schemas.openxmlformats.org/officeDocument/2006/relationships/hyperlink" Target="https://www.canlii.org/en/bc/bcsec/doc/2015/2015bcseccom187/2015bcseccom187.html?resultIndex=1" TargetMode="External"/><Relationship Id="rId20" Type="http://schemas.openxmlformats.org/officeDocument/2006/relationships/hyperlink" Target="https://www.bankofcanada.ca/wp-content/uploads/2019/07/sdp2019-5.pdf" TargetMode="External"/><Relationship Id="rId41" Type="http://schemas.openxmlformats.org/officeDocument/2006/relationships/hyperlink" Target="https://www.osc.gov.on.ca/en/Marketplaces_srr-iiroc_20110225_rfc-short-sales.htm" TargetMode="External"/><Relationship Id="rId54" Type="http://schemas.openxmlformats.org/officeDocument/2006/relationships/hyperlink" Target="https://ep.ft.com/permalink/emails/eyJlbWFpbCI6ImZkZGMxZTRjMWQ4MDk5NjYwMjZhNjUyZWRkNmI4NzdmZWI1N2JmNjEiLCJ0cmFuc2FjdGlvbklkIjoiZWQ2NzI5ZTUtN2I2NS00ZTI4LThiNzAtODJmOWRmYjk2NjFhIn0%3D" TargetMode="External"/><Relationship Id="rId62" Type="http://schemas.openxmlformats.org/officeDocument/2006/relationships/hyperlink" Target="https://clsbluesky.law.columbia.edu/2020/02/18/petition-for-rulemaking-on-short-and-distort/" TargetMode="External"/><Relationship Id="rId1" Type="http://schemas.openxmlformats.org/officeDocument/2006/relationships/hyperlink" Target="https://business.financialpost.com/news/fp-street/rise-of-the-shorts-activist-short-sellers-are-increasingly-targeting-canadian-companies" TargetMode="External"/><Relationship Id="rId6" Type="http://schemas.openxmlformats.org/officeDocument/2006/relationships/hyperlink" Target="http://ssrn.com/abstract=2356414" TargetMode="External"/><Relationship Id="rId15" Type="http://schemas.openxmlformats.org/officeDocument/2006/relationships/hyperlink" Target="https://ssrn.com/abstract=1787677" TargetMode="External"/><Relationship Id="rId23" Type="http://schemas.openxmlformats.org/officeDocument/2006/relationships/hyperlink" Target="https://www.osc.gov.on.ca/en/SecuritiesLaw_csa_20181129_51-356_problematic-promotional-activities-issuers.htm" TargetMode="External"/><Relationship Id="rId28" Type="http://schemas.openxmlformats.org/officeDocument/2006/relationships/hyperlink" Target="https://corpgov.law.harvard.edu/2018/10/01/public-short-selling-by-activist-hedge-funds/" TargetMode="External"/><Relationship Id="rId36" Type="http://schemas.openxmlformats.org/officeDocument/2006/relationships/hyperlink" Target="https://www.iiroc.ca/industry/rulebook/Documents/UMIR0601_en.pdf" TargetMode="External"/><Relationship Id="rId49" Type="http://schemas.openxmlformats.org/officeDocument/2006/relationships/hyperlink" Target="https://lautorite.qc.ca/fileadmin/lautorite/reglementation/valeurs-mobilieres/0-avis-acvm-staff/2013/2013fev28-23-315-avis-acvm-en.pdf" TargetMode="External"/><Relationship Id="rId57" Type="http://schemas.openxmlformats.org/officeDocument/2006/relationships/hyperlink" Target="https://www.ft.com/content/1a8fbed2-e4fe-11e9-b112-9624ec9edc59" TargetMode="External"/><Relationship Id="rId10" Type="http://schemas.openxmlformats.org/officeDocument/2006/relationships/hyperlink" Target="https://img1.wsimg.com/blobby/go/14c124c6-8b4b-4fce-aa5b-4fc04834d828/downloads/Safkhet%20Capital%20to%20BaFin%20on%20Short%20Sale%20Ban.pdf?ver=1553002904959" TargetMode="External"/><Relationship Id="rId31" Type="http://schemas.openxmlformats.org/officeDocument/2006/relationships/hyperlink" Target="https://www.iiroc.ca/industry/rulebook/Documents/UMIR0302_en.pdf" TargetMode="External"/><Relationship Id="rId44" Type="http://schemas.openxmlformats.org/officeDocument/2006/relationships/hyperlink" Target="https://download.asic.gov.au/media/4896780/rg196-published-8-october-2018.pdf" TargetMode="External"/><Relationship Id="rId52" Type="http://schemas.openxmlformats.org/officeDocument/2006/relationships/hyperlink" Target="https://www.esma.europa.eu/sites/default/files/library/esma70-151-2895_final_report_-rts_settlement_discipline_postponement.pdf" TargetMode="External"/><Relationship Id="rId60" Type="http://schemas.openxmlformats.org/officeDocument/2006/relationships/hyperlink" Target="https://ideas.repec.org/a/eee/finlet/v28y2019icp87-94.html" TargetMode="External"/><Relationship Id="rId65" Type="http://schemas.openxmlformats.org/officeDocument/2006/relationships/hyperlink" Target="https://www.canlii.org/en/on/onsc/doc/2017/2017onsc167/2017onsc167.html?autocompleteStr=Fortress%20Real&amp;autocompletePos=1" TargetMode="External"/><Relationship Id="rId4" Type="http://schemas.openxmlformats.org/officeDocument/2006/relationships/hyperlink" Target="https://business.financialpost.com/opinion/short-seller-heists-why-do-institutional-investors-support-activist-hedge-funds-only-out-for-a-quick-profit" TargetMode="External"/><Relationship Id="rId9" Type="http://schemas.openxmlformats.org/officeDocument/2006/relationships/hyperlink" Target="https://www.bloomberg.com/news/features/2019-05-20/the-tiny-activist-fund-that-reaped-24-return-by-unearthing-cockroaches" TargetMode="External"/><Relationship Id="rId13" Type="http://schemas.openxmlformats.org/officeDocument/2006/relationships/hyperlink" Target="https://www.mcmillan.ca/webfiles/An%20Analysis%20of%20the%20Short%20Selling%20Landscape%20of%20Canada.pdf" TargetMode="External"/><Relationship Id="rId18" Type="http://schemas.openxmlformats.org/officeDocument/2006/relationships/hyperlink" Target="https://www.iiroc.ca/Documents/2012/7026f168-80c3-45ea-a635-55b8802dbbaf_en.pdf" TargetMode="External"/><Relationship Id="rId39" Type="http://schemas.openxmlformats.org/officeDocument/2006/relationships/hyperlink" Target="https://www.bcsc.bc.ca/23-101CP_%5bCP%5d_0412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5452E57ACA31489A81912B932C5E1F" ma:contentTypeVersion="11" ma:contentTypeDescription="Create a new document." ma:contentTypeScope="" ma:versionID="ea67e478201e6df196f6ad6e4ca4ce08">
  <xsd:schema xmlns:xsd="http://www.w3.org/2001/XMLSchema" xmlns:xs="http://www.w3.org/2001/XMLSchema" xmlns:p="http://schemas.microsoft.com/office/2006/metadata/properties" xmlns:ns3="b7ec29b2-818d-40aa-832b-21c1f114e9be" xmlns:ns4="01133ce4-7fb0-4665-a147-8c87e1ab2ee3" targetNamespace="http://schemas.microsoft.com/office/2006/metadata/properties" ma:root="true" ma:fieldsID="00e3b90ad0fedcdb8d6fd00fbeda37b2" ns3:_="" ns4:_="">
    <xsd:import namespace="b7ec29b2-818d-40aa-832b-21c1f114e9be"/>
    <xsd:import namespace="01133ce4-7fb0-4665-a147-8c87e1ab2ee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c29b2-818d-40aa-832b-21c1f114e9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133ce4-7fb0-4665-a147-8c87e1ab2e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C04CE-85C6-4D5D-AB53-C60F4C76D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c29b2-818d-40aa-832b-21c1f114e9be"/>
    <ds:schemaRef ds:uri="01133ce4-7fb0-4665-a147-8c87e1ab2e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0457BC-F5D5-41B7-93D5-BE95626C792C}">
  <ds:schemaRefs>
    <ds:schemaRef ds:uri="http://schemas.microsoft.com/sharepoint/v3/contenttype/forms"/>
  </ds:schemaRefs>
</ds:datastoreItem>
</file>

<file path=customXml/itemProps3.xml><?xml version="1.0" encoding="utf-8"?>
<ds:datastoreItem xmlns:ds="http://schemas.openxmlformats.org/officeDocument/2006/customXml" ds:itemID="{069D3035-C5CA-4925-9CC4-9EA3B9C3F7CE}">
  <ds:schemaRefs>
    <ds:schemaRef ds:uri="01133ce4-7fb0-4665-a147-8c87e1ab2ee3"/>
    <ds:schemaRef ds:uri="http://schemas.microsoft.com/office/2006/metadata/properties"/>
    <ds:schemaRef ds:uri="http://purl.org/dc/elements/1.1/"/>
    <ds:schemaRef ds:uri="http://purl.org/dc/term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b7ec29b2-818d-40aa-832b-21c1f114e9be"/>
    <ds:schemaRef ds:uri="http://purl.org/dc/dcmitype/"/>
  </ds:schemaRefs>
</ds:datastoreItem>
</file>

<file path=customXml/itemProps4.xml><?xml version="1.0" encoding="utf-8"?>
<ds:datastoreItem xmlns:ds="http://schemas.openxmlformats.org/officeDocument/2006/customXml" ds:itemID="{84BE5F97-32B9-4F5F-8BB0-F531927BE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28</Pages>
  <Words>7816</Words>
  <Characters>44555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Smith</dc:creator>
  <cp:keywords/>
  <dc:description/>
  <cp:lastModifiedBy>Christiane Babin</cp:lastModifiedBy>
  <cp:revision>7</cp:revision>
  <cp:lastPrinted>2020-11-30T20:03:00Z</cp:lastPrinted>
  <dcterms:created xsi:type="dcterms:W3CDTF">2020-11-26T19:23:00Z</dcterms:created>
  <dcterms:modified xsi:type="dcterms:W3CDTF">2020-11-30T21:18:00Z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0x010100B15452E57ACA31489A81912B932C5E1F</vt:lpwstr>
  </property>
  <property fmtid="{D5CDD505-2E9C-101B-9397-08002B2CF9AE}" pid="3" name="DMNumber">
    <vt:lpwstr>5814430</vt:lpwstr>
  </property>
  <property fmtid="{D5CDD505-2E9C-101B-9397-08002B2CF9AE}" pid="4" name="DMFooterText">
    <vt:lpwstr>#5814430 v2</vt:lpwstr>
  </property>
</Properties>
</file>