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B1D07" w14:textId="1A61B773" w:rsidR="00C716DE" w:rsidRPr="004D1DAC" w:rsidRDefault="00AF6F20" w:rsidP="002D5BDE">
      <w:pPr>
        <w:pStyle w:val="Heading1"/>
        <w:jc w:val="center"/>
        <w:rPr>
          <w:rFonts w:ascii="Arial" w:hAnsi="Arial"/>
          <w:lang w:val="fr-CA"/>
        </w:rPr>
      </w:pPr>
      <w:bookmarkStart w:id="0" w:name="_GoBack"/>
      <w:bookmarkEnd w:id="0"/>
      <w:r>
        <w:rPr>
          <w:noProof/>
          <w:lang w:val="en-US" w:eastAsia="en-US"/>
        </w:rPr>
        <w:drawing>
          <wp:anchor distT="0" distB="0" distL="114300" distR="114300" simplePos="0" relativeHeight="251658240" behindDoc="1" locked="0" layoutInCell="1" allowOverlap="1" wp14:anchorId="64A0B9CF" wp14:editId="34F0F131">
            <wp:simplePos x="0" y="0"/>
            <wp:positionH relativeFrom="column">
              <wp:posOffset>4492625</wp:posOffset>
            </wp:positionH>
            <wp:positionV relativeFrom="paragraph">
              <wp:posOffset>-60325</wp:posOffset>
            </wp:positionV>
            <wp:extent cx="457200" cy="569595"/>
            <wp:effectExtent l="0" t="0" r="0" b="0"/>
            <wp:wrapTight wrapText="bothSides">
              <wp:wrapPolygon edited="0">
                <wp:start x="0" y="0"/>
                <wp:lineTo x="0" y="20950"/>
                <wp:lineTo x="20700" y="20950"/>
                <wp:lineTo x="20700" y="0"/>
                <wp:lineTo x="0" y="0"/>
              </wp:wrapPolygon>
            </wp:wrapTight>
            <wp:docPr id="5" name="Picture 4" descr="BCSC Logo Black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CSC Logo Black Lett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D5BDE">
        <w:rPr>
          <w:noProof/>
        </w:rPr>
        <w:t xml:space="preserve">                   </w:t>
      </w:r>
      <w:r w:rsidRPr="00AB06B9">
        <w:rPr>
          <w:noProof/>
          <w:lang w:val="en-US" w:eastAsia="en-US"/>
        </w:rPr>
        <w:drawing>
          <wp:inline distT="0" distB="0" distL="0" distR="0" wp14:anchorId="05052679" wp14:editId="7CE27AA5">
            <wp:extent cx="1136650" cy="50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6650" cy="501650"/>
                    </a:xfrm>
                    <a:prstGeom prst="rect">
                      <a:avLst/>
                    </a:prstGeom>
                    <a:noFill/>
                    <a:ln>
                      <a:noFill/>
                    </a:ln>
                  </pic:spPr>
                </pic:pic>
              </a:graphicData>
            </a:graphic>
          </wp:inline>
        </w:drawing>
      </w:r>
      <w:r w:rsidR="00055567">
        <w:rPr>
          <w:noProof/>
        </w:rPr>
        <w:t xml:space="preserve"> </w:t>
      </w:r>
      <w:r w:rsidRPr="00AB06B9">
        <w:rPr>
          <w:noProof/>
          <w:lang w:val="en-US" w:eastAsia="en-US"/>
        </w:rPr>
        <w:drawing>
          <wp:inline distT="0" distB="0" distL="0" distR="0" wp14:anchorId="31A1B57E" wp14:editId="4260A562">
            <wp:extent cx="977900" cy="463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7900" cy="463550"/>
                    </a:xfrm>
                    <a:prstGeom prst="rect">
                      <a:avLst/>
                    </a:prstGeom>
                    <a:noFill/>
                    <a:ln>
                      <a:noFill/>
                    </a:ln>
                  </pic:spPr>
                </pic:pic>
              </a:graphicData>
            </a:graphic>
          </wp:inline>
        </w:drawing>
      </w:r>
      <w:r w:rsidR="00055567">
        <w:rPr>
          <w:noProof/>
        </w:rPr>
        <w:t xml:space="preserve"> </w:t>
      </w:r>
      <w:r w:rsidRPr="00AB06B9">
        <w:rPr>
          <w:noProof/>
          <w:lang w:val="en-US" w:eastAsia="en-US"/>
        </w:rPr>
        <w:drawing>
          <wp:inline distT="0" distB="0" distL="0" distR="0" wp14:anchorId="23BC6BD5" wp14:editId="66BAE279">
            <wp:extent cx="1060450" cy="539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0" cy="539750"/>
                    </a:xfrm>
                    <a:prstGeom prst="rect">
                      <a:avLst/>
                    </a:prstGeom>
                    <a:noFill/>
                    <a:ln>
                      <a:noFill/>
                    </a:ln>
                  </pic:spPr>
                </pic:pic>
              </a:graphicData>
            </a:graphic>
          </wp:inline>
        </w:drawing>
      </w:r>
      <w:r w:rsidR="00055567">
        <w:rPr>
          <w:noProof/>
        </w:rPr>
        <w:t xml:space="preserve"> </w:t>
      </w:r>
      <w:r w:rsidR="00055567" w:rsidRPr="00055567">
        <w:rPr>
          <w:noProof/>
        </w:rPr>
        <w:t xml:space="preserve"> </w:t>
      </w:r>
    </w:p>
    <w:p w14:paraId="3B659958" w14:textId="1F8C0BBB" w:rsidR="00C716DE" w:rsidRPr="004D1DAC" w:rsidRDefault="00AF6F20">
      <w:pPr>
        <w:pStyle w:val="Heading1"/>
        <w:rPr>
          <w:rFonts w:ascii="Arial" w:hAnsi="Arial"/>
          <w:lang w:val="fr-CA"/>
        </w:rPr>
      </w:pPr>
      <w:r w:rsidRPr="00A079BA">
        <w:rPr>
          <w:rFonts w:ascii="Arial" w:hAnsi="Arial"/>
          <w:noProof/>
          <w:lang w:val="en-US" w:eastAsia="en-US"/>
        </w:rPr>
        <mc:AlternateContent>
          <mc:Choice Requires="wps">
            <w:drawing>
              <wp:anchor distT="0" distB="0" distL="114300" distR="114300" simplePos="0" relativeHeight="251657216" behindDoc="0" locked="0" layoutInCell="0" allowOverlap="1" wp14:anchorId="0E8181AE" wp14:editId="7A801AAB">
                <wp:simplePos x="0" y="0"/>
                <wp:positionH relativeFrom="column">
                  <wp:posOffset>0</wp:posOffset>
                </wp:positionH>
                <wp:positionV relativeFrom="paragraph">
                  <wp:posOffset>38100</wp:posOffset>
                </wp:positionV>
                <wp:extent cx="621792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85E98"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9.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ao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" o:allowincell="f" strokeweight="1.5pt"/>
            </w:pict>
          </mc:Fallback>
        </mc:AlternateContent>
      </w:r>
    </w:p>
    <w:p w14:paraId="43B88BED" w14:textId="77777777" w:rsidR="00C716DE" w:rsidRPr="004D1DAC" w:rsidRDefault="00C716DE" w:rsidP="00CD53EE">
      <w:pPr>
        <w:pStyle w:val="Heading1"/>
        <w:tabs>
          <w:tab w:val="left" w:pos="2169"/>
          <w:tab w:val="right" w:pos="9747"/>
        </w:tabs>
        <w:rPr>
          <w:rFonts w:ascii="Arial" w:hAnsi="Arial"/>
          <w:sz w:val="20"/>
        </w:rPr>
      </w:pPr>
    </w:p>
    <w:p w14:paraId="19DCDD77" w14:textId="77777777" w:rsidR="00C716DE" w:rsidRPr="004D1DAC" w:rsidRDefault="008C391C" w:rsidP="008B764D">
      <w:pPr>
        <w:pStyle w:val="Heading1"/>
        <w:jc w:val="right"/>
        <w:rPr>
          <w:rFonts w:ascii="Arial" w:hAnsi="Arial"/>
          <w:sz w:val="20"/>
        </w:rPr>
      </w:pPr>
      <w:r w:rsidRPr="00A079BA">
        <w:rPr>
          <w:rFonts w:ascii="Arial" w:hAnsi="Arial"/>
          <w:sz w:val="20"/>
        </w:rPr>
        <w:t>FOR IMMEDIATE RELEASE</w:t>
      </w:r>
    </w:p>
    <w:p w14:paraId="4928D3F4" w14:textId="28F91843" w:rsidR="008C391C" w:rsidRPr="004D1DAC" w:rsidRDefault="00843BD3" w:rsidP="008B764D">
      <w:pPr>
        <w:pStyle w:val="Heading1"/>
        <w:jc w:val="right"/>
        <w:rPr>
          <w:rFonts w:ascii="Arial" w:hAnsi="Arial"/>
          <w:sz w:val="20"/>
        </w:rPr>
      </w:pPr>
      <w:r>
        <w:rPr>
          <w:rFonts w:ascii="Arial" w:hAnsi="Arial"/>
          <w:sz w:val="20"/>
        </w:rPr>
        <w:t>November 2</w:t>
      </w:r>
      <w:r w:rsidR="00004074">
        <w:rPr>
          <w:rFonts w:ascii="Arial" w:hAnsi="Arial"/>
          <w:sz w:val="20"/>
        </w:rPr>
        <w:t>, 20</w:t>
      </w:r>
      <w:r w:rsidR="00496E62">
        <w:rPr>
          <w:rFonts w:ascii="Arial" w:hAnsi="Arial"/>
          <w:sz w:val="20"/>
        </w:rPr>
        <w:t>20</w:t>
      </w:r>
    </w:p>
    <w:p w14:paraId="3E581A8C" w14:textId="77777777" w:rsidR="00C716DE" w:rsidRPr="00A079BA" w:rsidRDefault="00C716DE" w:rsidP="00AD125E">
      <w:pPr>
        <w:jc w:val="center"/>
        <w:rPr>
          <w:b/>
          <w:sz w:val="24"/>
        </w:rPr>
      </w:pPr>
    </w:p>
    <w:p w14:paraId="54FF3DB5" w14:textId="1E0A9263" w:rsidR="006E09EC" w:rsidRDefault="002B278D" w:rsidP="00534A9C">
      <w:pPr>
        <w:ind w:right="720" w:firstLine="720"/>
        <w:jc w:val="center"/>
        <w:rPr>
          <w:b/>
          <w:sz w:val="24"/>
        </w:rPr>
      </w:pPr>
      <w:r>
        <w:rPr>
          <w:b/>
          <w:sz w:val="24"/>
        </w:rPr>
        <w:t>OSC, ASC</w:t>
      </w:r>
      <w:r w:rsidR="00DB31EC">
        <w:rPr>
          <w:b/>
          <w:sz w:val="24"/>
        </w:rPr>
        <w:t xml:space="preserve">, </w:t>
      </w:r>
      <w:r>
        <w:rPr>
          <w:b/>
          <w:sz w:val="24"/>
        </w:rPr>
        <w:t>AMF</w:t>
      </w:r>
      <w:r w:rsidR="00DB31EC">
        <w:rPr>
          <w:b/>
          <w:sz w:val="24"/>
        </w:rPr>
        <w:t xml:space="preserve"> and BCSC</w:t>
      </w:r>
      <w:r>
        <w:rPr>
          <w:b/>
          <w:sz w:val="24"/>
        </w:rPr>
        <w:t xml:space="preserve"> invite </w:t>
      </w:r>
      <w:r w:rsidR="00534A9C">
        <w:rPr>
          <w:b/>
          <w:sz w:val="24"/>
        </w:rPr>
        <w:t xml:space="preserve">businesses to participate in </w:t>
      </w:r>
      <w:r w:rsidR="00055567">
        <w:rPr>
          <w:b/>
          <w:sz w:val="24"/>
        </w:rPr>
        <w:t>cross-border testing</w:t>
      </w:r>
    </w:p>
    <w:p w14:paraId="5EEF2237" w14:textId="77777777" w:rsidR="00C716DE" w:rsidRPr="00CD687B" w:rsidRDefault="00C716DE">
      <w:pPr>
        <w:rPr>
          <w:b/>
          <w:sz w:val="24"/>
        </w:rPr>
      </w:pPr>
    </w:p>
    <w:p w14:paraId="1700938A" w14:textId="77777777" w:rsidR="003544C4" w:rsidRPr="00363443" w:rsidRDefault="006E09EC" w:rsidP="008B764D">
      <w:pPr>
        <w:autoSpaceDE w:val="0"/>
        <w:autoSpaceDN w:val="0"/>
        <w:adjustRightInd w:val="0"/>
        <w:rPr>
          <w:sz w:val="24"/>
          <w:szCs w:val="24"/>
        </w:rPr>
      </w:pPr>
      <w:r w:rsidRPr="00363443">
        <w:rPr>
          <w:b/>
          <w:sz w:val="24"/>
          <w:szCs w:val="24"/>
        </w:rPr>
        <w:t xml:space="preserve">TORONTO </w:t>
      </w:r>
      <w:r w:rsidRPr="00363443">
        <w:rPr>
          <w:sz w:val="24"/>
          <w:szCs w:val="24"/>
        </w:rPr>
        <w:t>–</w:t>
      </w:r>
      <w:r w:rsidR="00941F89" w:rsidRPr="00363443">
        <w:rPr>
          <w:sz w:val="24"/>
          <w:szCs w:val="24"/>
        </w:rPr>
        <w:t xml:space="preserve"> </w:t>
      </w:r>
      <w:r w:rsidR="003544C4" w:rsidRPr="00363443">
        <w:rPr>
          <w:sz w:val="24"/>
          <w:szCs w:val="24"/>
        </w:rPr>
        <w:t>The Ontario Securities Commission (OSC), Alberta Securities Commission (ASC)</w:t>
      </w:r>
      <w:r w:rsidR="00E74047">
        <w:rPr>
          <w:sz w:val="24"/>
          <w:szCs w:val="24"/>
        </w:rPr>
        <w:t xml:space="preserve">, </w:t>
      </w:r>
      <w:r w:rsidR="003544C4" w:rsidRPr="00363443">
        <w:rPr>
          <w:sz w:val="24"/>
          <w:szCs w:val="24"/>
          <w:shd w:val="clear" w:color="auto" w:fill="FFFFFF"/>
        </w:rPr>
        <w:t>Autorité des marchés financiers (AMF)</w:t>
      </w:r>
      <w:r w:rsidR="00E74047">
        <w:rPr>
          <w:sz w:val="24"/>
          <w:szCs w:val="24"/>
          <w:shd w:val="clear" w:color="auto" w:fill="FFFFFF"/>
        </w:rPr>
        <w:t xml:space="preserve"> and British Columbia Securities Commission (BCSC)</w:t>
      </w:r>
      <w:r w:rsidR="003544C4" w:rsidRPr="00363443">
        <w:rPr>
          <w:sz w:val="24"/>
          <w:szCs w:val="24"/>
        </w:rPr>
        <w:t xml:space="preserve"> are inviting </w:t>
      </w:r>
      <w:r w:rsidR="00534A9C" w:rsidRPr="00363443">
        <w:rPr>
          <w:sz w:val="24"/>
          <w:szCs w:val="24"/>
        </w:rPr>
        <w:t>businesses</w:t>
      </w:r>
      <w:r w:rsidR="003544C4" w:rsidRPr="00363443">
        <w:rPr>
          <w:sz w:val="24"/>
          <w:szCs w:val="24"/>
        </w:rPr>
        <w:t xml:space="preserve"> in their respective markets</w:t>
      </w:r>
      <w:r w:rsidR="00534A9C" w:rsidRPr="00363443">
        <w:rPr>
          <w:sz w:val="24"/>
          <w:szCs w:val="24"/>
        </w:rPr>
        <w:t xml:space="preserve"> to </w:t>
      </w:r>
      <w:hyperlink r:id="rId12" w:history="1">
        <w:r w:rsidR="00534A9C" w:rsidRPr="004A70C6">
          <w:rPr>
            <w:rStyle w:val="Hyperlink"/>
            <w:sz w:val="24"/>
            <w:szCs w:val="24"/>
          </w:rPr>
          <w:t>apply</w:t>
        </w:r>
      </w:hyperlink>
      <w:r w:rsidR="003544C4" w:rsidRPr="00363443">
        <w:rPr>
          <w:sz w:val="24"/>
          <w:szCs w:val="24"/>
        </w:rPr>
        <w:t xml:space="preserve"> </w:t>
      </w:r>
      <w:r w:rsidR="00534A9C" w:rsidRPr="00363443">
        <w:rPr>
          <w:sz w:val="24"/>
          <w:szCs w:val="24"/>
        </w:rPr>
        <w:t xml:space="preserve">to </w:t>
      </w:r>
      <w:r w:rsidR="003544C4" w:rsidRPr="00363443">
        <w:rPr>
          <w:sz w:val="24"/>
          <w:szCs w:val="24"/>
        </w:rPr>
        <w:t xml:space="preserve">test </w:t>
      </w:r>
      <w:r w:rsidR="000E3371" w:rsidRPr="00363443">
        <w:rPr>
          <w:sz w:val="24"/>
          <w:szCs w:val="24"/>
        </w:rPr>
        <w:t xml:space="preserve">innovative </w:t>
      </w:r>
      <w:r w:rsidR="00534A9C" w:rsidRPr="00363443">
        <w:rPr>
          <w:sz w:val="24"/>
          <w:szCs w:val="24"/>
        </w:rPr>
        <w:t xml:space="preserve">products, services and business models across international borders. </w:t>
      </w:r>
    </w:p>
    <w:p w14:paraId="0C28DCC5" w14:textId="77777777" w:rsidR="002B278D" w:rsidRPr="00363443" w:rsidRDefault="002B278D" w:rsidP="008B764D">
      <w:pPr>
        <w:autoSpaceDE w:val="0"/>
        <w:autoSpaceDN w:val="0"/>
        <w:adjustRightInd w:val="0"/>
        <w:rPr>
          <w:sz w:val="24"/>
          <w:szCs w:val="24"/>
        </w:rPr>
      </w:pPr>
    </w:p>
    <w:p w14:paraId="16AA178F" w14:textId="77777777" w:rsidR="00DD62CC" w:rsidRPr="00363443" w:rsidRDefault="000C4CCE" w:rsidP="008B764D">
      <w:pPr>
        <w:autoSpaceDE w:val="0"/>
        <w:autoSpaceDN w:val="0"/>
        <w:adjustRightInd w:val="0"/>
        <w:rPr>
          <w:sz w:val="24"/>
          <w:szCs w:val="24"/>
        </w:rPr>
      </w:pPr>
      <w:r w:rsidRPr="00363443">
        <w:rPr>
          <w:sz w:val="24"/>
          <w:szCs w:val="24"/>
        </w:rPr>
        <w:t>Led by the Global Financial Innovation Network (GFIN), t</w:t>
      </w:r>
      <w:r w:rsidR="003544C4" w:rsidRPr="00363443">
        <w:rPr>
          <w:sz w:val="24"/>
          <w:szCs w:val="24"/>
        </w:rPr>
        <w:t>h</w:t>
      </w:r>
      <w:r w:rsidR="002B278D" w:rsidRPr="00363443">
        <w:rPr>
          <w:sz w:val="24"/>
          <w:szCs w:val="24"/>
        </w:rPr>
        <w:t>is</w:t>
      </w:r>
      <w:r w:rsidR="003544C4" w:rsidRPr="00363443">
        <w:rPr>
          <w:sz w:val="24"/>
          <w:szCs w:val="24"/>
        </w:rPr>
        <w:t xml:space="preserve"> </w:t>
      </w:r>
      <w:r w:rsidRPr="00363443">
        <w:rPr>
          <w:sz w:val="24"/>
          <w:szCs w:val="24"/>
        </w:rPr>
        <w:t xml:space="preserve">cross-border initiative is supported by </w:t>
      </w:r>
      <w:r w:rsidR="004A4A06">
        <w:rPr>
          <w:sz w:val="24"/>
          <w:szCs w:val="24"/>
        </w:rPr>
        <w:t>23</w:t>
      </w:r>
      <w:r w:rsidR="004A4A06" w:rsidRPr="00363443">
        <w:rPr>
          <w:sz w:val="24"/>
          <w:szCs w:val="24"/>
        </w:rPr>
        <w:t xml:space="preserve"> </w:t>
      </w:r>
      <w:r w:rsidRPr="00363443">
        <w:rPr>
          <w:sz w:val="24"/>
          <w:szCs w:val="24"/>
        </w:rPr>
        <w:t>regulators across five continents. E</w:t>
      </w:r>
      <w:r w:rsidR="003544C4" w:rsidRPr="00363443">
        <w:rPr>
          <w:sz w:val="24"/>
          <w:szCs w:val="24"/>
        </w:rPr>
        <w:t xml:space="preserve">ligible </w:t>
      </w:r>
      <w:r w:rsidR="00DD62CC" w:rsidRPr="00363443">
        <w:rPr>
          <w:sz w:val="24"/>
          <w:szCs w:val="24"/>
        </w:rPr>
        <w:t>firms</w:t>
      </w:r>
      <w:r w:rsidR="003544C4" w:rsidRPr="00363443">
        <w:rPr>
          <w:sz w:val="24"/>
          <w:szCs w:val="24"/>
        </w:rPr>
        <w:t xml:space="preserve"> </w:t>
      </w:r>
      <w:r w:rsidRPr="00363443">
        <w:rPr>
          <w:sz w:val="24"/>
          <w:szCs w:val="24"/>
        </w:rPr>
        <w:t xml:space="preserve">will be able to </w:t>
      </w:r>
      <w:r w:rsidR="003544C4" w:rsidRPr="00363443">
        <w:rPr>
          <w:sz w:val="24"/>
          <w:szCs w:val="24"/>
        </w:rPr>
        <w:t xml:space="preserve">simultaneously </w:t>
      </w:r>
      <w:r w:rsidR="00B5303D">
        <w:rPr>
          <w:sz w:val="24"/>
          <w:szCs w:val="24"/>
        </w:rPr>
        <w:t>test</w:t>
      </w:r>
      <w:r w:rsidR="003544C4" w:rsidRPr="00363443">
        <w:rPr>
          <w:sz w:val="24"/>
          <w:szCs w:val="24"/>
        </w:rPr>
        <w:t xml:space="preserve"> and scale innovative products or services in multiple jurisdictions</w:t>
      </w:r>
      <w:r w:rsidR="00916EB2">
        <w:rPr>
          <w:sz w:val="24"/>
          <w:szCs w:val="24"/>
        </w:rPr>
        <w:t>, while also</w:t>
      </w:r>
      <w:r w:rsidR="003544C4" w:rsidRPr="00363443">
        <w:rPr>
          <w:sz w:val="24"/>
          <w:szCs w:val="24"/>
        </w:rPr>
        <w:t xml:space="preserve"> gain</w:t>
      </w:r>
      <w:r w:rsidR="00916EB2">
        <w:rPr>
          <w:sz w:val="24"/>
          <w:szCs w:val="24"/>
        </w:rPr>
        <w:t>ing</w:t>
      </w:r>
      <w:r w:rsidR="003544C4" w:rsidRPr="00363443">
        <w:rPr>
          <w:sz w:val="24"/>
          <w:szCs w:val="24"/>
        </w:rPr>
        <w:t xml:space="preserve"> insights into how their business might operate in these markets. </w:t>
      </w:r>
    </w:p>
    <w:p w14:paraId="16567FF3" w14:textId="77777777" w:rsidR="00B34B02" w:rsidRPr="00363443" w:rsidRDefault="00B34B02" w:rsidP="008B764D">
      <w:pPr>
        <w:autoSpaceDE w:val="0"/>
        <w:autoSpaceDN w:val="0"/>
        <w:adjustRightInd w:val="0"/>
        <w:rPr>
          <w:sz w:val="24"/>
          <w:szCs w:val="24"/>
        </w:rPr>
      </w:pPr>
    </w:p>
    <w:p w14:paraId="0F774D32" w14:textId="77777777" w:rsidR="000C4CCE" w:rsidRPr="00363443" w:rsidRDefault="000C4CCE" w:rsidP="000C4CCE">
      <w:pPr>
        <w:autoSpaceDE w:val="0"/>
        <w:autoSpaceDN w:val="0"/>
        <w:adjustRightInd w:val="0"/>
        <w:rPr>
          <w:sz w:val="24"/>
          <w:szCs w:val="24"/>
        </w:rPr>
      </w:pPr>
      <w:r w:rsidRPr="00363443">
        <w:rPr>
          <w:sz w:val="24"/>
          <w:szCs w:val="24"/>
        </w:rPr>
        <w:t xml:space="preserve">Businesses </w:t>
      </w:r>
      <w:r w:rsidR="004950D9" w:rsidRPr="004950D9">
        <w:rPr>
          <w:sz w:val="24"/>
          <w:szCs w:val="24"/>
        </w:rPr>
        <w:t>ready to test across international borders that are</w:t>
      </w:r>
      <w:r w:rsidR="004950D9">
        <w:rPr>
          <w:color w:val="FF0000"/>
          <w:sz w:val="24"/>
          <w:szCs w:val="24"/>
        </w:rPr>
        <w:t xml:space="preserve"> </w:t>
      </w:r>
      <w:r w:rsidRPr="00363443">
        <w:rPr>
          <w:sz w:val="24"/>
          <w:szCs w:val="24"/>
        </w:rPr>
        <w:t xml:space="preserve">interested in participating </w:t>
      </w:r>
      <w:r w:rsidR="00F40190">
        <w:rPr>
          <w:sz w:val="24"/>
          <w:szCs w:val="24"/>
        </w:rPr>
        <w:t xml:space="preserve">in the initiative </w:t>
      </w:r>
      <w:r w:rsidRPr="00363443">
        <w:rPr>
          <w:sz w:val="24"/>
          <w:szCs w:val="24"/>
        </w:rPr>
        <w:t xml:space="preserve">should </w:t>
      </w:r>
      <w:r w:rsidR="004F73C4">
        <w:rPr>
          <w:sz w:val="24"/>
          <w:szCs w:val="24"/>
        </w:rPr>
        <w:t>review</w:t>
      </w:r>
      <w:r w:rsidRPr="00363443">
        <w:rPr>
          <w:sz w:val="24"/>
          <w:szCs w:val="24"/>
        </w:rPr>
        <w:t xml:space="preserve"> </w:t>
      </w:r>
      <w:r w:rsidR="00381D0A">
        <w:rPr>
          <w:sz w:val="24"/>
          <w:szCs w:val="24"/>
        </w:rPr>
        <w:t xml:space="preserve">the </w:t>
      </w:r>
      <w:r w:rsidRPr="00363443">
        <w:rPr>
          <w:sz w:val="24"/>
          <w:szCs w:val="24"/>
        </w:rPr>
        <w:t xml:space="preserve">GFIN’s </w:t>
      </w:r>
      <w:hyperlink r:id="rId13" w:history="1">
        <w:r w:rsidRPr="00E04BD7">
          <w:rPr>
            <w:rStyle w:val="Hyperlink"/>
            <w:sz w:val="24"/>
            <w:szCs w:val="24"/>
          </w:rPr>
          <w:t>Regulatory Compendium</w:t>
        </w:r>
      </w:hyperlink>
      <w:r w:rsidR="004F73C4">
        <w:rPr>
          <w:sz w:val="24"/>
          <w:szCs w:val="24"/>
        </w:rPr>
        <w:t>, which</w:t>
      </w:r>
      <w:r w:rsidRPr="00363443">
        <w:rPr>
          <w:sz w:val="24"/>
          <w:szCs w:val="24"/>
        </w:rPr>
        <w:t xml:space="preserve"> clarifies the </w:t>
      </w:r>
      <w:r w:rsidR="004F73C4">
        <w:rPr>
          <w:sz w:val="24"/>
          <w:szCs w:val="24"/>
        </w:rPr>
        <w:t>roles and responsibilities</w:t>
      </w:r>
      <w:r w:rsidRPr="00363443">
        <w:rPr>
          <w:sz w:val="24"/>
          <w:szCs w:val="24"/>
        </w:rPr>
        <w:t xml:space="preserve"> of </w:t>
      </w:r>
      <w:r w:rsidR="004F73C4">
        <w:rPr>
          <w:sz w:val="24"/>
          <w:szCs w:val="24"/>
        </w:rPr>
        <w:t xml:space="preserve">the </w:t>
      </w:r>
      <w:r w:rsidRPr="00363443">
        <w:rPr>
          <w:sz w:val="24"/>
          <w:szCs w:val="24"/>
        </w:rPr>
        <w:t>participating regulators and the innovation services available</w:t>
      </w:r>
      <w:r w:rsidR="004F73C4">
        <w:rPr>
          <w:sz w:val="24"/>
          <w:szCs w:val="24"/>
        </w:rPr>
        <w:t xml:space="preserve"> in those markets</w:t>
      </w:r>
      <w:r w:rsidRPr="00363443">
        <w:rPr>
          <w:sz w:val="24"/>
          <w:szCs w:val="24"/>
        </w:rPr>
        <w:t>.</w:t>
      </w:r>
      <w:r w:rsidR="00F40190">
        <w:rPr>
          <w:sz w:val="24"/>
          <w:szCs w:val="24"/>
        </w:rPr>
        <w:t xml:space="preserve"> </w:t>
      </w:r>
    </w:p>
    <w:p w14:paraId="6ED92851" w14:textId="77777777" w:rsidR="000C4CCE" w:rsidRPr="00363443" w:rsidRDefault="000C4CCE" w:rsidP="000C4CCE">
      <w:pPr>
        <w:autoSpaceDE w:val="0"/>
        <w:autoSpaceDN w:val="0"/>
        <w:adjustRightInd w:val="0"/>
        <w:rPr>
          <w:sz w:val="24"/>
          <w:szCs w:val="24"/>
        </w:rPr>
      </w:pPr>
    </w:p>
    <w:p w14:paraId="1BEC8B43" w14:textId="77777777" w:rsidR="000C4CCE" w:rsidRPr="00363443" w:rsidRDefault="000C4CCE" w:rsidP="000C4CCE">
      <w:pPr>
        <w:autoSpaceDE w:val="0"/>
        <w:autoSpaceDN w:val="0"/>
        <w:adjustRightInd w:val="0"/>
        <w:rPr>
          <w:sz w:val="24"/>
          <w:szCs w:val="24"/>
        </w:rPr>
      </w:pPr>
      <w:r w:rsidRPr="00363443">
        <w:rPr>
          <w:sz w:val="24"/>
          <w:szCs w:val="24"/>
        </w:rPr>
        <w:t xml:space="preserve">Once businesses have determined </w:t>
      </w:r>
      <w:r w:rsidR="00FB67A8" w:rsidRPr="00363443">
        <w:rPr>
          <w:sz w:val="24"/>
          <w:szCs w:val="24"/>
        </w:rPr>
        <w:t>which market</w:t>
      </w:r>
      <w:r w:rsidR="004F73C4">
        <w:rPr>
          <w:sz w:val="24"/>
          <w:szCs w:val="24"/>
        </w:rPr>
        <w:t>s</w:t>
      </w:r>
      <w:r w:rsidR="00FB67A8" w:rsidRPr="00363443">
        <w:rPr>
          <w:sz w:val="24"/>
          <w:szCs w:val="24"/>
        </w:rPr>
        <w:t xml:space="preserve"> </w:t>
      </w:r>
      <w:r w:rsidR="00916EB2">
        <w:rPr>
          <w:sz w:val="24"/>
          <w:szCs w:val="24"/>
        </w:rPr>
        <w:t>they are</w:t>
      </w:r>
      <w:r w:rsidR="00FB67A8" w:rsidRPr="00363443">
        <w:rPr>
          <w:sz w:val="24"/>
          <w:szCs w:val="24"/>
        </w:rPr>
        <w:t xml:space="preserve"> interest</w:t>
      </w:r>
      <w:r w:rsidR="00916EB2">
        <w:rPr>
          <w:sz w:val="24"/>
          <w:szCs w:val="24"/>
        </w:rPr>
        <w:t>ed in</w:t>
      </w:r>
      <w:r w:rsidR="00363443">
        <w:rPr>
          <w:sz w:val="24"/>
          <w:szCs w:val="24"/>
        </w:rPr>
        <w:t>,</w:t>
      </w:r>
      <w:r w:rsidR="00FB67A8" w:rsidRPr="00363443">
        <w:rPr>
          <w:sz w:val="24"/>
          <w:szCs w:val="24"/>
        </w:rPr>
        <w:t xml:space="preserve"> they should submit a</w:t>
      </w:r>
      <w:r w:rsidR="00916EB2">
        <w:rPr>
          <w:sz w:val="24"/>
          <w:szCs w:val="24"/>
        </w:rPr>
        <w:t xml:space="preserve"> </w:t>
      </w:r>
      <w:hyperlink r:id="rId14" w:history="1">
        <w:r w:rsidR="00916EB2" w:rsidRPr="004A70C6">
          <w:rPr>
            <w:rStyle w:val="Hyperlink"/>
            <w:sz w:val="24"/>
            <w:szCs w:val="24"/>
          </w:rPr>
          <w:t>completed</w:t>
        </w:r>
        <w:r w:rsidR="00FB67A8" w:rsidRPr="004A70C6">
          <w:rPr>
            <w:rStyle w:val="Hyperlink"/>
            <w:sz w:val="24"/>
            <w:szCs w:val="24"/>
          </w:rPr>
          <w:t xml:space="preserve"> application form</w:t>
        </w:r>
      </w:hyperlink>
      <w:r w:rsidR="004A70C6">
        <w:rPr>
          <w:sz w:val="24"/>
          <w:szCs w:val="24"/>
        </w:rPr>
        <w:t>.</w:t>
      </w:r>
      <w:r w:rsidR="004F73C4">
        <w:rPr>
          <w:sz w:val="24"/>
          <w:szCs w:val="24"/>
        </w:rPr>
        <w:t xml:space="preserve"> </w:t>
      </w:r>
      <w:r w:rsidR="00F40190">
        <w:rPr>
          <w:sz w:val="24"/>
          <w:szCs w:val="24"/>
        </w:rPr>
        <w:t xml:space="preserve">Businesses will only need to fill out one application, through the single-entry portal, to test in multiple markets. </w:t>
      </w:r>
      <w:r w:rsidR="00FB67A8" w:rsidRPr="00363443">
        <w:rPr>
          <w:sz w:val="24"/>
          <w:szCs w:val="24"/>
        </w:rPr>
        <w:t xml:space="preserve">Applications are due by </w:t>
      </w:r>
      <w:r w:rsidRPr="00363443">
        <w:rPr>
          <w:sz w:val="24"/>
          <w:szCs w:val="24"/>
        </w:rPr>
        <w:t>December 31, 2020</w:t>
      </w:r>
      <w:r w:rsidR="004A70C6">
        <w:rPr>
          <w:sz w:val="24"/>
          <w:szCs w:val="24"/>
        </w:rPr>
        <w:t>.</w:t>
      </w:r>
    </w:p>
    <w:p w14:paraId="5CA7491A" w14:textId="77777777" w:rsidR="006977E0" w:rsidRDefault="006977E0" w:rsidP="00FB67A8">
      <w:pPr>
        <w:autoSpaceDE w:val="0"/>
        <w:autoSpaceDN w:val="0"/>
        <w:adjustRightInd w:val="0"/>
        <w:rPr>
          <w:sz w:val="24"/>
          <w:szCs w:val="24"/>
        </w:rPr>
      </w:pPr>
    </w:p>
    <w:p w14:paraId="18AC5A64" w14:textId="77777777" w:rsidR="00FB67A8" w:rsidRPr="00363443" w:rsidRDefault="00FB67A8" w:rsidP="00FB67A8">
      <w:pPr>
        <w:autoSpaceDE w:val="0"/>
        <w:autoSpaceDN w:val="0"/>
        <w:adjustRightInd w:val="0"/>
        <w:rPr>
          <w:sz w:val="24"/>
          <w:szCs w:val="24"/>
        </w:rPr>
      </w:pPr>
      <w:r w:rsidRPr="00363443">
        <w:rPr>
          <w:sz w:val="24"/>
          <w:szCs w:val="24"/>
        </w:rPr>
        <w:t xml:space="preserve">An </w:t>
      </w:r>
      <w:hyperlink r:id="rId15" w:history="1">
        <w:r w:rsidRPr="004A70C6">
          <w:rPr>
            <w:rStyle w:val="Hyperlink"/>
            <w:sz w:val="24"/>
            <w:szCs w:val="24"/>
          </w:rPr>
          <w:t>FAQ</w:t>
        </w:r>
      </w:hyperlink>
      <w:r w:rsidRPr="00363443">
        <w:rPr>
          <w:sz w:val="24"/>
          <w:szCs w:val="24"/>
        </w:rPr>
        <w:t xml:space="preserve"> is available on</w:t>
      </w:r>
      <w:r w:rsidR="000204FB">
        <w:rPr>
          <w:sz w:val="24"/>
          <w:szCs w:val="24"/>
        </w:rPr>
        <w:t xml:space="preserve"> the</w:t>
      </w:r>
      <w:r w:rsidRPr="00363443">
        <w:rPr>
          <w:sz w:val="24"/>
          <w:szCs w:val="24"/>
        </w:rPr>
        <w:t xml:space="preserve"> </w:t>
      </w:r>
      <w:hyperlink r:id="rId16" w:history="1">
        <w:r w:rsidRPr="00E04BD7">
          <w:rPr>
            <w:rStyle w:val="Hyperlink"/>
            <w:sz w:val="24"/>
            <w:szCs w:val="24"/>
          </w:rPr>
          <w:t>GFIN’s website</w:t>
        </w:r>
      </w:hyperlink>
      <w:r w:rsidRPr="00363443">
        <w:rPr>
          <w:sz w:val="24"/>
          <w:szCs w:val="24"/>
        </w:rPr>
        <w:t xml:space="preserve"> to help firms understand the project process. </w:t>
      </w:r>
    </w:p>
    <w:p w14:paraId="2714700B" w14:textId="77777777" w:rsidR="002B278D" w:rsidRPr="00363443" w:rsidRDefault="002B278D" w:rsidP="0097355F">
      <w:pPr>
        <w:autoSpaceDE w:val="0"/>
        <w:autoSpaceDN w:val="0"/>
        <w:adjustRightInd w:val="0"/>
        <w:rPr>
          <w:sz w:val="24"/>
          <w:szCs w:val="24"/>
        </w:rPr>
      </w:pPr>
    </w:p>
    <w:p w14:paraId="561B14EF" w14:textId="77777777" w:rsidR="00363443" w:rsidRPr="00363443" w:rsidRDefault="00363443" w:rsidP="00363443">
      <w:pPr>
        <w:jc w:val="both"/>
        <w:rPr>
          <w:sz w:val="24"/>
          <w:szCs w:val="24"/>
        </w:rPr>
      </w:pPr>
      <w:r w:rsidRPr="00363443">
        <w:rPr>
          <w:sz w:val="24"/>
          <w:szCs w:val="24"/>
        </w:rPr>
        <w:t xml:space="preserve">Currently chaired by the Financial Conduct Authority (FCA), </w:t>
      </w:r>
      <w:r w:rsidR="00381D0A">
        <w:rPr>
          <w:sz w:val="24"/>
          <w:szCs w:val="24"/>
        </w:rPr>
        <w:t xml:space="preserve">the </w:t>
      </w:r>
      <w:r w:rsidRPr="00363443">
        <w:rPr>
          <w:sz w:val="24"/>
          <w:szCs w:val="24"/>
        </w:rPr>
        <w:t xml:space="preserve">GFIN consists of 60 international organizations, committed to supporting financial innovation in the interests of consumers, including </w:t>
      </w:r>
      <w:r w:rsidR="004A4A06">
        <w:rPr>
          <w:sz w:val="24"/>
          <w:szCs w:val="24"/>
        </w:rPr>
        <w:t>23</w:t>
      </w:r>
      <w:r w:rsidR="004A4A06" w:rsidRPr="00363443">
        <w:rPr>
          <w:sz w:val="24"/>
          <w:szCs w:val="24"/>
        </w:rPr>
        <w:t xml:space="preserve"> </w:t>
      </w:r>
      <w:r w:rsidRPr="00363443">
        <w:rPr>
          <w:sz w:val="24"/>
          <w:szCs w:val="24"/>
        </w:rPr>
        <w:t xml:space="preserve">organizations committed to cross-border-testing. </w:t>
      </w:r>
    </w:p>
    <w:p w14:paraId="67FF04D7" w14:textId="77777777" w:rsidR="00363443" w:rsidRPr="00363443" w:rsidRDefault="00363443" w:rsidP="00363443">
      <w:pPr>
        <w:jc w:val="both"/>
        <w:rPr>
          <w:b/>
          <w:sz w:val="24"/>
          <w:szCs w:val="24"/>
        </w:rPr>
      </w:pPr>
    </w:p>
    <w:p w14:paraId="3D699B26" w14:textId="77777777" w:rsidR="004A4A06" w:rsidRPr="006977E0" w:rsidRDefault="004A4A06" w:rsidP="004A4A06">
      <w:pPr>
        <w:jc w:val="both"/>
        <w:rPr>
          <w:b/>
          <w:sz w:val="24"/>
          <w:szCs w:val="24"/>
        </w:rPr>
      </w:pPr>
      <w:r w:rsidRPr="006977E0">
        <w:rPr>
          <w:b/>
          <w:sz w:val="24"/>
          <w:szCs w:val="24"/>
        </w:rPr>
        <w:t>Participating Regulators</w:t>
      </w:r>
    </w:p>
    <w:p w14:paraId="1771E1FD" w14:textId="77777777" w:rsidR="004A4A06" w:rsidRPr="006977E0" w:rsidRDefault="004A4A06" w:rsidP="004A4A06">
      <w:pPr>
        <w:jc w:val="both"/>
        <w:rPr>
          <w:sz w:val="24"/>
          <w:szCs w:val="24"/>
        </w:rPr>
      </w:pPr>
      <w:r w:rsidRPr="006977E0">
        <w:rPr>
          <w:sz w:val="24"/>
          <w:szCs w:val="24"/>
        </w:rPr>
        <w:t xml:space="preserve">The following regulators are participating in cross-border testing.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
        <w:gridCol w:w="6110"/>
        <w:gridCol w:w="2435"/>
      </w:tblGrid>
      <w:tr w:rsidR="004A4A06" w:rsidRPr="006977E0" w14:paraId="3BF2A491" w14:textId="77777777" w:rsidTr="003E14B7">
        <w:tc>
          <w:tcPr>
            <w:tcW w:w="471" w:type="dxa"/>
            <w:shd w:val="clear" w:color="auto" w:fill="auto"/>
          </w:tcPr>
          <w:p w14:paraId="06F770F1" w14:textId="77777777" w:rsidR="004A4A06" w:rsidRPr="006977E0" w:rsidRDefault="004A4A06" w:rsidP="003E14B7">
            <w:pPr>
              <w:jc w:val="both"/>
              <w:rPr>
                <w:rFonts w:eastAsia="Calibri"/>
                <w:sz w:val="24"/>
                <w:szCs w:val="24"/>
              </w:rPr>
            </w:pPr>
          </w:p>
        </w:tc>
        <w:tc>
          <w:tcPr>
            <w:tcW w:w="6110" w:type="dxa"/>
            <w:shd w:val="clear" w:color="auto" w:fill="auto"/>
          </w:tcPr>
          <w:p w14:paraId="5DB492B5" w14:textId="77777777" w:rsidR="004A4A06" w:rsidRPr="006977E0" w:rsidRDefault="004A4A06" w:rsidP="003E14B7">
            <w:pPr>
              <w:jc w:val="both"/>
              <w:rPr>
                <w:rFonts w:eastAsia="Calibri"/>
                <w:b/>
                <w:sz w:val="24"/>
                <w:szCs w:val="24"/>
              </w:rPr>
            </w:pPr>
            <w:r w:rsidRPr="006977E0">
              <w:rPr>
                <w:rFonts w:eastAsia="Calibri"/>
                <w:b/>
                <w:sz w:val="24"/>
                <w:szCs w:val="24"/>
              </w:rPr>
              <w:t>Regulatory Authority</w:t>
            </w:r>
          </w:p>
        </w:tc>
        <w:tc>
          <w:tcPr>
            <w:tcW w:w="2435" w:type="dxa"/>
            <w:shd w:val="clear" w:color="auto" w:fill="auto"/>
          </w:tcPr>
          <w:p w14:paraId="736D1CB1" w14:textId="77777777" w:rsidR="004A4A06" w:rsidRPr="006977E0" w:rsidRDefault="004A4A06" w:rsidP="003E14B7">
            <w:pPr>
              <w:jc w:val="both"/>
              <w:rPr>
                <w:rFonts w:eastAsia="Calibri"/>
                <w:b/>
                <w:sz w:val="24"/>
                <w:szCs w:val="24"/>
              </w:rPr>
            </w:pPr>
            <w:r w:rsidRPr="006977E0">
              <w:rPr>
                <w:rFonts w:eastAsia="Calibri"/>
                <w:b/>
                <w:sz w:val="24"/>
                <w:szCs w:val="24"/>
              </w:rPr>
              <w:t>Jurisdiction</w:t>
            </w:r>
          </w:p>
        </w:tc>
      </w:tr>
      <w:tr w:rsidR="004A4A06" w:rsidRPr="006977E0" w14:paraId="1259C696" w14:textId="77777777" w:rsidTr="003E14B7">
        <w:tc>
          <w:tcPr>
            <w:tcW w:w="471" w:type="dxa"/>
            <w:shd w:val="clear" w:color="auto" w:fill="auto"/>
          </w:tcPr>
          <w:p w14:paraId="66A028AA" w14:textId="77777777" w:rsidR="004A4A06" w:rsidRPr="006977E0" w:rsidRDefault="004A4A06" w:rsidP="003E14B7">
            <w:pPr>
              <w:jc w:val="center"/>
              <w:rPr>
                <w:rFonts w:eastAsia="Calibri"/>
                <w:sz w:val="24"/>
                <w:szCs w:val="24"/>
              </w:rPr>
            </w:pPr>
            <w:r w:rsidRPr="006977E0">
              <w:rPr>
                <w:rFonts w:eastAsia="Calibri"/>
                <w:sz w:val="24"/>
                <w:szCs w:val="24"/>
              </w:rPr>
              <w:t>1</w:t>
            </w:r>
          </w:p>
        </w:tc>
        <w:tc>
          <w:tcPr>
            <w:tcW w:w="6110" w:type="dxa"/>
            <w:shd w:val="clear" w:color="auto" w:fill="auto"/>
          </w:tcPr>
          <w:p w14:paraId="2944E15E" w14:textId="77777777" w:rsidR="004A4A06" w:rsidRPr="006977E0" w:rsidRDefault="004A4A06" w:rsidP="003E14B7">
            <w:pPr>
              <w:jc w:val="both"/>
              <w:rPr>
                <w:rFonts w:eastAsia="Calibri"/>
                <w:sz w:val="24"/>
                <w:szCs w:val="24"/>
              </w:rPr>
            </w:pPr>
            <w:r w:rsidRPr="006977E0">
              <w:rPr>
                <w:rFonts w:eastAsia="Calibri"/>
                <w:sz w:val="24"/>
                <w:szCs w:val="24"/>
              </w:rPr>
              <w:t>Australian Securities and Investments Commission (ASIC)</w:t>
            </w:r>
          </w:p>
        </w:tc>
        <w:tc>
          <w:tcPr>
            <w:tcW w:w="2435" w:type="dxa"/>
            <w:shd w:val="clear" w:color="auto" w:fill="auto"/>
          </w:tcPr>
          <w:p w14:paraId="5286A44C" w14:textId="77777777" w:rsidR="004A4A06" w:rsidRPr="006977E0" w:rsidRDefault="004A4A06" w:rsidP="003E14B7">
            <w:pPr>
              <w:rPr>
                <w:rFonts w:eastAsia="Calibri"/>
                <w:sz w:val="24"/>
                <w:szCs w:val="24"/>
              </w:rPr>
            </w:pPr>
            <w:r w:rsidRPr="006977E0">
              <w:rPr>
                <w:rFonts w:eastAsia="Calibri"/>
                <w:sz w:val="24"/>
                <w:szCs w:val="24"/>
              </w:rPr>
              <w:t>Australia</w:t>
            </w:r>
          </w:p>
        </w:tc>
      </w:tr>
      <w:tr w:rsidR="004A4A06" w:rsidRPr="006977E0" w14:paraId="2DB39615" w14:textId="77777777" w:rsidTr="003E14B7">
        <w:tc>
          <w:tcPr>
            <w:tcW w:w="471" w:type="dxa"/>
            <w:shd w:val="clear" w:color="auto" w:fill="auto"/>
          </w:tcPr>
          <w:p w14:paraId="19242D34" w14:textId="77777777" w:rsidR="004A4A06" w:rsidRPr="006977E0" w:rsidRDefault="004A4A06" w:rsidP="003E14B7">
            <w:pPr>
              <w:jc w:val="center"/>
              <w:rPr>
                <w:rFonts w:eastAsia="Calibri"/>
                <w:sz w:val="24"/>
                <w:szCs w:val="24"/>
              </w:rPr>
            </w:pPr>
            <w:r w:rsidRPr="006977E0">
              <w:rPr>
                <w:rFonts w:eastAsia="Calibri"/>
                <w:sz w:val="24"/>
                <w:szCs w:val="24"/>
              </w:rPr>
              <w:t>2</w:t>
            </w:r>
          </w:p>
        </w:tc>
        <w:tc>
          <w:tcPr>
            <w:tcW w:w="6110" w:type="dxa"/>
            <w:shd w:val="clear" w:color="auto" w:fill="auto"/>
          </w:tcPr>
          <w:p w14:paraId="1BE6ED06" w14:textId="77777777" w:rsidR="004A4A06" w:rsidRPr="006977E0" w:rsidRDefault="004A4A06" w:rsidP="003E14B7">
            <w:pPr>
              <w:jc w:val="both"/>
              <w:rPr>
                <w:rFonts w:eastAsia="Calibri"/>
                <w:sz w:val="24"/>
                <w:szCs w:val="24"/>
              </w:rPr>
            </w:pPr>
            <w:r w:rsidRPr="006977E0">
              <w:rPr>
                <w:rFonts w:eastAsia="Calibri"/>
                <w:sz w:val="24"/>
                <w:szCs w:val="24"/>
              </w:rPr>
              <w:t>Central Bank of Bahrain (CBB)</w:t>
            </w:r>
          </w:p>
        </w:tc>
        <w:tc>
          <w:tcPr>
            <w:tcW w:w="2435" w:type="dxa"/>
            <w:shd w:val="clear" w:color="auto" w:fill="auto"/>
          </w:tcPr>
          <w:p w14:paraId="051FBD73" w14:textId="77777777" w:rsidR="004A4A06" w:rsidRPr="006977E0" w:rsidRDefault="004A4A06" w:rsidP="003E14B7">
            <w:pPr>
              <w:rPr>
                <w:rFonts w:eastAsia="Calibri"/>
                <w:sz w:val="24"/>
                <w:szCs w:val="24"/>
              </w:rPr>
            </w:pPr>
            <w:r w:rsidRPr="006977E0">
              <w:rPr>
                <w:rFonts w:eastAsia="Calibri"/>
                <w:sz w:val="24"/>
                <w:szCs w:val="24"/>
              </w:rPr>
              <w:t>Bahrain</w:t>
            </w:r>
          </w:p>
        </w:tc>
      </w:tr>
      <w:tr w:rsidR="004A4A06" w:rsidRPr="006977E0" w14:paraId="329D5D11" w14:textId="77777777" w:rsidTr="003E14B7">
        <w:tc>
          <w:tcPr>
            <w:tcW w:w="471" w:type="dxa"/>
            <w:shd w:val="clear" w:color="auto" w:fill="auto"/>
          </w:tcPr>
          <w:p w14:paraId="5D916B09" w14:textId="77777777" w:rsidR="004A4A06" w:rsidRPr="006977E0" w:rsidRDefault="004A4A06" w:rsidP="003E14B7">
            <w:pPr>
              <w:jc w:val="center"/>
              <w:rPr>
                <w:rFonts w:eastAsia="Calibri"/>
                <w:sz w:val="24"/>
                <w:szCs w:val="24"/>
              </w:rPr>
            </w:pPr>
            <w:r w:rsidRPr="006977E0">
              <w:rPr>
                <w:rFonts w:eastAsia="Calibri"/>
                <w:sz w:val="24"/>
                <w:szCs w:val="24"/>
              </w:rPr>
              <w:t>3</w:t>
            </w:r>
          </w:p>
        </w:tc>
        <w:tc>
          <w:tcPr>
            <w:tcW w:w="6110" w:type="dxa"/>
            <w:shd w:val="clear" w:color="auto" w:fill="auto"/>
          </w:tcPr>
          <w:p w14:paraId="2EC41615" w14:textId="77777777" w:rsidR="004A4A06" w:rsidRPr="006977E0" w:rsidRDefault="004A4A06" w:rsidP="003E14B7">
            <w:pPr>
              <w:jc w:val="both"/>
              <w:rPr>
                <w:rFonts w:eastAsia="Calibri"/>
                <w:sz w:val="24"/>
                <w:szCs w:val="24"/>
              </w:rPr>
            </w:pPr>
            <w:r w:rsidRPr="006977E0">
              <w:rPr>
                <w:rFonts w:eastAsia="Calibri"/>
                <w:sz w:val="24"/>
                <w:szCs w:val="24"/>
              </w:rPr>
              <w:t>Bermuda Monetary Authority (BMA)</w:t>
            </w:r>
          </w:p>
        </w:tc>
        <w:tc>
          <w:tcPr>
            <w:tcW w:w="2435" w:type="dxa"/>
            <w:shd w:val="clear" w:color="auto" w:fill="auto"/>
          </w:tcPr>
          <w:p w14:paraId="338FE6FE" w14:textId="77777777" w:rsidR="004A4A06" w:rsidRPr="006977E0" w:rsidRDefault="004A4A06" w:rsidP="003E14B7">
            <w:pPr>
              <w:rPr>
                <w:rFonts w:eastAsia="Calibri"/>
                <w:sz w:val="24"/>
                <w:szCs w:val="24"/>
              </w:rPr>
            </w:pPr>
            <w:r w:rsidRPr="006977E0">
              <w:rPr>
                <w:rFonts w:eastAsia="Calibri"/>
                <w:sz w:val="24"/>
                <w:szCs w:val="24"/>
              </w:rPr>
              <w:t>Bermuda</w:t>
            </w:r>
          </w:p>
        </w:tc>
      </w:tr>
      <w:tr w:rsidR="004A4A06" w:rsidRPr="006977E0" w14:paraId="3F87552B" w14:textId="77777777" w:rsidTr="003E14B7">
        <w:tc>
          <w:tcPr>
            <w:tcW w:w="471" w:type="dxa"/>
            <w:shd w:val="clear" w:color="auto" w:fill="auto"/>
          </w:tcPr>
          <w:p w14:paraId="5A0810E4" w14:textId="77777777" w:rsidR="004A4A06" w:rsidRPr="006977E0" w:rsidRDefault="004A4A06" w:rsidP="003E14B7">
            <w:pPr>
              <w:jc w:val="center"/>
              <w:rPr>
                <w:rFonts w:eastAsia="Calibri"/>
                <w:sz w:val="24"/>
                <w:szCs w:val="24"/>
              </w:rPr>
            </w:pPr>
            <w:r w:rsidRPr="006977E0">
              <w:rPr>
                <w:rFonts w:eastAsia="Calibri"/>
                <w:sz w:val="24"/>
                <w:szCs w:val="24"/>
              </w:rPr>
              <w:t>4</w:t>
            </w:r>
          </w:p>
        </w:tc>
        <w:tc>
          <w:tcPr>
            <w:tcW w:w="6110" w:type="dxa"/>
            <w:shd w:val="clear" w:color="auto" w:fill="auto"/>
          </w:tcPr>
          <w:p w14:paraId="027CF21E" w14:textId="77777777" w:rsidR="004A4A06" w:rsidRPr="006977E0" w:rsidRDefault="004A4A06" w:rsidP="003E14B7">
            <w:pPr>
              <w:jc w:val="both"/>
              <w:rPr>
                <w:rFonts w:eastAsia="Calibri"/>
                <w:sz w:val="24"/>
                <w:szCs w:val="24"/>
              </w:rPr>
            </w:pPr>
            <w:r w:rsidRPr="006977E0">
              <w:rPr>
                <w:rFonts w:eastAsia="Calibri"/>
                <w:sz w:val="24"/>
                <w:szCs w:val="24"/>
              </w:rPr>
              <w:t>Alberta Securities Commission (ASC)</w:t>
            </w:r>
          </w:p>
        </w:tc>
        <w:tc>
          <w:tcPr>
            <w:tcW w:w="2435" w:type="dxa"/>
            <w:shd w:val="clear" w:color="auto" w:fill="auto"/>
          </w:tcPr>
          <w:p w14:paraId="0E6122F9" w14:textId="77777777" w:rsidR="004A4A06" w:rsidRPr="006977E0" w:rsidRDefault="004A4A06" w:rsidP="003E14B7">
            <w:pPr>
              <w:rPr>
                <w:rFonts w:eastAsia="Calibri"/>
                <w:sz w:val="24"/>
                <w:szCs w:val="24"/>
              </w:rPr>
            </w:pPr>
            <w:r w:rsidRPr="006977E0">
              <w:rPr>
                <w:rFonts w:eastAsia="Calibri"/>
                <w:sz w:val="24"/>
                <w:szCs w:val="24"/>
              </w:rPr>
              <w:t>Alberta, Canada</w:t>
            </w:r>
          </w:p>
        </w:tc>
      </w:tr>
      <w:tr w:rsidR="004A4A06" w:rsidRPr="006977E0" w14:paraId="7F04E7E4" w14:textId="77777777" w:rsidTr="003E14B7">
        <w:tc>
          <w:tcPr>
            <w:tcW w:w="471" w:type="dxa"/>
            <w:shd w:val="clear" w:color="auto" w:fill="auto"/>
          </w:tcPr>
          <w:p w14:paraId="45DB31A1" w14:textId="77777777" w:rsidR="004A4A06" w:rsidRPr="006977E0" w:rsidRDefault="004A4A06" w:rsidP="003E14B7">
            <w:pPr>
              <w:jc w:val="center"/>
              <w:rPr>
                <w:rFonts w:eastAsia="Calibri"/>
                <w:sz w:val="24"/>
                <w:szCs w:val="24"/>
              </w:rPr>
            </w:pPr>
            <w:r w:rsidRPr="006977E0">
              <w:rPr>
                <w:rFonts w:eastAsia="Calibri"/>
                <w:sz w:val="24"/>
                <w:szCs w:val="24"/>
              </w:rPr>
              <w:t>5</w:t>
            </w:r>
          </w:p>
        </w:tc>
        <w:tc>
          <w:tcPr>
            <w:tcW w:w="6110" w:type="dxa"/>
            <w:shd w:val="clear" w:color="auto" w:fill="auto"/>
          </w:tcPr>
          <w:p w14:paraId="050BD39F" w14:textId="77777777" w:rsidR="004A4A06" w:rsidRPr="006977E0" w:rsidRDefault="004A4A06" w:rsidP="003E14B7">
            <w:pPr>
              <w:jc w:val="both"/>
              <w:rPr>
                <w:rFonts w:eastAsia="Calibri"/>
                <w:sz w:val="24"/>
                <w:szCs w:val="24"/>
              </w:rPr>
            </w:pPr>
            <w:r w:rsidRPr="006977E0">
              <w:rPr>
                <w:rFonts w:eastAsia="Calibri"/>
                <w:sz w:val="24"/>
                <w:szCs w:val="24"/>
              </w:rPr>
              <w:t>British Columbia Securities Commission (BCSC)</w:t>
            </w:r>
          </w:p>
        </w:tc>
        <w:tc>
          <w:tcPr>
            <w:tcW w:w="2435" w:type="dxa"/>
            <w:shd w:val="clear" w:color="auto" w:fill="auto"/>
          </w:tcPr>
          <w:p w14:paraId="31C21DFB" w14:textId="77777777" w:rsidR="004A4A06" w:rsidRPr="006977E0" w:rsidRDefault="004A4A06" w:rsidP="003E14B7">
            <w:pPr>
              <w:rPr>
                <w:rFonts w:eastAsia="Calibri"/>
                <w:sz w:val="24"/>
                <w:szCs w:val="24"/>
              </w:rPr>
            </w:pPr>
            <w:r w:rsidRPr="006977E0">
              <w:rPr>
                <w:rFonts w:eastAsia="Calibri"/>
                <w:sz w:val="24"/>
                <w:szCs w:val="24"/>
              </w:rPr>
              <w:t>British Columbia, Canada</w:t>
            </w:r>
          </w:p>
        </w:tc>
      </w:tr>
      <w:tr w:rsidR="004A4A06" w:rsidRPr="006977E0" w14:paraId="13DFB8A7" w14:textId="77777777" w:rsidTr="003E14B7">
        <w:tc>
          <w:tcPr>
            <w:tcW w:w="471" w:type="dxa"/>
            <w:shd w:val="clear" w:color="auto" w:fill="auto"/>
          </w:tcPr>
          <w:p w14:paraId="7A41217E" w14:textId="77777777" w:rsidR="004A4A06" w:rsidRPr="006977E0" w:rsidRDefault="004A4A06" w:rsidP="003E14B7">
            <w:pPr>
              <w:jc w:val="center"/>
              <w:rPr>
                <w:rFonts w:eastAsia="Calibri"/>
                <w:sz w:val="24"/>
                <w:szCs w:val="24"/>
              </w:rPr>
            </w:pPr>
            <w:r w:rsidRPr="006977E0">
              <w:rPr>
                <w:rFonts w:eastAsia="Calibri"/>
                <w:sz w:val="24"/>
                <w:szCs w:val="24"/>
              </w:rPr>
              <w:t>6</w:t>
            </w:r>
          </w:p>
        </w:tc>
        <w:tc>
          <w:tcPr>
            <w:tcW w:w="6110" w:type="dxa"/>
            <w:shd w:val="clear" w:color="auto" w:fill="auto"/>
          </w:tcPr>
          <w:p w14:paraId="2FAECECB" w14:textId="77777777" w:rsidR="004A4A06" w:rsidRPr="006977E0" w:rsidRDefault="004A4A06" w:rsidP="003E14B7">
            <w:pPr>
              <w:jc w:val="both"/>
              <w:rPr>
                <w:rFonts w:eastAsia="Calibri"/>
                <w:sz w:val="24"/>
                <w:szCs w:val="24"/>
              </w:rPr>
            </w:pPr>
            <w:r w:rsidRPr="006977E0">
              <w:rPr>
                <w:rFonts w:eastAsia="Calibri"/>
                <w:sz w:val="24"/>
                <w:szCs w:val="24"/>
              </w:rPr>
              <w:t>Ontario Securities Commission (OSC)</w:t>
            </w:r>
          </w:p>
        </w:tc>
        <w:tc>
          <w:tcPr>
            <w:tcW w:w="2435" w:type="dxa"/>
            <w:shd w:val="clear" w:color="auto" w:fill="auto"/>
          </w:tcPr>
          <w:p w14:paraId="60400A80" w14:textId="77777777" w:rsidR="004A4A06" w:rsidRPr="006977E0" w:rsidRDefault="004A4A06" w:rsidP="003E14B7">
            <w:pPr>
              <w:rPr>
                <w:rFonts w:eastAsia="Calibri"/>
                <w:sz w:val="24"/>
                <w:szCs w:val="24"/>
              </w:rPr>
            </w:pPr>
            <w:r w:rsidRPr="006977E0">
              <w:rPr>
                <w:rFonts w:eastAsia="Calibri"/>
                <w:sz w:val="24"/>
                <w:szCs w:val="24"/>
              </w:rPr>
              <w:t>Ontario, Canada</w:t>
            </w:r>
          </w:p>
        </w:tc>
      </w:tr>
      <w:tr w:rsidR="004A4A06" w:rsidRPr="006977E0" w14:paraId="67D81034" w14:textId="77777777" w:rsidTr="003E14B7">
        <w:tc>
          <w:tcPr>
            <w:tcW w:w="471" w:type="dxa"/>
            <w:shd w:val="clear" w:color="auto" w:fill="auto"/>
          </w:tcPr>
          <w:p w14:paraId="08BBA494" w14:textId="77777777" w:rsidR="004A4A06" w:rsidRPr="006977E0" w:rsidRDefault="004A4A06" w:rsidP="003E14B7">
            <w:pPr>
              <w:jc w:val="center"/>
              <w:rPr>
                <w:rFonts w:eastAsia="Calibri"/>
                <w:sz w:val="24"/>
                <w:szCs w:val="24"/>
              </w:rPr>
            </w:pPr>
            <w:r w:rsidRPr="006977E0">
              <w:rPr>
                <w:rFonts w:eastAsia="Calibri"/>
                <w:sz w:val="24"/>
                <w:szCs w:val="24"/>
              </w:rPr>
              <w:t>7</w:t>
            </w:r>
          </w:p>
        </w:tc>
        <w:tc>
          <w:tcPr>
            <w:tcW w:w="6110" w:type="dxa"/>
            <w:shd w:val="clear" w:color="auto" w:fill="auto"/>
          </w:tcPr>
          <w:p w14:paraId="21A5874D" w14:textId="77777777" w:rsidR="004A4A06" w:rsidRPr="006977E0" w:rsidRDefault="004A4A06" w:rsidP="003E14B7">
            <w:pPr>
              <w:jc w:val="both"/>
              <w:rPr>
                <w:rFonts w:eastAsia="Calibri"/>
                <w:sz w:val="24"/>
                <w:szCs w:val="24"/>
              </w:rPr>
            </w:pPr>
            <w:r w:rsidRPr="006977E0">
              <w:rPr>
                <w:rFonts w:eastAsia="Calibri"/>
                <w:sz w:val="24"/>
                <w:szCs w:val="24"/>
              </w:rPr>
              <w:t>Autorité des marchés financiers (AMF)</w:t>
            </w:r>
          </w:p>
        </w:tc>
        <w:tc>
          <w:tcPr>
            <w:tcW w:w="2435" w:type="dxa"/>
            <w:shd w:val="clear" w:color="auto" w:fill="auto"/>
          </w:tcPr>
          <w:p w14:paraId="66445E07" w14:textId="77777777" w:rsidR="004A4A06" w:rsidRPr="006977E0" w:rsidRDefault="004A4A06" w:rsidP="003E14B7">
            <w:pPr>
              <w:rPr>
                <w:rFonts w:eastAsia="Calibri"/>
                <w:sz w:val="24"/>
                <w:szCs w:val="24"/>
              </w:rPr>
            </w:pPr>
            <w:r w:rsidRPr="006977E0">
              <w:rPr>
                <w:rFonts w:eastAsia="Calibri"/>
                <w:sz w:val="24"/>
                <w:szCs w:val="24"/>
              </w:rPr>
              <w:t>Quebec, Canada</w:t>
            </w:r>
          </w:p>
        </w:tc>
      </w:tr>
      <w:tr w:rsidR="004A4A06" w:rsidRPr="006977E0" w14:paraId="13FCC09A" w14:textId="77777777" w:rsidTr="003E14B7">
        <w:tc>
          <w:tcPr>
            <w:tcW w:w="471" w:type="dxa"/>
            <w:shd w:val="clear" w:color="auto" w:fill="auto"/>
          </w:tcPr>
          <w:p w14:paraId="66F276AD" w14:textId="77777777" w:rsidR="004A4A06" w:rsidRPr="006977E0" w:rsidRDefault="004A4A06" w:rsidP="003E14B7">
            <w:pPr>
              <w:jc w:val="center"/>
              <w:rPr>
                <w:rFonts w:eastAsia="Calibri"/>
                <w:sz w:val="24"/>
                <w:szCs w:val="24"/>
              </w:rPr>
            </w:pPr>
            <w:r w:rsidRPr="006977E0">
              <w:rPr>
                <w:rFonts w:eastAsia="Calibri"/>
                <w:sz w:val="24"/>
                <w:szCs w:val="24"/>
              </w:rPr>
              <w:lastRenderedPageBreak/>
              <w:t>8</w:t>
            </w:r>
          </w:p>
        </w:tc>
        <w:tc>
          <w:tcPr>
            <w:tcW w:w="6110" w:type="dxa"/>
            <w:shd w:val="clear" w:color="auto" w:fill="auto"/>
          </w:tcPr>
          <w:p w14:paraId="7EBFB83D" w14:textId="77777777" w:rsidR="004A4A06" w:rsidRPr="006977E0" w:rsidRDefault="004A4A06" w:rsidP="003E14B7">
            <w:pPr>
              <w:jc w:val="both"/>
              <w:rPr>
                <w:rFonts w:eastAsia="Calibri"/>
                <w:sz w:val="24"/>
                <w:szCs w:val="24"/>
              </w:rPr>
            </w:pPr>
            <w:r w:rsidRPr="006977E0">
              <w:rPr>
                <w:rFonts w:eastAsia="Calibri"/>
                <w:sz w:val="24"/>
                <w:szCs w:val="24"/>
              </w:rPr>
              <w:t>Guernsey Financial Services Commission (GFSC)</w:t>
            </w:r>
          </w:p>
        </w:tc>
        <w:tc>
          <w:tcPr>
            <w:tcW w:w="2435" w:type="dxa"/>
            <w:shd w:val="clear" w:color="auto" w:fill="auto"/>
          </w:tcPr>
          <w:p w14:paraId="1C0C03DC" w14:textId="77777777" w:rsidR="004A4A06" w:rsidRPr="006977E0" w:rsidRDefault="004A4A06" w:rsidP="003E14B7">
            <w:pPr>
              <w:rPr>
                <w:rFonts w:eastAsia="Calibri"/>
                <w:sz w:val="24"/>
                <w:szCs w:val="24"/>
              </w:rPr>
            </w:pPr>
            <w:r w:rsidRPr="006977E0">
              <w:rPr>
                <w:rFonts w:eastAsia="Calibri"/>
                <w:sz w:val="24"/>
                <w:szCs w:val="24"/>
              </w:rPr>
              <w:t>Guernsey</w:t>
            </w:r>
          </w:p>
        </w:tc>
      </w:tr>
      <w:tr w:rsidR="004A4A06" w:rsidRPr="006977E0" w14:paraId="1491DD1E" w14:textId="77777777" w:rsidTr="003E14B7">
        <w:tc>
          <w:tcPr>
            <w:tcW w:w="471" w:type="dxa"/>
            <w:shd w:val="clear" w:color="auto" w:fill="auto"/>
          </w:tcPr>
          <w:p w14:paraId="627597D4" w14:textId="77777777" w:rsidR="004A4A06" w:rsidRPr="006977E0" w:rsidRDefault="004A4A06" w:rsidP="003E14B7">
            <w:pPr>
              <w:jc w:val="center"/>
              <w:rPr>
                <w:rFonts w:eastAsia="Calibri"/>
                <w:sz w:val="24"/>
                <w:szCs w:val="24"/>
              </w:rPr>
            </w:pPr>
            <w:r w:rsidRPr="006977E0">
              <w:rPr>
                <w:rFonts w:eastAsia="Calibri"/>
                <w:sz w:val="24"/>
                <w:szCs w:val="24"/>
              </w:rPr>
              <w:t>9</w:t>
            </w:r>
          </w:p>
        </w:tc>
        <w:tc>
          <w:tcPr>
            <w:tcW w:w="6110" w:type="dxa"/>
            <w:shd w:val="clear" w:color="auto" w:fill="auto"/>
          </w:tcPr>
          <w:p w14:paraId="544E8F95" w14:textId="77777777" w:rsidR="004A4A06" w:rsidRPr="006977E0" w:rsidRDefault="004A4A06" w:rsidP="003E14B7">
            <w:pPr>
              <w:jc w:val="both"/>
              <w:rPr>
                <w:rFonts w:eastAsia="Calibri"/>
                <w:sz w:val="24"/>
                <w:szCs w:val="24"/>
              </w:rPr>
            </w:pPr>
            <w:r w:rsidRPr="006977E0">
              <w:rPr>
                <w:rFonts w:eastAsia="Calibri"/>
                <w:sz w:val="24"/>
                <w:szCs w:val="24"/>
              </w:rPr>
              <w:t>Hong Kong Insurance Authority (IA)</w:t>
            </w:r>
          </w:p>
        </w:tc>
        <w:tc>
          <w:tcPr>
            <w:tcW w:w="2435" w:type="dxa"/>
            <w:shd w:val="clear" w:color="auto" w:fill="auto"/>
          </w:tcPr>
          <w:p w14:paraId="64E732B9" w14:textId="77777777" w:rsidR="004A4A06" w:rsidRPr="006977E0" w:rsidRDefault="004A4A06" w:rsidP="003E14B7">
            <w:pPr>
              <w:rPr>
                <w:rFonts w:eastAsia="Calibri"/>
                <w:sz w:val="24"/>
                <w:szCs w:val="24"/>
              </w:rPr>
            </w:pPr>
            <w:r w:rsidRPr="006977E0">
              <w:rPr>
                <w:rFonts w:eastAsia="Calibri"/>
                <w:sz w:val="24"/>
                <w:szCs w:val="24"/>
              </w:rPr>
              <w:t>Hong Kong</w:t>
            </w:r>
          </w:p>
        </w:tc>
      </w:tr>
      <w:tr w:rsidR="004A4A06" w:rsidRPr="006977E0" w14:paraId="6AC78B6C" w14:textId="77777777" w:rsidTr="003E14B7">
        <w:tc>
          <w:tcPr>
            <w:tcW w:w="471" w:type="dxa"/>
            <w:shd w:val="clear" w:color="auto" w:fill="auto"/>
          </w:tcPr>
          <w:p w14:paraId="3ADC8FAE" w14:textId="77777777" w:rsidR="004A4A06" w:rsidRPr="006977E0" w:rsidRDefault="004A4A06" w:rsidP="003E14B7">
            <w:pPr>
              <w:jc w:val="center"/>
              <w:rPr>
                <w:rFonts w:eastAsia="Calibri"/>
                <w:sz w:val="24"/>
                <w:szCs w:val="24"/>
              </w:rPr>
            </w:pPr>
            <w:r w:rsidRPr="006977E0">
              <w:rPr>
                <w:rFonts w:eastAsia="Calibri"/>
                <w:sz w:val="24"/>
                <w:szCs w:val="24"/>
              </w:rPr>
              <w:t>10</w:t>
            </w:r>
          </w:p>
        </w:tc>
        <w:tc>
          <w:tcPr>
            <w:tcW w:w="6110" w:type="dxa"/>
            <w:shd w:val="clear" w:color="auto" w:fill="auto"/>
          </w:tcPr>
          <w:p w14:paraId="3A80E080" w14:textId="77777777" w:rsidR="004A4A06" w:rsidRPr="006977E0" w:rsidRDefault="004A4A06" w:rsidP="003E14B7">
            <w:pPr>
              <w:jc w:val="both"/>
              <w:rPr>
                <w:rFonts w:eastAsia="Calibri"/>
                <w:sz w:val="24"/>
                <w:szCs w:val="24"/>
              </w:rPr>
            </w:pPr>
            <w:r w:rsidRPr="006977E0">
              <w:rPr>
                <w:rFonts w:eastAsia="Calibri"/>
                <w:sz w:val="24"/>
                <w:szCs w:val="24"/>
              </w:rPr>
              <w:t>Hong Kong Monetary Authority (HKMA)</w:t>
            </w:r>
          </w:p>
        </w:tc>
        <w:tc>
          <w:tcPr>
            <w:tcW w:w="2435" w:type="dxa"/>
            <w:shd w:val="clear" w:color="auto" w:fill="auto"/>
          </w:tcPr>
          <w:p w14:paraId="7D31639D" w14:textId="77777777" w:rsidR="004A4A06" w:rsidRPr="006977E0" w:rsidRDefault="004A4A06" w:rsidP="003E14B7">
            <w:pPr>
              <w:rPr>
                <w:rFonts w:eastAsia="Calibri"/>
                <w:sz w:val="24"/>
                <w:szCs w:val="24"/>
              </w:rPr>
            </w:pPr>
            <w:r w:rsidRPr="006977E0">
              <w:rPr>
                <w:rFonts w:eastAsia="Calibri"/>
                <w:sz w:val="24"/>
                <w:szCs w:val="24"/>
              </w:rPr>
              <w:t>Hong Kong</w:t>
            </w:r>
          </w:p>
        </w:tc>
      </w:tr>
      <w:tr w:rsidR="004A4A06" w:rsidRPr="006977E0" w14:paraId="2F43B489" w14:textId="77777777" w:rsidTr="003E14B7">
        <w:tc>
          <w:tcPr>
            <w:tcW w:w="471" w:type="dxa"/>
            <w:shd w:val="clear" w:color="auto" w:fill="auto"/>
          </w:tcPr>
          <w:p w14:paraId="043CA526" w14:textId="77777777" w:rsidR="004A4A06" w:rsidRPr="006977E0" w:rsidRDefault="004A4A06" w:rsidP="003E14B7">
            <w:pPr>
              <w:jc w:val="center"/>
              <w:rPr>
                <w:rFonts w:eastAsia="Calibri"/>
                <w:sz w:val="24"/>
                <w:szCs w:val="24"/>
              </w:rPr>
            </w:pPr>
            <w:r w:rsidRPr="006977E0">
              <w:rPr>
                <w:rFonts w:eastAsia="Calibri"/>
                <w:sz w:val="24"/>
                <w:szCs w:val="24"/>
              </w:rPr>
              <w:t>11</w:t>
            </w:r>
          </w:p>
        </w:tc>
        <w:tc>
          <w:tcPr>
            <w:tcW w:w="6110" w:type="dxa"/>
            <w:shd w:val="clear" w:color="auto" w:fill="auto"/>
          </w:tcPr>
          <w:p w14:paraId="25986079" w14:textId="77777777" w:rsidR="004A4A06" w:rsidRPr="006977E0" w:rsidRDefault="004A4A06" w:rsidP="003E14B7">
            <w:pPr>
              <w:jc w:val="both"/>
              <w:rPr>
                <w:rFonts w:eastAsia="Calibri"/>
                <w:sz w:val="24"/>
                <w:szCs w:val="24"/>
              </w:rPr>
            </w:pPr>
            <w:r w:rsidRPr="006977E0">
              <w:rPr>
                <w:rFonts w:eastAsia="Calibri"/>
                <w:sz w:val="24"/>
                <w:szCs w:val="24"/>
              </w:rPr>
              <w:t>Hong Kong Securities and Futures Commission (HKSFC)</w:t>
            </w:r>
          </w:p>
        </w:tc>
        <w:tc>
          <w:tcPr>
            <w:tcW w:w="2435" w:type="dxa"/>
            <w:shd w:val="clear" w:color="auto" w:fill="auto"/>
          </w:tcPr>
          <w:p w14:paraId="61B9C83D" w14:textId="77777777" w:rsidR="004A4A06" w:rsidRPr="006977E0" w:rsidRDefault="004A4A06" w:rsidP="003E14B7">
            <w:pPr>
              <w:rPr>
                <w:rFonts w:eastAsia="Calibri"/>
                <w:sz w:val="24"/>
                <w:szCs w:val="24"/>
              </w:rPr>
            </w:pPr>
            <w:r w:rsidRPr="006977E0">
              <w:rPr>
                <w:rFonts w:eastAsia="Calibri"/>
                <w:sz w:val="24"/>
                <w:szCs w:val="24"/>
              </w:rPr>
              <w:t>Hong Kong</w:t>
            </w:r>
          </w:p>
        </w:tc>
      </w:tr>
      <w:tr w:rsidR="004A4A06" w:rsidRPr="006977E0" w14:paraId="343C0A49" w14:textId="77777777" w:rsidTr="003E14B7">
        <w:tc>
          <w:tcPr>
            <w:tcW w:w="471" w:type="dxa"/>
            <w:shd w:val="clear" w:color="auto" w:fill="auto"/>
          </w:tcPr>
          <w:p w14:paraId="5371C695" w14:textId="77777777" w:rsidR="004A4A06" w:rsidRPr="006977E0" w:rsidRDefault="004A4A06" w:rsidP="003E14B7">
            <w:pPr>
              <w:jc w:val="center"/>
              <w:rPr>
                <w:rFonts w:eastAsia="Calibri"/>
                <w:sz w:val="24"/>
                <w:szCs w:val="24"/>
              </w:rPr>
            </w:pPr>
            <w:r w:rsidRPr="006977E0">
              <w:rPr>
                <w:rFonts w:eastAsia="Calibri"/>
                <w:sz w:val="24"/>
                <w:szCs w:val="24"/>
              </w:rPr>
              <w:t>12</w:t>
            </w:r>
          </w:p>
        </w:tc>
        <w:tc>
          <w:tcPr>
            <w:tcW w:w="6110" w:type="dxa"/>
            <w:shd w:val="clear" w:color="auto" w:fill="auto"/>
          </w:tcPr>
          <w:p w14:paraId="4EDC21A9" w14:textId="77777777" w:rsidR="004A4A06" w:rsidRPr="006977E0" w:rsidRDefault="004A4A06" w:rsidP="003E14B7">
            <w:pPr>
              <w:jc w:val="both"/>
              <w:rPr>
                <w:rFonts w:eastAsia="Calibri"/>
                <w:sz w:val="24"/>
                <w:szCs w:val="24"/>
              </w:rPr>
            </w:pPr>
            <w:r w:rsidRPr="006977E0">
              <w:rPr>
                <w:rFonts w:eastAsia="Calibri"/>
                <w:sz w:val="24"/>
                <w:szCs w:val="24"/>
              </w:rPr>
              <w:t>Magyar Nemzeti Bank (Central Bank of Hungary, MNB)</w:t>
            </w:r>
          </w:p>
        </w:tc>
        <w:tc>
          <w:tcPr>
            <w:tcW w:w="2435" w:type="dxa"/>
            <w:shd w:val="clear" w:color="auto" w:fill="auto"/>
          </w:tcPr>
          <w:p w14:paraId="6E0440EF" w14:textId="77777777" w:rsidR="004A4A06" w:rsidRPr="006977E0" w:rsidRDefault="004A4A06" w:rsidP="003E14B7">
            <w:pPr>
              <w:rPr>
                <w:rFonts w:eastAsia="Calibri"/>
                <w:sz w:val="24"/>
                <w:szCs w:val="24"/>
              </w:rPr>
            </w:pPr>
            <w:r w:rsidRPr="006977E0">
              <w:rPr>
                <w:rFonts w:eastAsia="Calibri"/>
                <w:sz w:val="24"/>
                <w:szCs w:val="24"/>
              </w:rPr>
              <w:t>Hungary</w:t>
            </w:r>
          </w:p>
        </w:tc>
      </w:tr>
      <w:tr w:rsidR="004A4A06" w:rsidRPr="006977E0" w14:paraId="6B589F67" w14:textId="77777777" w:rsidTr="003E14B7">
        <w:tc>
          <w:tcPr>
            <w:tcW w:w="471" w:type="dxa"/>
            <w:shd w:val="clear" w:color="auto" w:fill="auto"/>
          </w:tcPr>
          <w:p w14:paraId="7E6356ED" w14:textId="77777777" w:rsidR="004A4A06" w:rsidRPr="006977E0" w:rsidRDefault="004A4A06" w:rsidP="003E14B7">
            <w:pPr>
              <w:jc w:val="center"/>
              <w:rPr>
                <w:rFonts w:eastAsia="Calibri"/>
                <w:sz w:val="24"/>
                <w:szCs w:val="24"/>
              </w:rPr>
            </w:pPr>
            <w:r w:rsidRPr="006977E0">
              <w:rPr>
                <w:rFonts w:eastAsia="Calibri"/>
                <w:sz w:val="24"/>
                <w:szCs w:val="24"/>
              </w:rPr>
              <w:t>13</w:t>
            </w:r>
          </w:p>
        </w:tc>
        <w:tc>
          <w:tcPr>
            <w:tcW w:w="6110" w:type="dxa"/>
            <w:shd w:val="clear" w:color="auto" w:fill="auto"/>
          </w:tcPr>
          <w:p w14:paraId="440ABC15" w14:textId="77777777" w:rsidR="004A4A06" w:rsidRPr="006977E0" w:rsidRDefault="004A4A06" w:rsidP="003E14B7">
            <w:pPr>
              <w:jc w:val="both"/>
              <w:rPr>
                <w:rFonts w:eastAsia="Calibri"/>
                <w:sz w:val="24"/>
                <w:szCs w:val="24"/>
              </w:rPr>
            </w:pPr>
            <w:r w:rsidRPr="006977E0">
              <w:rPr>
                <w:rFonts w:eastAsia="Calibri"/>
                <w:sz w:val="24"/>
                <w:szCs w:val="24"/>
              </w:rPr>
              <w:t>Jersey Financial Services Commission (JFSC)</w:t>
            </w:r>
          </w:p>
        </w:tc>
        <w:tc>
          <w:tcPr>
            <w:tcW w:w="2435" w:type="dxa"/>
            <w:shd w:val="clear" w:color="auto" w:fill="auto"/>
          </w:tcPr>
          <w:p w14:paraId="6ADE4060" w14:textId="77777777" w:rsidR="004A4A06" w:rsidRPr="006977E0" w:rsidRDefault="004A4A06" w:rsidP="003E14B7">
            <w:pPr>
              <w:rPr>
                <w:rFonts w:eastAsia="Calibri"/>
                <w:sz w:val="24"/>
                <w:szCs w:val="24"/>
              </w:rPr>
            </w:pPr>
            <w:r w:rsidRPr="006977E0">
              <w:rPr>
                <w:rFonts w:eastAsia="Calibri"/>
                <w:sz w:val="24"/>
                <w:szCs w:val="24"/>
              </w:rPr>
              <w:t>Jersey</w:t>
            </w:r>
          </w:p>
        </w:tc>
      </w:tr>
      <w:tr w:rsidR="004A4A06" w:rsidRPr="006977E0" w14:paraId="69E44F3E" w14:textId="77777777" w:rsidTr="003E14B7">
        <w:tc>
          <w:tcPr>
            <w:tcW w:w="471" w:type="dxa"/>
            <w:shd w:val="clear" w:color="auto" w:fill="auto"/>
          </w:tcPr>
          <w:p w14:paraId="41E82E6D" w14:textId="77777777" w:rsidR="004A4A06" w:rsidRPr="006977E0" w:rsidRDefault="004A4A06" w:rsidP="003E14B7">
            <w:pPr>
              <w:jc w:val="center"/>
              <w:rPr>
                <w:rFonts w:eastAsia="Calibri"/>
                <w:sz w:val="24"/>
                <w:szCs w:val="24"/>
              </w:rPr>
            </w:pPr>
            <w:r w:rsidRPr="006977E0">
              <w:rPr>
                <w:rFonts w:eastAsia="Calibri"/>
                <w:sz w:val="24"/>
                <w:szCs w:val="24"/>
              </w:rPr>
              <w:t>14</w:t>
            </w:r>
          </w:p>
        </w:tc>
        <w:tc>
          <w:tcPr>
            <w:tcW w:w="6110" w:type="dxa"/>
            <w:shd w:val="clear" w:color="auto" w:fill="auto"/>
          </w:tcPr>
          <w:p w14:paraId="0349D6C1" w14:textId="77777777" w:rsidR="004A4A06" w:rsidRPr="006977E0" w:rsidRDefault="004A4A06" w:rsidP="003E14B7">
            <w:pPr>
              <w:jc w:val="both"/>
              <w:rPr>
                <w:rFonts w:eastAsia="Calibri"/>
                <w:sz w:val="24"/>
                <w:szCs w:val="24"/>
              </w:rPr>
            </w:pPr>
            <w:r w:rsidRPr="006977E0">
              <w:rPr>
                <w:rFonts w:eastAsia="Calibri"/>
                <w:sz w:val="24"/>
                <w:szCs w:val="24"/>
              </w:rPr>
              <w:t>Astana Financial Services Authority (AFSA)</w:t>
            </w:r>
          </w:p>
        </w:tc>
        <w:tc>
          <w:tcPr>
            <w:tcW w:w="2435" w:type="dxa"/>
            <w:shd w:val="clear" w:color="auto" w:fill="auto"/>
          </w:tcPr>
          <w:p w14:paraId="42C064B5" w14:textId="77777777" w:rsidR="004A4A06" w:rsidRPr="006977E0" w:rsidRDefault="004A4A06" w:rsidP="003E14B7">
            <w:pPr>
              <w:rPr>
                <w:rFonts w:eastAsia="Calibri"/>
                <w:sz w:val="24"/>
                <w:szCs w:val="24"/>
              </w:rPr>
            </w:pPr>
            <w:r w:rsidRPr="006977E0">
              <w:rPr>
                <w:rFonts w:eastAsia="Calibri"/>
                <w:sz w:val="24"/>
                <w:szCs w:val="24"/>
              </w:rPr>
              <w:t>Kazakhstan</w:t>
            </w:r>
          </w:p>
        </w:tc>
      </w:tr>
      <w:tr w:rsidR="004A4A06" w:rsidRPr="006977E0" w14:paraId="344C3FE7" w14:textId="77777777" w:rsidTr="003E14B7">
        <w:tc>
          <w:tcPr>
            <w:tcW w:w="471" w:type="dxa"/>
            <w:shd w:val="clear" w:color="auto" w:fill="auto"/>
          </w:tcPr>
          <w:p w14:paraId="76C0E60C" w14:textId="77777777" w:rsidR="004A4A06" w:rsidRPr="006977E0" w:rsidRDefault="004A4A06" w:rsidP="003E14B7">
            <w:pPr>
              <w:jc w:val="center"/>
              <w:rPr>
                <w:rFonts w:eastAsia="Calibri"/>
                <w:sz w:val="24"/>
                <w:szCs w:val="24"/>
              </w:rPr>
            </w:pPr>
            <w:r w:rsidRPr="006977E0">
              <w:rPr>
                <w:rFonts w:eastAsia="Calibri"/>
                <w:sz w:val="24"/>
                <w:szCs w:val="24"/>
              </w:rPr>
              <w:t>15</w:t>
            </w:r>
          </w:p>
        </w:tc>
        <w:tc>
          <w:tcPr>
            <w:tcW w:w="6110" w:type="dxa"/>
            <w:shd w:val="clear" w:color="auto" w:fill="auto"/>
          </w:tcPr>
          <w:p w14:paraId="6146431C" w14:textId="77777777" w:rsidR="004A4A06" w:rsidRPr="006977E0" w:rsidRDefault="004A4A06" w:rsidP="003E14B7">
            <w:pPr>
              <w:jc w:val="both"/>
              <w:rPr>
                <w:rFonts w:eastAsia="Calibri"/>
                <w:sz w:val="24"/>
                <w:szCs w:val="24"/>
              </w:rPr>
            </w:pPr>
            <w:r w:rsidRPr="006977E0">
              <w:rPr>
                <w:rFonts w:eastAsia="Calibri"/>
                <w:sz w:val="24"/>
                <w:szCs w:val="24"/>
              </w:rPr>
              <w:t>Capital Markets Authority (CMA, Kenya)</w:t>
            </w:r>
          </w:p>
        </w:tc>
        <w:tc>
          <w:tcPr>
            <w:tcW w:w="2435" w:type="dxa"/>
            <w:shd w:val="clear" w:color="auto" w:fill="auto"/>
          </w:tcPr>
          <w:p w14:paraId="5F89609D" w14:textId="77777777" w:rsidR="004A4A06" w:rsidRPr="006977E0" w:rsidRDefault="004A4A06" w:rsidP="003E14B7">
            <w:pPr>
              <w:rPr>
                <w:rFonts w:eastAsia="Calibri"/>
                <w:sz w:val="24"/>
                <w:szCs w:val="24"/>
              </w:rPr>
            </w:pPr>
            <w:r w:rsidRPr="006977E0">
              <w:rPr>
                <w:rFonts w:eastAsia="Calibri"/>
                <w:sz w:val="24"/>
                <w:szCs w:val="24"/>
              </w:rPr>
              <w:t>Kenya</w:t>
            </w:r>
          </w:p>
        </w:tc>
      </w:tr>
      <w:tr w:rsidR="004A4A06" w:rsidRPr="006977E0" w14:paraId="368475C7" w14:textId="77777777" w:rsidTr="003E14B7">
        <w:tc>
          <w:tcPr>
            <w:tcW w:w="471" w:type="dxa"/>
            <w:shd w:val="clear" w:color="auto" w:fill="auto"/>
          </w:tcPr>
          <w:p w14:paraId="6C3C44BA" w14:textId="77777777" w:rsidR="004A4A06" w:rsidRPr="006977E0" w:rsidRDefault="004A4A06" w:rsidP="003E14B7">
            <w:pPr>
              <w:jc w:val="center"/>
              <w:rPr>
                <w:rFonts w:eastAsia="Calibri"/>
                <w:sz w:val="24"/>
                <w:szCs w:val="24"/>
              </w:rPr>
            </w:pPr>
            <w:r w:rsidRPr="006977E0">
              <w:rPr>
                <w:rFonts w:eastAsia="Calibri"/>
                <w:sz w:val="24"/>
                <w:szCs w:val="24"/>
              </w:rPr>
              <w:t>16</w:t>
            </w:r>
          </w:p>
        </w:tc>
        <w:tc>
          <w:tcPr>
            <w:tcW w:w="6110" w:type="dxa"/>
            <w:shd w:val="clear" w:color="auto" w:fill="auto"/>
          </w:tcPr>
          <w:p w14:paraId="5F257C2B" w14:textId="77777777" w:rsidR="004A4A06" w:rsidRPr="006977E0" w:rsidRDefault="004A4A06" w:rsidP="003E14B7">
            <w:pPr>
              <w:jc w:val="both"/>
              <w:rPr>
                <w:rFonts w:eastAsia="Calibri"/>
                <w:sz w:val="24"/>
                <w:szCs w:val="24"/>
              </w:rPr>
            </w:pPr>
            <w:r w:rsidRPr="006977E0">
              <w:rPr>
                <w:rFonts w:eastAsia="Calibri"/>
                <w:sz w:val="24"/>
                <w:szCs w:val="24"/>
              </w:rPr>
              <w:t>Bank of Lithuania (LB)</w:t>
            </w:r>
          </w:p>
        </w:tc>
        <w:tc>
          <w:tcPr>
            <w:tcW w:w="2435" w:type="dxa"/>
            <w:shd w:val="clear" w:color="auto" w:fill="auto"/>
          </w:tcPr>
          <w:p w14:paraId="3C196D57" w14:textId="77777777" w:rsidR="004A4A06" w:rsidRPr="006977E0" w:rsidRDefault="004A4A06" w:rsidP="003E14B7">
            <w:pPr>
              <w:rPr>
                <w:rFonts w:eastAsia="Calibri"/>
                <w:sz w:val="24"/>
                <w:szCs w:val="24"/>
              </w:rPr>
            </w:pPr>
            <w:r w:rsidRPr="006977E0">
              <w:rPr>
                <w:rFonts w:eastAsia="Calibri"/>
                <w:sz w:val="24"/>
                <w:szCs w:val="24"/>
              </w:rPr>
              <w:t>Lithuania</w:t>
            </w:r>
          </w:p>
        </w:tc>
      </w:tr>
      <w:tr w:rsidR="004A4A06" w:rsidRPr="006977E0" w14:paraId="19E4E5EE" w14:textId="77777777" w:rsidTr="003E14B7">
        <w:tc>
          <w:tcPr>
            <w:tcW w:w="471" w:type="dxa"/>
            <w:shd w:val="clear" w:color="auto" w:fill="auto"/>
          </w:tcPr>
          <w:p w14:paraId="12A71E99" w14:textId="77777777" w:rsidR="004A4A06" w:rsidRPr="006977E0" w:rsidRDefault="004A4A06" w:rsidP="003E14B7">
            <w:pPr>
              <w:jc w:val="center"/>
              <w:rPr>
                <w:rFonts w:eastAsia="Calibri"/>
                <w:sz w:val="24"/>
                <w:szCs w:val="24"/>
              </w:rPr>
            </w:pPr>
            <w:r w:rsidRPr="006977E0">
              <w:rPr>
                <w:rFonts w:eastAsia="Calibri"/>
                <w:sz w:val="24"/>
                <w:szCs w:val="24"/>
              </w:rPr>
              <w:t>17</w:t>
            </w:r>
          </w:p>
        </w:tc>
        <w:tc>
          <w:tcPr>
            <w:tcW w:w="6110" w:type="dxa"/>
            <w:shd w:val="clear" w:color="auto" w:fill="auto"/>
          </w:tcPr>
          <w:p w14:paraId="304D9C1D" w14:textId="77777777" w:rsidR="004A4A06" w:rsidRPr="006977E0" w:rsidRDefault="004A4A06" w:rsidP="003E14B7">
            <w:pPr>
              <w:jc w:val="both"/>
              <w:rPr>
                <w:rFonts w:eastAsia="Calibri"/>
                <w:sz w:val="24"/>
                <w:szCs w:val="24"/>
              </w:rPr>
            </w:pPr>
            <w:r w:rsidRPr="006977E0">
              <w:rPr>
                <w:rFonts w:eastAsia="Calibri"/>
                <w:sz w:val="24"/>
                <w:szCs w:val="24"/>
              </w:rPr>
              <w:t>Monetary Authority of Singapore (MAS)</w:t>
            </w:r>
          </w:p>
        </w:tc>
        <w:tc>
          <w:tcPr>
            <w:tcW w:w="2435" w:type="dxa"/>
            <w:shd w:val="clear" w:color="auto" w:fill="auto"/>
          </w:tcPr>
          <w:p w14:paraId="2C6AD7C8" w14:textId="77777777" w:rsidR="004A4A06" w:rsidRPr="006977E0" w:rsidRDefault="004A4A06" w:rsidP="003E14B7">
            <w:pPr>
              <w:rPr>
                <w:rFonts w:eastAsia="Calibri"/>
                <w:sz w:val="24"/>
                <w:szCs w:val="24"/>
              </w:rPr>
            </w:pPr>
            <w:r w:rsidRPr="006977E0">
              <w:rPr>
                <w:rFonts w:eastAsia="Calibri"/>
                <w:sz w:val="24"/>
                <w:szCs w:val="24"/>
              </w:rPr>
              <w:t>Singapore</w:t>
            </w:r>
          </w:p>
        </w:tc>
      </w:tr>
      <w:tr w:rsidR="004A4A06" w:rsidRPr="006977E0" w14:paraId="19B3541E" w14:textId="77777777" w:rsidTr="003E14B7">
        <w:tc>
          <w:tcPr>
            <w:tcW w:w="471" w:type="dxa"/>
            <w:shd w:val="clear" w:color="auto" w:fill="auto"/>
          </w:tcPr>
          <w:p w14:paraId="7D559FDE" w14:textId="77777777" w:rsidR="004A4A06" w:rsidRPr="006977E0" w:rsidRDefault="004A4A06" w:rsidP="003E14B7">
            <w:pPr>
              <w:jc w:val="center"/>
              <w:rPr>
                <w:rFonts w:eastAsia="Calibri"/>
                <w:sz w:val="24"/>
                <w:szCs w:val="24"/>
              </w:rPr>
            </w:pPr>
            <w:r w:rsidRPr="006977E0">
              <w:rPr>
                <w:rFonts w:eastAsia="Calibri"/>
                <w:sz w:val="24"/>
                <w:szCs w:val="24"/>
              </w:rPr>
              <w:t>18</w:t>
            </w:r>
          </w:p>
        </w:tc>
        <w:tc>
          <w:tcPr>
            <w:tcW w:w="6110" w:type="dxa"/>
            <w:shd w:val="clear" w:color="auto" w:fill="auto"/>
          </w:tcPr>
          <w:p w14:paraId="58E301A1" w14:textId="77777777" w:rsidR="004A4A06" w:rsidRPr="006977E0" w:rsidRDefault="004A4A06" w:rsidP="003E14B7">
            <w:pPr>
              <w:jc w:val="both"/>
              <w:rPr>
                <w:rFonts w:eastAsia="Calibri"/>
                <w:sz w:val="24"/>
                <w:szCs w:val="24"/>
              </w:rPr>
            </w:pPr>
            <w:r w:rsidRPr="006977E0">
              <w:rPr>
                <w:rFonts w:eastAsia="Calibri"/>
                <w:sz w:val="24"/>
                <w:szCs w:val="24"/>
              </w:rPr>
              <w:t>Financial Services Commission Taiwan (FSC Taiwan)</w:t>
            </w:r>
          </w:p>
        </w:tc>
        <w:tc>
          <w:tcPr>
            <w:tcW w:w="2435" w:type="dxa"/>
            <w:shd w:val="clear" w:color="auto" w:fill="auto"/>
          </w:tcPr>
          <w:p w14:paraId="17C2729B" w14:textId="77777777" w:rsidR="004A4A06" w:rsidRPr="006977E0" w:rsidRDefault="004A4A06" w:rsidP="003E14B7">
            <w:pPr>
              <w:rPr>
                <w:rFonts w:eastAsia="Calibri"/>
                <w:sz w:val="24"/>
                <w:szCs w:val="24"/>
              </w:rPr>
            </w:pPr>
            <w:r w:rsidRPr="006977E0">
              <w:rPr>
                <w:rFonts w:eastAsia="Calibri"/>
                <w:sz w:val="24"/>
                <w:szCs w:val="24"/>
              </w:rPr>
              <w:t>Taiwan</w:t>
            </w:r>
          </w:p>
        </w:tc>
      </w:tr>
      <w:tr w:rsidR="004A4A06" w:rsidRPr="006977E0" w14:paraId="34E707AC" w14:textId="77777777" w:rsidTr="003E14B7">
        <w:tc>
          <w:tcPr>
            <w:tcW w:w="471" w:type="dxa"/>
            <w:shd w:val="clear" w:color="auto" w:fill="auto"/>
          </w:tcPr>
          <w:p w14:paraId="0FAEB208" w14:textId="77777777" w:rsidR="004A4A06" w:rsidRPr="006977E0" w:rsidRDefault="004A4A06" w:rsidP="003E14B7">
            <w:pPr>
              <w:jc w:val="center"/>
              <w:rPr>
                <w:rFonts w:eastAsia="Calibri"/>
                <w:sz w:val="24"/>
                <w:szCs w:val="24"/>
              </w:rPr>
            </w:pPr>
            <w:r w:rsidRPr="006977E0">
              <w:rPr>
                <w:rFonts w:eastAsia="Calibri"/>
                <w:sz w:val="24"/>
                <w:szCs w:val="24"/>
              </w:rPr>
              <w:t>19</w:t>
            </w:r>
          </w:p>
        </w:tc>
        <w:tc>
          <w:tcPr>
            <w:tcW w:w="6110" w:type="dxa"/>
            <w:shd w:val="clear" w:color="auto" w:fill="auto"/>
          </w:tcPr>
          <w:p w14:paraId="3BF09A0C" w14:textId="77777777" w:rsidR="004A4A06" w:rsidRPr="006977E0" w:rsidRDefault="004A4A06" w:rsidP="003E14B7">
            <w:pPr>
              <w:jc w:val="both"/>
              <w:rPr>
                <w:rFonts w:eastAsia="Calibri"/>
                <w:sz w:val="24"/>
                <w:szCs w:val="24"/>
              </w:rPr>
            </w:pPr>
            <w:r w:rsidRPr="006977E0">
              <w:rPr>
                <w:rFonts w:eastAsia="Calibri"/>
                <w:sz w:val="24"/>
                <w:szCs w:val="24"/>
              </w:rPr>
              <w:t>Abu Dhabi Global Market (ADGM)</w:t>
            </w:r>
          </w:p>
        </w:tc>
        <w:tc>
          <w:tcPr>
            <w:tcW w:w="2435" w:type="dxa"/>
            <w:shd w:val="clear" w:color="auto" w:fill="auto"/>
          </w:tcPr>
          <w:p w14:paraId="1852A098" w14:textId="77777777" w:rsidR="004A4A06" w:rsidRPr="006977E0" w:rsidRDefault="004A4A06" w:rsidP="003E14B7">
            <w:pPr>
              <w:rPr>
                <w:rFonts w:eastAsia="Calibri"/>
                <w:sz w:val="24"/>
                <w:szCs w:val="24"/>
              </w:rPr>
            </w:pPr>
            <w:r w:rsidRPr="006977E0">
              <w:rPr>
                <w:rFonts w:eastAsia="Calibri"/>
                <w:sz w:val="24"/>
                <w:szCs w:val="24"/>
              </w:rPr>
              <w:t xml:space="preserve">Abu Dhabi, </w:t>
            </w:r>
          </w:p>
          <w:p w14:paraId="34E79FB7" w14:textId="77777777" w:rsidR="004A4A06" w:rsidRPr="006977E0" w:rsidRDefault="004A4A06" w:rsidP="003E14B7">
            <w:pPr>
              <w:rPr>
                <w:rFonts w:eastAsia="Calibri"/>
                <w:sz w:val="24"/>
                <w:szCs w:val="24"/>
              </w:rPr>
            </w:pPr>
            <w:r w:rsidRPr="006977E0">
              <w:rPr>
                <w:rFonts w:eastAsia="Calibri"/>
                <w:sz w:val="24"/>
                <w:szCs w:val="24"/>
              </w:rPr>
              <w:t>United Arab Emirates</w:t>
            </w:r>
          </w:p>
        </w:tc>
      </w:tr>
      <w:tr w:rsidR="004A4A06" w:rsidRPr="006977E0" w14:paraId="710A0DF9" w14:textId="77777777" w:rsidTr="003E14B7">
        <w:tc>
          <w:tcPr>
            <w:tcW w:w="471" w:type="dxa"/>
            <w:shd w:val="clear" w:color="auto" w:fill="auto"/>
          </w:tcPr>
          <w:p w14:paraId="1E1E234F" w14:textId="77777777" w:rsidR="004A4A06" w:rsidRPr="006977E0" w:rsidRDefault="004A4A06" w:rsidP="003E14B7">
            <w:pPr>
              <w:jc w:val="center"/>
              <w:rPr>
                <w:rFonts w:eastAsia="Calibri"/>
                <w:sz w:val="24"/>
                <w:szCs w:val="24"/>
              </w:rPr>
            </w:pPr>
            <w:r w:rsidRPr="006977E0">
              <w:rPr>
                <w:rFonts w:eastAsia="Calibri"/>
                <w:sz w:val="24"/>
                <w:szCs w:val="24"/>
              </w:rPr>
              <w:t>20</w:t>
            </w:r>
          </w:p>
        </w:tc>
        <w:tc>
          <w:tcPr>
            <w:tcW w:w="6110" w:type="dxa"/>
            <w:shd w:val="clear" w:color="auto" w:fill="auto"/>
          </w:tcPr>
          <w:p w14:paraId="053D4EAA" w14:textId="77777777" w:rsidR="004A4A06" w:rsidRPr="006977E0" w:rsidRDefault="004A4A06" w:rsidP="003E14B7">
            <w:pPr>
              <w:jc w:val="both"/>
              <w:rPr>
                <w:rFonts w:eastAsia="Calibri"/>
                <w:sz w:val="24"/>
                <w:szCs w:val="24"/>
              </w:rPr>
            </w:pPr>
            <w:r w:rsidRPr="006977E0">
              <w:rPr>
                <w:rFonts w:eastAsia="Calibri"/>
                <w:sz w:val="24"/>
                <w:szCs w:val="24"/>
              </w:rPr>
              <w:t>Dubai Financial Services Authority (DFSA)</w:t>
            </w:r>
          </w:p>
        </w:tc>
        <w:tc>
          <w:tcPr>
            <w:tcW w:w="2435" w:type="dxa"/>
            <w:shd w:val="clear" w:color="auto" w:fill="auto"/>
          </w:tcPr>
          <w:p w14:paraId="1BFF95BE" w14:textId="77777777" w:rsidR="004A4A06" w:rsidRPr="006977E0" w:rsidRDefault="004A4A06" w:rsidP="003E14B7">
            <w:pPr>
              <w:rPr>
                <w:rFonts w:eastAsia="Calibri"/>
                <w:sz w:val="24"/>
                <w:szCs w:val="24"/>
              </w:rPr>
            </w:pPr>
            <w:r w:rsidRPr="006977E0">
              <w:rPr>
                <w:rFonts w:eastAsia="Calibri"/>
                <w:sz w:val="24"/>
                <w:szCs w:val="24"/>
              </w:rPr>
              <w:t xml:space="preserve">Dubai, </w:t>
            </w:r>
          </w:p>
          <w:p w14:paraId="37206687" w14:textId="77777777" w:rsidR="004A4A06" w:rsidRPr="006977E0" w:rsidRDefault="004A4A06" w:rsidP="003E14B7">
            <w:pPr>
              <w:rPr>
                <w:rFonts w:eastAsia="Calibri"/>
                <w:sz w:val="24"/>
                <w:szCs w:val="24"/>
              </w:rPr>
            </w:pPr>
            <w:r w:rsidRPr="006977E0">
              <w:rPr>
                <w:rFonts w:eastAsia="Calibri"/>
                <w:sz w:val="24"/>
                <w:szCs w:val="24"/>
              </w:rPr>
              <w:t>United Arab Emirates</w:t>
            </w:r>
          </w:p>
        </w:tc>
      </w:tr>
      <w:tr w:rsidR="004A4A06" w:rsidRPr="006977E0" w14:paraId="2FDF6926" w14:textId="77777777" w:rsidTr="003E14B7">
        <w:tc>
          <w:tcPr>
            <w:tcW w:w="471" w:type="dxa"/>
            <w:shd w:val="clear" w:color="auto" w:fill="auto"/>
          </w:tcPr>
          <w:p w14:paraId="29C70DDB" w14:textId="77777777" w:rsidR="004A4A06" w:rsidRPr="006977E0" w:rsidRDefault="004A4A06" w:rsidP="003E14B7">
            <w:pPr>
              <w:jc w:val="center"/>
              <w:rPr>
                <w:rFonts w:eastAsia="Calibri"/>
                <w:sz w:val="24"/>
                <w:szCs w:val="24"/>
              </w:rPr>
            </w:pPr>
            <w:r w:rsidRPr="006977E0">
              <w:rPr>
                <w:rFonts w:eastAsia="Calibri"/>
                <w:sz w:val="24"/>
                <w:szCs w:val="24"/>
              </w:rPr>
              <w:t>21</w:t>
            </w:r>
          </w:p>
        </w:tc>
        <w:tc>
          <w:tcPr>
            <w:tcW w:w="6110" w:type="dxa"/>
            <w:shd w:val="clear" w:color="auto" w:fill="auto"/>
          </w:tcPr>
          <w:p w14:paraId="546B62E6" w14:textId="77777777" w:rsidR="004A4A06" w:rsidRPr="006977E0" w:rsidRDefault="004A4A06" w:rsidP="003E14B7">
            <w:pPr>
              <w:jc w:val="both"/>
              <w:rPr>
                <w:rFonts w:eastAsia="Calibri"/>
                <w:sz w:val="24"/>
                <w:szCs w:val="24"/>
              </w:rPr>
            </w:pPr>
            <w:r w:rsidRPr="006977E0">
              <w:rPr>
                <w:rFonts w:eastAsia="Calibri"/>
                <w:sz w:val="24"/>
                <w:szCs w:val="24"/>
              </w:rPr>
              <w:t>Central Bank United Arab Emirates (CB UAE)</w:t>
            </w:r>
          </w:p>
        </w:tc>
        <w:tc>
          <w:tcPr>
            <w:tcW w:w="2435" w:type="dxa"/>
            <w:shd w:val="clear" w:color="auto" w:fill="auto"/>
          </w:tcPr>
          <w:p w14:paraId="36BDF150" w14:textId="77777777" w:rsidR="004A4A06" w:rsidRPr="006977E0" w:rsidRDefault="004A4A06" w:rsidP="003E14B7">
            <w:pPr>
              <w:rPr>
                <w:rFonts w:eastAsia="Calibri"/>
                <w:sz w:val="24"/>
                <w:szCs w:val="24"/>
              </w:rPr>
            </w:pPr>
            <w:r w:rsidRPr="006977E0">
              <w:rPr>
                <w:rFonts w:eastAsia="Calibri"/>
                <w:sz w:val="24"/>
                <w:szCs w:val="24"/>
              </w:rPr>
              <w:t>United Arab Emirates</w:t>
            </w:r>
          </w:p>
        </w:tc>
      </w:tr>
      <w:tr w:rsidR="004A4A06" w:rsidRPr="006977E0" w14:paraId="7F41B31D" w14:textId="77777777" w:rsidTr="003E14B7">
        <w:tc>
          <w:tcPr>
            <w:tcW w:w="471" w:type="dxa"/>
            <w:shd w:val="clear" w:color="auto" w:fill="auto"/>
          </w:tcPr>
          <w:p w14:paraId="28D19D8A" w14:textId="77777777" w:rsidR="004A4A06" w:rsidRPr="006977E0" w:rsidRDefault="004A4A06" w:rsidP="003E14B7">
            <w:pPr>
              <w:jc w:val="center"/>
              <w:rPr>
                <w:rFonts w:eastAsia="Calibri"/>
                <w:sz w:val="24"/>
                <w:szCs w:val="24"/>
              </w:rPr>
            </w:pPr>
            <w:r w:rsidRPr="006977E0">
              <w:rPr>
                <w:rFonts w:eastAsia="Calibri"/>
                <w:sz w:val="24"/>
                <w:szCs w:val="24"/>
              </w:rPr>
              <w:t>22</w:t>
            </w:r>
          </w:p>
        </w:tc>
        <w:tc>
          <w:tcPr>
            <w:tcW w:w="6110" w:type="dxa"/>
            <w:shd w:val="clear" w:color="auto" w:fill="auto"/>
          </w:tcPr>
          <w:p w14:paraId="0C957C98" w14:textId="77777777" w:rsidR="004A4A06" w:rsidRPr="006977E0" w:rsidRDefault="004A4A06" w:rsidP="003E14B7">
            <w:pPr>
              <w:jc w:val="both"/>
              <w:rPr>
                <w:rFonts w:eastAsia="Calibri"/>
                <w:sz w:val="24"/>
                <w:szCs w:val="24"/>
              </w:rPr>
            </w:pPr>
            <w:r w:rsidRPr="006977E0">
              <w:rPr>
                <w:rFonts w:eastAsia="Calibri"/>
                <w:sz w:val="24"/>
                <w:szCs w:val="24"/>
              </w:rPr>
              <w:t>Financial Conduct Authority (FCA)</w:t>
            </w:r>
          </w:p>
        </w:tc>
        <w:tc>
          <w:tcPr>
            <w:tcW w:w="2435" w:type="dxa"/>
            <w:shd w:val="clear" w:color="auto" w:fill="auto"/>
          </w:tcPr>
          <w:p w14:paraId="5DD9954E" w14:textId="77777777" w:rsidR="004A4A06" w:rsidRPr="006977E0" w:rsidRDefault="004A4A06" w:rsidP="003E14B7">
            <w:pPr>
              <w:rPr>
                <w:rFonts w:eastAsia="Calibri"/>
                <w:sz w:val="24"/>
                <w:szCs w:val="24"/>
              </w:rPr>
            </w:pPr>
            <w:r w:rsidRPr="006977E0">
              <w:rPr>
                <w:rFonts w:eastAsia="Calibri"/>
                <w:sz w:val="24"/>
                <w:szCs w:val="24"/>
              </w:rPr>
              <w:t>United Kingdom</w:t>
            </w:r>
          </w:p>
        </w:tc>
      </w:tr>
      <w:tr w:rsidR="004A4A06" w:rsidRPr="006977E0" w14:paraId="638956B3" w14:textId="77777777" w:rsidTr="003E14B7">
        <w:tc>
          <w:tcPr>
            <w:tcW w:w="471" w:type="dxa"/>
            <w:shd w:val="clear" w:color="auto" w:fill="auto"/>
          </w:tcPr>
          <w:p w14:paraId="16816150" w14:textId="77777777" w:rsidR="004A4A06" w:rsidRPr="006977E0" w:rsidRDefault="004A4A06" w:rsidP="003E14B7">
            <w:pPr>
              <w:jc w:val="center"/>
              <w:rPr>
                <w:rFonts w:eastAsia="Calibri"/>
                <w:sz w:val="24"/>
                <w:szCs w:val="24"/>
              </w:rPr>
            </w:pPr>
            <w:r w:rsidRPr="006977E0">
              <w:rPr>
                <w:rFonts w:eastAsia="Calibri"/>
                <w:sz w:val="24"/>
                <w:szCs w:val="24"/>
              </w:rPr>
              <w:t>23</w:t>
            </w:r>
          </w:p>
        </w:tc>
        <w:tc>
          <w:tcPr>
            <w:tcW w:w="6110" w:type="dxa"/>
            <w:shd w:val="clear" w:color="auto" w:fill="auto"/>
          </w:tcPr>
          <w:p w14:paraId="7C7F049D" w14:textId="77777777" w:rsidR="004A4A06" w:rsidRPr="006977E0" w:rsidRDefault="004A4A06" w:rsidP="003E14B7">
            <w:pPr>
              <w:jc w:val="both"/>
              <w:rPr>
                <w:rFonts w:eastAsia="Calibri"/>
                <w:sz w:val="24"/>
                <w:szCs w:val="24"/>
              </w:rPr>
            </w:pPr>
            <w:r w:rsidRPr="006977E0">
              <w:rPr>
                <w:rFonts w:eastAsia="Calibri"/>
                <w:sz w:val="24"/>
                <w:szCs w:val="24"/>
              </w:rPr>
              <w:t>Consumer Financial Protection Bureau (CFPB)</w:t>
            </w:r>
          </w:p>
        </w:tc>
        <w:tc>
          <w:tcPr>
            <w:tcW w:w="2435" w:type="dxa"/>
            <w:shd w:val="clear" w:color="auto" w:fill="auto"/>
          </w:tcPr>
          <w:p w14:paraId="2FE0F0F9" w14:textId="77777777" w:rsidR="004A4A06" w:rsidRPr="006977E0" w:rsidRDefault="004A4A06" w:rsidP="003E14B7">
            <w:pPr>
              <w:rPr>
                <w:rFonts w:eastAsia="Calibri"/>
                <w:sz w:val="24"/>
                <w:szCs w:val="24"/>
              </w:rPr>
            </w:pPr>
            <w:r w:rsidRPr="006977E0">
              <w:rPr>
                <w:rFonts w:eastAsia="Calibri"/>
                <w:sz w:val="24"/>
                <w:szCs w:val="24"/>
              </w:rPr>
              <w:t>United States of America</w:t>
            </w:r>
          </w:p>
        </w:tc>
      </w:tr>
    </w:tbl>
    <w:p w14:paraId="26CFED7E" w14:textId="77777777" w:rsidR="00363443" w:rsidRPr="00363443" w:rsidRDefault="00363443" w:rsidP="0097355F">
      <w:pPr>
        <w:autoSpaceDE w:val="0"/>
        <w:autoSpaceDN w:val="0"/>
        <w:adjustRightInd w:val="0"/>
        <w:rPr>
          <w:sz w:val="24"/>
          <w:szCs w:val="24"/>
        </w:rPr>
      </w:pPr>
    </w:p>
    <w:p w14:paraId="11D6B3CC" w14:textId="77777777" w:rsidR="0091340B" w:rsidRPr="00363443" w:rsidRDefault="0091340B" w:rsidP="0091340B">
      <w:pPr>
        <w:autoSpaceDE w:val="0"/>
        <w:autoSpaceDN w:val="0"/>
        <w:adjustRightInd w:val="0"/>
        <w:rPr>
          <w:sz w:val="24"/>
          <w:szCs w:val="24"/>
        </w:rPr>
      </w:pPr>
      <w:r w:rsidRPr="00363443">
        <w:rPr>
          <w:sz w:val="24"/>
          <w:szCs w:val="24"/>
        </w:rPr>
        <w:t>The mandate of the OSC is to provide protection to investors from unfair, improper or fraudulent practices, to foster fair and efficient capital markets and confidence in the capital markets, and to contribute to the stability of the financial system and the reduction of systemic risk. Investors are urged to check the registration of any persons or company offering an investment opportunity and to review the OSC investor materials available at http://www.osc.gov.on.ca.</w:t>
      </w:r>
    </w:p>
    <w:p w14:paraId="74BC5559" w14:textId="77777777" w:rsidR="006E09EC" w:rsidRPr="00363443" w:rsidRDefault="006E09EC" w:rsidP="008B764D">
      <w:pPr>
        <w:autoSpaceDE w:val="0"/>
        <w:autoSpaceDN w:val="0"/>
        <w:adjustRightInd w:val="0"/>
        <w:rPr>
          <w:sz w:val="24"/>
          <w:szCs w:val="24"/>
        </w:rPr>
      </w:pPr>
    </w:p>
    <w:p w14:paraId="78233908" w14:textId="77777777" w:rsidR="00360011" w:rsidRPr="00363443" w:rsidRDefault="00360011" w:rsidP="008B764D">
      <w:pPr>
        <w:autoSpaceDE w:val="0"/>
        <w:autoSpaceDN w:val="0"/>
        <w:adjustRightInd w:val="0"/>
        <w:rPr>
          <w:sz w:val="24"/>
          <w:szCs w:val="24"/>
          <w:shd w:val="clear" w:color="auto" w:fill="FFFFFF"/>
        </w:rPr>
      </w:pPr>
      <w:r w:rsidRPr="00363443">
        <w:rPr>
          <w:sz w:val="24"/>
          <w:szCs w:val="24"/>
          <w:shd w:val="clear" w:color="auto" w:fill="FFFFFF"/>
        </w:rPr>
        <w:t xml:space="preserve">The ASC is the regulatory agency responsible for administering the province's securities laws. It is entrusted to foster a fair and efficient capital market in Alberta and to protect investors.  As a member of the Canadian Securities Administrators, the ASC works to improve, coordinate and harmonize the regulation of Canada's capital markets. </w:t>
      </w:r>
    </w:p>
    <w:p w14:paraId="7A4FD1ED" w14:textId="77777777" w:rsidR="00360011" w:rsidRPr="00363443" w:rsidRDefault="00360011" w:rsidP="008B764D">
      <w:pPr>
        <w:autoSpaceDE w:val="0"/>
        <w:autoSpaceDN w:val="0"/>
        <w:adjustRightInd w:val="0"/>
        <w:rPr>
          <w:sz w:val="24"/>
          <w:szCs w:val="24"/>
        </w:rPr>
      </w:pPr>
    </w:p>
    <w:p w14:paraId="63357233" w14:textId="77777777" w:rsidR="0097355F" w:rsidRDefault="0097355F" w:rsidP="008B764D">
      <w:pPr>
        <w:autoSpaceDE w:val="0"/>
        <w:autoSpaceDN w:val="0"/>
        <w:adjustRightInd w:val="0"/>
        <w:rPr>
          <w:sz w:val="24"/>
          <w:szCs w:val="24"/>
          <w:shd w:val="clear" w:color="auto" w:fill="FFFFFF"/>
        </w:rPr>
      </w:pPr>
      <w:r w:rsidRPr="00363443">
        <w:rPr>
          <w:sz w:val="24"/>
          <w:szCs w:val="24"/>
          <w:shd w:val="clear" w:color="auto" w:fill="FFFFFF"/>
        </w:rPr>
        <w:t>The </w:t>
      </w:r>
      <w:r w:rsidR="00916EB2">
        <w:rPr>
          <w:rStyle w:val="Emphasis"/>
          <w:sz w:val="24"/>
          <w:szCs w:val="24"/>
          <w:shd w:val="clear" w:color="auto" w:fill="FFFFFF"/>
          <w:lang w:val="fr-FR"/>
        </w:rPr>
        <w:t>AMF</w:t>
      </w:r>
      <w:r w:rsidRPr="00363443">
        <w:rPr>
          <w:sz w:val="24"/>
          <w:szCs w:val="24"/>
          <w:shd w:val="clear" w:color="auto" w:fill="FFFFFF"/>
        </w:rPr>
        <w:t> is the regulatory and oversight body for Québec's financial sector.</w:t>
      </w:r>
    </w:p>
    <w:p w14:paraId="146AE72C" w14:textId="77777777" w:rsidR="00E74047" w:rsidRDefault="00E74047" w:rsidP="008B764D">
      <w:pPr>
        <w:autoSpaceDE w:val="0"/>
        <w:autoSpaceDN w:val="0"/>
        <w:adjustRightInd w:val="0"/>
        <w:rPr>
          <w:sz w:val="24"/>
          <w:szCs w:val="24"/>
          <w:shd w:val="clear" w:color="auto" w:fill="FFFFFF"/>
        </w:rPr>
      </w:pPr>
    </w:p>
    <w:p w14:paraId="643331E3" w14:textId="77777777" w:rsidR="00E74047" w:rsidRPr="00E74047" w:rsidRDefault="00E74047" w:rsidP="00E74047">
      <w:pPr>
        <w:pStyle w:val="NormalWeb"/>
        <w:shd w:val="clear" w:color="auto" w:fill="FFFFFF"/>
        <w:spacing w:before="0" w:beforeAutospacing="0"/>
        <w:rPr>
          <w:color w:val="333333"/>
          <w:lang w:val="en-US" w:eastAsia="en-US"/>
        </w:rPr>
      </w:pPr>
      <w:r w:rsidRPr="00E74047">
        <w:rPr>
          <w:shd w:val="clear" w:color="auto" w:fill="FFFFFF"/>
        </w:rPr>
        <w:t xml:space="preserve">The BCSC is </w:t>
      </w:r>
      <w:r w:rsidRPr="00E74047">
        <w:rPr>
          <w:color w:val="333333"/>
          <w:lang w:val="en-US" w:eastAsia="en-US"/>
        </w:rPr>
        <w:t>the independent provincial government agency responsible for regulating capital markets in British Columbia through the administration of the </w:t>
      </w:r>
      <w:r w:rsidRPr="00E74047">
        <w:rPr>
          <w:i/>
          <w:iCs/>
          <w:color w:val="333333"/>
          <w:lang w:val="en-US" w:eastAsia="en-US"/>
        </w:rPr>
        <w:t>Securities Act</w:t>
      </w:r>
      <w:r w:rsidRPr="00E74047">
        <w:rPr>
          <w:color w:val="333333"/>
          <w:lang w:val="en-US" w:eastAsia="en-US"/>
        </w:rPr>
        <w:t>. Our mission is to protect and promote the public interest by fostering:</w:t>
      </w:r>
    </w:p>
    <w:p w14:paraId="1B0DC66E" w14:textId="77777777" w:rsidR="00E74047" w:rsidRPr="00E74047" w:rsidRDefault="00E74047" w:rsidP="00E74047">
      <w:pPr>
        <w:numPr>
          <w:ilvl w:val="0"/>
          <w:numId w:val="9"/>
        </w:numPr>
        <w:rPr>
          <w:sz w:val="24"/>
          <w:szCs w:val="24"/>
        </w:rPr>
      </w:pPr>
      <w:r w:rsidRPr="00E74047">
        <w:rPr>
          <w:sz w:val="24"/>
          <w:szCs w:val="24"/>
        </w:rPr>
        <w:t>A securities market that is fair and warrants public confidence</w:t>
      </w:r>
    </w:p>
    <w:p w14:paraId="7A823230" w14:textId="77777777" w:rsidR="00E74047" w:rsidRDefault="00E74047" w:rsidP="00E74047">
      <w:pPr>
        <w:numPr>
          <w:ilvl w:val="0"/>
          <w:numId w:val="9"/>
        </w:numPr>
        <w:rPr>
          <w:sz w:val="24"/>
          <w:szCs w:val="24"/>
        </w:rPr>
      </w:pPr>
      <w:r w:rsidRPr="00E74047">
        <w:rPr>
          <w:sz w:val="24"/>
          <w:szCs w:val="24"/>
        </w:rPr>
        <w:t>A dynamic and competitive securities industry that provides investment opportunities and access to capital</w:t>
      </w:r>
    </w:p>
    <w:p w14:paraId="6FCC5F89" w14:textId="77777777" w:rsidR="00833D52" w:rsidRDefault="00833D52" w:rsidP="00833D52">
      <w:pPr>
        <w:rPr>
          <w:sz w:val="24"/>
          <w:szCs w:val="24"/>
        </w:rPr>
      </w:pPr>
    </w:p>
    <w:p w14:paraId="6FAFBAD5" w14:textId="1932D252" w:rsidR="00843BD3" w:rsidRDefault="00843BD3" w:rsidP="00833D52">
      <w:pPr>
        <w:pStyle w:val="NormalWeb"/>
        <w:shd w:val="clear" w:color="auto" w:fill="FEFEFD"/>
        <w:spacing w:before="0" w:beforeAutospacing="0" w:after="0" w:afterAutospacing="0"/>
      </w:pPr>
      <w:r>
        <w:t xml:space="preserve">Firms in British Columbia that are interested in participating in this initiative can also contact BCSC’s Fintech and Innovation Team (FIT) for further information at </w:t>
      </w:r>
      <w:hyperlink r:id="rId17" w:history="1">
        <w:r w:rsidRPr="001F1BB3">
          <w:rPr>
            <w:rStyle w:val="Hyperlink"/>
          </w:rPr>
          <w:t>fit@bcsc.bc.ca</w:t>
        </w:r>
      </w:hyperlink>
      <w:r>
        <w:t>.</w:t>
      </w:r>
    </w:p>
    <w:p w14:paraId="279AEB7E" w14:textId="77777777" w:rsidR="00843BD3" w:rsidRDefault="00843BD3" w:rsidP="00833D52">
      <w:pPr>
        <w:pStyle w:val="NormalWeb"/>
        <w:shd w:val="clear" w:color="auto" w:fill="FEFEFD"/>
        <w:spacing w:before="0" w:beforeAutospacing="0" w:after="0" w:afterAutospacing="0"/>
      </w:pPr>
    </w:p>
    <w:p w14:paraId="0E79ED9A" w14:textId="4DBB5AE5" w:rsidR="00833D52" w:rsidRPr="00833D52" w:rsidRDefault="00833D52" w:rsidP="00833D52">
      <w:pPr>
        <w:pStyle w:val="NormalWeb"/>
        <w:shd w:val="clear" w:color="auto" w:fill="FEFEFD"/>
        <w:spacing w:before="0" w:beforeAutospacing="0" w:after="0" w:afterAutospacing="0"/>
        <w:rPr>
          <w:color w:val="333333"/>
          <w:lang w:val="en-US" w:eastAsia="en-US"/>
        </w:rPr>
      </w:pPr>
      <w:r w:rsidRPr="00833D52">
        <w:rPr>
          <w:rStyle w:val="Emphasis"/>
          <w:color w:val="333333"/>
        </w:rPr>
        <w:lastRenderedPageBreak/>
        <w:t xml:space="preserve">Note: This news release was originally published by other members of the CSA on October </w:t>
      </w:r>
      <w:r w:rsidR="00104B6B">
        <w:rPr>
          <w:rStyle w:val="Emphasis"/>
          <w:color w:val="333333"/>
        </w:rPr>
        <w:t>29</w:t>
      </w:r>
      <w:r w:rsidRPr="00833D52">
        <w:rPr>
          <w:rStyle w:val="Emphasis"/>
          <w:color w:val="333333"/>
        </w:rPr>
        <w:t>, 2020. The BCSC, like other provincial government agencies, was restricted in its external communications during the B.C. election period. </w:t>
      </w:r>
    </w:p>
    <w:p w14:paraId="769CF6E6" w14:textId="77777777" w:rsidR="00833D52" w:rsidRPr="00E74047" w:rsidRDefault="00833D52" w:rsidP="00833D52">
      <w:pPr>
        <w:rPr>
          <w:sz w:val="24"/>
          <w:szCs w:val="24"/>
        </w:rPr>
      </w:pPr>
    </w:p>
    <w:p w14:paraId="0FC89506" w14:textId="77777777" w:rsidR="00DA5C07" w:rsidRDefault="00DA5C07" w:rsidP="00C716DE">
      <w:pPr>
        <w:autoSpaceDE w:val="0"/>
        <w:autoSpaceDN w:val="0"/>
        <w:adjustRightInd w:val="0"/>
        <w:rPr>
          <w:sz w:val="24"/>
          <w:szCs w:val="24"/>
        </w:rPr>
      </w:pPr>
    </w:p>
    <w:p w14:paraId="1D09BA5C" w14:textId="77777777" w:rsidR="00C716DE" w:rsidRPr="00A079BA" w:rsidRDefault="00C716DE">
      <w:pPr>
        <w:ind w:left="360"/>
        <w:jc w:val="center"/>
        <w:rPr>
          <w:sz w:val="24"/>
          <w:lang w:val="en-GB"/>
        </w:rPr>
      </w:pPr>
      <w:r w:rsidRPr="00A079BA">
        <w:rPr>
          <w:sz w:val="24"/>
          <w:lang w:val="en-GB"/>
        </w:rPr>
        <w:t>– 30 –</w:t>
      </w:r>
    </w:p>
    <w:p w14:paraId="193F1139" w14:textId="77777777" w:rsidR="00C716DE" w:rsidRPr="00A079BA" w:rsidRDefault="00C716DE" w:rsidP="00C716DE">
      <w:pPr>
        <w:rPr>
          <w:sz w:val="24"/>
          <w:lang w:val="en-GB"/>
        </w:rPr>
      </w:pPr>
    </w:p>
    <w:p w14:paraId="23847B38" w14:textId="77777777" w:rsidR="00C716DE" w:rsidRPr="00AC3279" w:rsidRDefault="00C716DE" w:rsidP="00C716DE">
      <w:pPr>
        <w:autoSpaceDE w:val="0"/>
        <w:autoSpaceDN w:val="0"/>
        <w:adjustRightInd w:val="0"/>
        <w:rPr>
          <w:b/>
          <w:sz w:val="24"/>
          <w:szCs w:val="24"/>
        </w:rPr>
      </w:pPr>
      <w:r w:rsidRPr="00AC3279">
        <w:rPr>
          <w:b/>
          <w:sz w:val="24"/>
          <w:szCs w:val="24"/>
        </w:rPr>
        <w:t xml:space="preserve">For </w:t>
      </w:r>
      <w:r w:rsidR="00CD53EE" w:rsidRPr="00AC3279">
        <w:rPr>
          <w:b/>
          <w:sz w:val="24"/>
          <w:szCs w:val="24"/>
        </w:rPr>
        <w:t xml:space="preserve">OSC </w:t>
      </w:r>
      <w:r w:rsidRPr="00AC3279">
        <w:rPr>
          <w:b/>
          <w:sz w:val="24"/>
          <w:szCs w:val="24"/>
        </w:rPr>
        <w:t xml:space="preserve">Media Inquiries: </w:t>
      </w:r>
      <w:r w:rsidRPr="00AC3279">
        <w:rPr>
          <w:b/>
          <w:sz w:val="24"/>
          <w:szCs w:val="24"/>
        </w:rPr>
        <w:tab/>
      </w:r>
    </w:p>
    <w:p w14:paraId="2C77E012" w14:textId="77777777" w:rsidR="00C716DE" w:rsidRPr="00504D61" w:rsidRDefault="00C716DE" w:rsidP="00C716DE">
      <w:pPr>
        <w:autoSpaceDE w:val="0"/>
        <w:autoSpaceDN w:val="0"/>
        <w:adjustRightInd w:val="0"/>
        <w:rPr>
          <w:sz w:val="24"/>
          <w:szCs w:val="24"/>
        </w:rPr>
      </w:pPr>
      <w:r w:rsidRPr="00504D61">
        <w:rPr>
          <w:sz w:val="24"/>
          <w:szCs w:val="24"/>
        </w:rPr>
        <w:t>media_inquiries@osc.gov.on.ca</w:t>
      </w:r>
    </w:p>
    <w:p w14:paraId="0DDBEC62" w14:textId="77777777" w:rsidR="00C716DE" w:rsidRDefault="00C716DE" w:rsidP="00C716DE">
      <w:pPr>
        <w:autoSpaceDE w:val="0"/>
        <w:autoSpaceDN w:val="0"/>
        <w:adjustRightInd w:val="0"/>
        <w:rPr>
          <w:sz w:val="24"/>
          <w:szCs w:val="24"/>
        </w:rPr>
      </w:pPr>
    </w:p>
    <w:p w14:paraId="490816E9" w14:textId="77777777" w:rsidR="0091340B" w:rsidRPr="00AC3279" w:rsidRDefault="0091340B" w:rsidP="00C716DE">
      <w:pPr>
        <w:autoSpaceDE w:val="0"/>
        <w:autoSpaceDN w:val="0"/>
        <w:adjustRightInd w:val="0"/>
        <w:rPr>
          <w:b/>
          <w:sz w:val="24"/>
          <w:szCs w:val="24"/>
        </w:rPr>
      </w:pPr>
      <w:r w:rsidRPr="00AC3279">
        <w:rPr>
          <w:b/>
          <w:sz w:val="24"/>
          <w:szCs w:val="24"/>
        </w:rPr>
        <w:t>For ASC Media Inquiries:</w:t>
      </w:r>
    </w:p>
    <w:p w14:paraId="5663C208" w14:textId="77777777" w:rsidR="009061BA" w:rsidRPr="000E672B" w:rsidRDefault="009061BA" w:rsidP="00C716DE">
      <w:pPr>
        <w:autoSpaceDE w:val="0"/>
        <w:autoSpaceDN w:val="0"/>
        <w:adjustRightInd w:val="0"/>
        <w:rPr>
          <w:sz w:val="24"/>
          <w:szCs w:val="24"/>
        </w:rPr>
      </w:pPr>
      <w:r w:rsidRPr="000E672B">
        <w:rPr>
          <w:sz w:val="24"/>
          <w:szCs w:val="24"/>
        </w:rPr>
        <w:t>Theresa Schroder</w:t>
      </w:r>
    </w:p>
    <w:p w14:paraId="4C17A17F" w14:textId="77777777" w:rsidR="009061BA" w:rsidRPr="000E672B" w:rsidRDefault="009061BA" w:rsidP="00C716DE">
      <w:pPr>
        <w:autoSpaceDE w:val="0"/>
        <w:autoSpaceDN w:val="0"/>
        <w:adjustRightInd w:val="0"/>
        <w:rPr>
          <w:sz w:val="24"/>
          <w:szCs w:val="24"/>
        </w:rPr>
      </w:pPr>
      <w:r w:rsidRPr="000E672B">
        <w:rPr>
          <w:sz w:val="24"/>
          <w:szCs w:val="24"/>
        </w:rPr>
        <w:t>587-830-4286</w:t>
      </w:r>
    </w:p>
    <w:p w14:paraId="419B50E4" w14:textId="77777777" w:rsidR="009061BA" w:rsidRPr="000E672B" w:rsidRDefault="00916EB2" w:rsidP="00C716DE">
      <w:pPr>
        <w:autoSpaceDE w:val="0"/>
        <w:autoSpaceDN w:val="0"/>
        <w:adjustRightInd w:val="0"/>
        <w:rPr>
          <w:sz w:val="24"/>
          <w:szCs w:val="24"/>
        </w:rPr>
      </w:pPr>
      <w:r w:rsidRPr="000E672B">
        <w:rPr>
          <w:sz w:val="24"/>
          <w:szCs w:val="24"/>
        </w:rPr>
        <w:t xml:space="preserve">Theresa.schroder@asc.ca </w:t>
      </w:r>
    </w:p>
    <w:p w14:paraId="7E7B06CD" w14:textId="77777777" w:rsidR="0091340B" w:rsidRPr="000E672B" w:rsidRDefault="0091340B" w:rsidP="00C716DE">
      <w:pPr>
        <w:autoSpaceDE w:val="0"/>
        <w:autoSpaceDN w:val="0"/>
        <w:adjustRightInd w:val="0"/>
        <w:rPr>
          <w:sz w:val="24"/>
          <w:szCs w:val="24"/>
          <w:highlight w:val="yellow"/>
        </w:rPr>
      </w:pPr>
    </w:p>
    <w:p w14:paraId="50C0EDB8" w14:textId="77777777" w:rsidR="0091340B" w:rsidRPr="000E672B" w:rsidRDefault="0091340B" w:rsidP="00C716DE">
      <w:pPr>
        <w:autoSpaceDE w:val="0"/>
        <w:autoSpaceDN w:val="0"/>
        <w:adjustRightInd w:val="0"/>
        <w:rPr>
          <w:b/>
          <w:sz w:val="24"/>
          <w:szCs w:val="24"/>
        </w:rPr>
      </w:pPr>
      <w:r w:rsidRPr="000E672B">
        <w:rPr>
          <w:b/>
          <w:sz w:val="24"/>
          <w:szCs w:val="24"/>
        </w:rPr>
        <w:t>For AMF Media Inquiries:</w:t>
      </w:r>
    </w:p>
    <w:p w14:paraId="146C8071" w14:textId="77777777" w:rsidR="000E672B" w:rsidRPr="000E672B" w:rsidRDefault="000E672B" w:rsidP="000E672B">
      <w:pPr>
        <w:rPr>
          <w:sz w:val="24"/>
          <w:szCs w:val="24"/>
          <w:lang w:eastAsia="en-US"/>
        </w:rPr>
      </w:pPr>
      <w:r w:rsidRPr="000E672B">
        <w:rPr>
          <w:sz w:val="24"/>
          <w:szCs w:val="24"/>
          <w:lang w:eastAsia="en-US"/>
        </w:rPr>
        <w:t>Sylvain Théberge</w:t>
      </w:r>
    </w:p>
    <w:p w14:paraId="2188254D" w14:textId="77777777" w:rsidR="000E672B" w:rsidRPr="000E672B" w:rsidRDefault="000E672B" w:rsidP="000E672B">
      <w:pPr>
        <w:rPr>
          <w:sz w:val="24"/>
          <w:szCs w:val="24"/>
          <w:lang w:eastAsia="en-US"/>
        </w:rPr>
      </w:pPr>
      <w:r w:rsidRPr="000E672B">
        <w:rPr>
          <w:sz w:val="24"/>
          <w:szCs w:val="24"/>
          <w:lang w:eastAsia="en-US"/>
        </w:rPr>
        <w:t>514-940-2176</w:t>
      </w:r>
    </w:p>
    <w:p w14:paraId="7F0BC1ED" w14:textId="77777777" w:rsidR="00E74047" w:rsidRDefault="0056066C" w:rsidP="003F104F">
      <w:pPr>
        <w:spacing w:line="480" w:lineRule="auto"/>
        <w:rPr>
          <w:sz w:val="24"/>
          <w:szCs w:val="24"/>
          <w:lang w:eastAsia="en-US"/>
        </w:rPr>
      </w:pPr>
      <w:hyperlink r:id="rId18" w:history="1">
        <w:r w:rsidR="000E672B" w:rsidRPr="000E672B">
          <w:rPr>
            <w:rStyle w:val="Hyperlink"/>
            <w:sz w:val="24"/>
            <w:szCs w:val="24"/>
            <w:lang w:eastAsia="en-US"/>
          </w:rPr>
          <w:t>sylvain.theberge@lautorite.qc.ca</w:t>
        </w:r>
      </w:hyperlink>
    </w:p>
    <w:p w14:paraId="011BA1D4" w14:textId="77777777" w:rsidR="00E74047" w:rsidRPr="00E74047" w:rsidRDefault="00E74047" w:rsidP="00E74047">
      <w:pPr>
        <w:autoSpaceDE w:val="0"/>
        <w:autoSpaceDN w:val="0"/>
        <w:adjustRightInd w:val="0"/>
        <w:rPr>
          <w:b/>
          <w:sz w:val="24"/>
          <w:szCs w:val="24"/>
        </w:rPr>
      </w:pPr>
      <w:r w:rsidRPr="00E74047">
        <w:rPr>
          <w:b/>
          <w:sz w:val="24"/>
          <w:szCs w:val="24"/>
        </w:rPr>
        <w:t>For BCSC Media Inquiries:</w:t>
      </w:r>
    </w:p>
    <w:p w14:paraId="1C1BF7E4" w14:textId="77777777" w:rsidR="00E74047" w:rsidRPr="00E74047" w:rsidRDefault="00E74047" w:rsidP="00E74047">
      <w:pPr>
        <w:rPr>
          <w:sz w:val="24"/>
          <w:szCs w:val="24"/>
        </w:rPr>
      </w:pPr>
      <w:r w:rsidRPr="00E74047">
        <w:rPr>
          <w:sz w:val="24"/>
          <w:szCs w:val="24"/>
        </w:rPr>
        <w:t>Elise Palmer</w:t>
      </w:r>
    </w:p>
    <w:p w14:paraId="7801B04E" w14:textId="77777777" w:rsidR="00E74047" w:rsidRPr="00E74047" w:rsidRDefault="00E74047" w:rsidP="00E74047">
      <w:pPr>
        <w:rPr>
          <w:sz w:val="24"/>
          <w:szCs w:val="24"/>
        </w:rPr>
      </w:pPr>
      <w:r w:rsidRPr="00E74047">
        <w:rPr>
          <w:sz w:val="24"/>
          <w:szCs w:val="24"/>
        </w:rPr>
        <w:t>604-899-6830</w:t>
      </w:r>
    </w:p>
    <w:p w14:paraId="73D59ACE" w14:textId="77777777" w:rsidR="00E74047" w:rsidRPr="003F104F" w:rsidRDefault="00E74047" w:rsidP="003F104F">
      <w:pPr>
        <w:spacing w:line="480" w:lineRule="auto"/>
        <w:rPr>
          <w:sz w:val="24"/>
          <w:szCs w:val="24"/>
          <w:lang w:eastAsia="en-US"/>
        </w:rPr>
      </w:pPr>
    </w:p>
    <w:sectPr w:rsidR="00E74047" w:rsidRPr="003F104F" w:rsidSect="00AD125E">
      <w:pgSz w:w="12240" w:h="15840" w:code="1"/>
      <w:pgMar w:top="1440" w:right="1440" w:bottom="1440" w:left="144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E83DF" w14:textId="77777777" w:rsidR="00CD25CD" w:rsidRDefault="00CD25CD">
      <w:r>
        <w:separator/>
      </w:r>
    </w:p>
  </w:endnote>
  <w:endnote w:type="continuationSeparator" w:id="0">
    <w:p w14:paraId="326B1F87" w14:textId="77777777" w:rsidR="00CD25CD" w:rsidRDefault="00CD2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LT Std 45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842B1" w14:textId="77777777" w:rsidR="00CD25CD" w:rsidRDefault="00CD25CD">
      <w:r>
        <w:separator/>
      </w:r>
    </w:p>
  </w:footnote>
  <w:footnote w:type="continuationSeparator" w:id="0">
    <w:p w14:paraId="06197AEA" w14:textId="77777777" w:rsidR="00CD25CD" w:rsidRDefault="00CD2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E75B4"/>
    <w:multiLevelType w:val="hybridMultilevel"/>
    <w:tmpl w:val="85907C0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Symbo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Symbo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70457"/>
    <w:multiLevelType w:val="hybridMultilevel"/>
    <w:tmpl w:val="9E92C43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3FE62D76"/>
    <w:multiLevelType w:val="hybridMultilevel"/>
    <w:tmpl w:val="6DEC6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A5689A"/>
    <w:multiLevelType w:val="multilevel"/>
    <w:tmpl w:val="5F5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91EF3"/>
    <w:multiLevelType w:val="hybridMultilevel"/>
    <w:tmpl w:val="C5303A2E"/>
    <w:lvl w:ilvl="0" w:tplc="70E6B560">
      <w:start w:val="1"/>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Symbo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Symbo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620D5C"/>
    <w:multiLevelType w:val="hybridMultilevel"/>
    <w:tmpl w:val="4A36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644662"/>
    <w:multiLevelType w:val="multilevel"/>
    <w:tmpl w:val="BC74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11B83"/>
    <w:multiLevelType w:val="hybridMultilevel"/>
    <w:tmpl w:val="EA0A189E"/>
    <w:lvl w:ilvl="0" w:tplc="70E6B560">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Symbo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Symbo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3B501A"/>
    <w:multiLevelType w:val="hybridMultilevel"/>
    <w:tmpl w:val="7BD2CD5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8"/>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51"/>
    <w:rsid w:val="00004074"/>
    <w:rsid w:val="000156ED"/>
    <w:rsid w:val="000204FB"/>
    <w:rsid w:val="00023D97"/>
    <w:rsid w:val="00024B09"/>
    <w:rsid w:val="00026A6D"/>
    <w:rsid w:val="00036269"/>
    <w:rsid w:val="00055567"/>
    <w:rsid w:val="000922AA"/>
    <w:rsid w:val="00096139"/>
    <w:rsid w:val="000A7EFB"/>
    <w:rsid w:val="000C4694"/>
    <w:rsid w:val="000C4CCE"/>
    <w:rsid w:val="000E3371"/>
    <w:rsid w:val="000E672B"/>
    <w:rsid w:val="00104B6B"/>
    <w:rsid w:val="00132FB6"/>
    <w:rsid w:val="00143E0D"/>
    <w:rsid w:val="001642DF"/>
    <w:rsid w:val="0019230E"/>
    <w:rsid w:val="001A222E"/>
    <w:rsid w:val="001A6E36"/>
    <w:rsid w:val="001C0ED2"/>
    <w:rsid w:val="001E1A38"/>
    <w:rsid w:val="001E481E"/>
    <w:rsid w:val="002111B7"/>
    <w:rsid w:val="00214BEE"/>
    <w:rsid w:val="0022589F"/>
    <w:rsid w:val="002358B3"/>
    <w:rsid w:val="00262BF9"/>
    <w:rsid w:val="00266747"/>
    <w:rsid w:val="00267723"/>
    <w:rsid w:val="00267808"/>
    <w:rsid w:val="00295EA7"/>
    <w:rsid w:val="002B0ADB"/>
    <w:rsid w:val="002B278D"/>
    <w:rsid w:val="002D174B"/>
    <w:rsid w:val="002D5BDE"/>
    <w:rsid w:val="002D6523"/>
    <w:rsid w:val="00346482"/>
    <w:rsid w:val="0034780D"/>
    <w:rsid w:val="003544C4"/>
    <w:rsid w:val="00354F1C"/>
    <w:rsid w:val="00360011"/>
    <w:rsid w:val="00363443"/>
    <w:rsid w:val="00364E5C"/>
    <w:rsid w:val="00381D0A"/>
    <w:rsid w:val="00383DF8"/>
    <w:rsid w:val="00386ABE"/>
    <w:rsid w:val="003A7129"/>
    <w:rsid w:val="003C165F"/>
    <w:rsid w:val="003E14B7"/>
    <w:rsid w:val="003F0128"/>
    <w:rsid w:val="003F104F"/>
    <w:rsid w:val="00426EAC"/>
    <w:rsid w:val="00443862"/>
    <w:rsid w:val="004454D3"/>
    <w:rsid w:val="00456665"/>
    <w:rsid w:val="00485B51"/>
    <w:rsid w:val="004950D9"/>
    <w:rsid w:val="00496E62"/>
    <w:rsid w:val="004A4A06"/>
    <w:rsid w:val="004A70C6"/>
    <w:rsid w:val="004A72A0"/>
    <w:rsid w:val="004D1DAC"/>
    <w:rsid w:val="004F73C4"/>
    <w:rsid w:val="005129C2"/>
    <w:rsid w:val="00534A9C"/>
    <w:rsid w:val="00541B01"/>
    <w:rsid w:val="0056066C"/>
    <w:rsid w:val="005775F5"/>
    <w:rsid w:val="0059078D"/>
    <w:rsid w:val="00596454"/>
    <w:rsid w:val="005B477B"/>
    <w:rsid w:val="005E27CB"/>
    <w:rsid w:val="005E45E5"/>
    <w:rsid w:val="00646F58"/>
    <w:rsid w:val="00652BA6"/>
    <w:rsid w:val="00672516"/>
    <w:rsid w:val="00684167"/>
    <w:rsid w:val="006977E0"/>
    <w:rsid w:val="006A03D0"/>
    <w:rsid w:val="006C7E66"/>
    <w:rsid w:val="006E09EC"/>
    <w:rsid w:val="006F5188"/>
    <w:rsid w:val="00704EEF"/>
    <w:rsid w:val="00716080"/>
    <w:rsid w:val="00760841"/>
    <w:rsid w:val="0076523C"/>
    <w:rsid w:val="00770407"/>
    <w:rsid w:val="00772D8B"/>
    <w:rsid w:val="00774647"/>
    <w:rsid w:val="007C3F2D"/>
    <w:rsid w:val="007C61F2"/>
    <w:rsid w:val="007E01DA"/>
    <w:rsid w:val="00800B5B"/>
    <w:rsid w:val="0081028E"/>
    <w:rsid w:val="008335CB"/>
    <w:rsid w:val="00833D52"/>
    <w:rsid w:val="008350F9"/>
    <w:rsid w:val="00843BD3"/>
    <w:rsid w:val="00843DFF"/>
    <w:rsid w:val="00882CAB"/>
    <w:rsid w:val="008950E8"/>
    <w:rsid w:val="008B764D"/>
    <w:rsid w:val="008C391C"/>
    <w:rsid w:val="008D3FE0"/>
    <w:rsid w:val="009061BA"/>
    <w:rsid w:val="0091340B"/>
    <w:rsid w:val="00913EEF"/>
    <w:rsid w:val="00916EB2"/>
    <w:rsid w:val="009228C3"/>
    <w:rsid w:val="009269C8"/>
    <w:rsid w:val="009271FE"/>
    <w:rsid w:val="00941F89"/>
    <w:rsid w:val="00955BC0"/>
    <w:rsid w:val="00956297"/>
    <w:rsid w:val="00961F22"/>
    <w:rsid w:val="00962F63"/>
    <w:rsid w:val="00964C7B"/>
    <w:rsid w:val="0097355F"/>
    <w:rsid w:val="0098000F"/>
    <w:rsid w:val="00985662"/>
    <w:rsid w:val="00985D86"/>
    <w:rsid w:val="00987D7D"/>
    <w:rsid w:val="009B2659"/>
    <w:rsid w:val="009B5C9B"/>
    <w:rsid w:val="009D7C4D"/>
    <w:rsid w:val="009E24D0"/>
    <w:rsid w:val="00A50A37"/>
    <w:rsid w:val="00A6389F"/>
    <w:rsid w:val="00A817A7"/>
    <w:rsid w:val="00A86FD6"/>
    <w:rsid w:val="00A972C4"/>
    <w:rsid w:val="00AB2E33"/>
    <w:rsid w:val="00AC3279"/>
    <w:rsid w:val="00AD125E"/>
    <w:rsid w:val="00AE19C5"/>
    <w:rsid w:val="00AF0EEB"/>
    <w:rsid w:val="00AF35EE"/>
    <w:rsid w:val="00AF6F20"/>
    <w:rsid w:val="00B060CB"/>
    <w:rsid w:val="00B11921"/>
    <w:rsid w:val="00B34B02"/>
    <w:rsid w:val="00B414A3"/>
    <w:rsid w:val="00B5303D"/>
    <w:rsid w:val="00B6379E"/>
    <w:rsid w:val="00B805DA"/>
    <w:rsid w:val="00BC0EA2"/>
    <w:rsid w:val="00BF24C0"/>
    <w:rsid w:val="00C5242E"/>
    <w:rsid w:val="00C716DE"/>
    <w:rsid w:val="00C80E89"/>
    <w:rsid w:val="00C8666A"/>
    <w:rsid w:val="00C97B2A"/>
    <w:rsid w:val="00CC4E90"/>
    <w:rsid w:val="00CD11F2"/>
    <w:rsid w:val="00CD25CD"/>
    <w:rsid w:val="00CD53EE"/>
    <w:rsid w:val="00D3629B"/>
    <w:rsid w:val="00D61C44"/>
    <w:rsid w:val="00D7036A"/>
    <w:rsid w:val="00D87389"/>
    <w:rsid w:val="00DA5C07"/>
    <w:rsid w:val="00DB31EC"/>
    <w:rsid w:val="00DD15A7"/>
    <w:rsid w:val="00DD62CC"/>
    <w:rsid w:val="00E04BD7"/>
    <w:rsid w:val="00E11956"/>
    <w:rsid w:val="00E15248"/>
    <w:rsid w:val="00E208FD"/>
    <w:rsid w:val="00E70CF8"/>
    <w:rsid w:val="00E74047"/>
    <w:rsid w:val="00E805DD"/>
    <w:rsid w:val="00E8739F"/>
    <w:rsid w:val="00EA5885"/>
    <w:rsid w:val="00ED60D9"/>
    <w:rsid w:val="00F104C0"/>
    <w:rsid w:val="00F136FA"/>
    <w:rsid w:val="00F22369"/>
    <w:rsid w:val="00F2680F"/>
    <w:rsid w:val="00F367FF"/>
    <w:rsid w:val="00F40190"/>
    <w:rsid w:val="00F613B5"/>
    <w:rsid w:val="00F66C5A"/>
    <w:rsid w:val="00F80B0A"/>
    <w:rsid w:val="00F83BC2"/>
    <w:rsid w:val="00F844DF"/>
    <w:rsid w:val="00FB67A8"/>
    <w:rsid w:val="00FE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155C9"/>
  <w15:chartTrackingRefBased/>
  <w15:docId w15:val="{8E535E12-6FAF-4F25-8783-6C925C44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eastAsia="en-CA"/>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rFonts w:ascii="Arial" w:hAnsi="Arial"/>
      <w:sz w:val="24"/>
    </w:rPr>
  </w:style>
  <w:style w:type="paragraph" w:styleId="Heading3">
    <w:name w:val="heading 3"/>
    <w:basedOn w:val="Normal"/>
    <w:next w:val="Normal"/>
    <w:qFormat/>
    <w:pPr>
      <w:keepNext/>
      <w:outlineLvl w:val="2"/>
    </w:pPr>
    <w:rPr>
      <w:rFonts w:ascii="Arial" w:hAnsi="Arial"/>
      <w:color w:val="000000"/>
      <w:sz w:val="24"/>
    </w:rPr>
  </w:style>
  <w:style w:type="paragraph" w:styleId="Heading4">
    <w:name w:val="heading 4"/>
    <w:basedOn w:val="Normal"/>
    <w:next w:val="Normal"/>
    <w:qFormat/>
    <w:pPr>
      <w:keepNext/>
      <w:jc w:val="center"/>
      <w:outlineLvl w:val="3"/>
    </w:pPr>
    <w:rPr>
      <w:rFonts w:ascii="Arial" w:hAnsi="Arial"/>
      <w:sz w:val="24"/>
    </w:rPr>
  </w:style>
  <w:style w:type="paragraph" w:styleId="Heading5">
    <w:name w:val="heading 5"/>
    <w:basedOn w:val="Normal"/>
    <w:next w:val="Normal"/>
    <w:qFormat/>
    <w:pPr>
      <w:keepNext/>
      <w:tabs>
        <w:tab w:val="left" w:pos="0"/>
        <w:tab w:val="left" w:pos="9810"/>
      </w:tabs>
      <w:outlineLvl w:val="4"/>
    </w:pPr>
    <w:rPr>
      <w:rFonts w:ascii="Arial" w:hAnsi="Arial"/>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hAnsi="Arial"/>
      <w:b/>
      <w:sz w:val="48"/>
    </w:rPr>
  </w:style>
  <w:style w:type="paragraph" w:customStyle="1" w:styleId="Centre">
    <w:name w:val="Centre"/>
    <w:basedOn w:val="Normal"/>
    <w:next w:val="Normal"/>
    <w:pPr>
      <w:spacing w:before="240"/>
      <w:jc w:val="center"/>
    </w:pPr>
    <w:rPr>
      <w:sz w:val="28"/>
      <w:lang w:val="en-GB"/>
    </w:rPr>
  </w:style>
  <w:style w:type="paragraph" w:styleId="BodyText">
    <w:name w:val="Body Text"/>
    <w:basedOn w:val="Normal"/>
    <w:rPr>
      <w:sz w:val="24"/>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paragraph" w:styleId="CommentSubject">
    <w:name w:val="annotation subject"/>
    <w:basedOn w:val="CommentText"/>
    <w:next w:val="CommentText"/>
    <w:semiHidden/>
    <w:rPr>
      <w:b/>
      <w:bCs/>
    </w:rPr>
  </w:style>
  <w:style w:type="character" w:customStyle="1" w:styleId="A0">
    <w:name w:val="A0"/>
    <w:uiPriority w:val="99"/>
    <w:rsid w:val="00A84870"/>
    <w:rPr>
      <w:rFonts w:cs="Univers LT Std 45 Light"/>
      <w:color w:val="000000"/>
      <w:sz w:val="20"/>
      <w:szCs w:val="20"/>
    </w:rPr>
  </w:style>
  <w:style w:type="paragraph" w:styleId="ListParagraph">
    <w:name w:val="List Paragraph"/>
    <w:basedOn w:val="Normal"/>
    <w:uiPriority w:val="34"/>
    <w:qFormat/>
    <w:rsid w:val="006E09EC"/>
    <w:pPr>
      <w:spacing w:after="120"/>
      <w:ind w:left="720"/>
      <w:contextualSpacing/>
    </w:pPr>
    <w:rPr>
      <w:rFonts w:ascii="Verdana" w:eastAsia="Calibri" w:hAnsi="Verdana"/>
      <w:sz w:val="21"/>
      <w:szCs w:val="22"/>
      <w:lang w:eastAsia="zh-TW"/>
    </w:rPr>
  </w:style>
  <w:style w:type="character" w:customStyle="1" w:styleId="UnresolvedMention">
    <w:name w:val="Unresolved Mention"/>
    <w:uiPriority w:val="99"/>
    <w:semiHidden/>
    <w:unhideWhenUsed/>
    <w:rsid w:val="00961F22"/>
    <w:rPr>
      <w:color w:val="808080"/>
      <w:shd w:val="clear" w:color="auto" w:fill="E6E6E6"/>
    </w:rPr>
  </w:style>
  <w:style w:type="character" w:styleId="FollowedHyperlink">
    <w:name w:val="FollowedHyperlink"/>
    <w:rsid w:val="00E70CF8"/>
    <w:rPr>
      <w:color w:val="954F72"/>
      <w:u w:val="single"/>
    </w:rPr>
  </w:style>
  <w:style w:type="paragraph" w:styleId="NormalWeb">
    <w:name w:val="Normal (Web)"/>
    <w:basedOn w:val="Normal"/>
    <w:uiPriority w:val="99"/>
    <w:unhideWhenUsed/>
    <w:rsid w:val="0097355F"/>
    <w:pPr>
      <w:spacing w:before="100" w:beforeAutospacing="1" w:after="100" w:afterAutospacing="1"/>
    </w:pPr>
    <w:rPr>
      <w:sz w:val="24"/>
      <w:szCs w:val="24"/>
    </w:rPr>
  </w:style>
  <w:style w:type="character" w:styleId="Emphasis">
    <w:name w:val="Emphasis"/>
    <w:uiPriority w:val="20"/>
    <w:qFormat/>
    <w:rsid w:val="0097355F"/>
    <w:rPr>
      <w:i/>
      <w:iCs/>
    </w:rPr>
  </w:style>
  <w:style w:type="paragraph" w:styleId="Revision">
    <w:name w:val="Revision"/>
    <w:hidden/>
    <w:rsid w:val="00DD62CC"/>
    <w:rPr>
      <w:lang w:val="en-CA" w:eastAsia="en-CA"/>
    </w:rPr>
  </w:style>
  <w:style w:type="table" w:styleId="TableGrid">
    <w:name w:val="Table Grid"/>
    <w:basedOn w:val="TableNormal"/>
    <w:uiPriority w:val="39"/>
    <w:rsid w:val="00363443"/>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uiPriority w:val="99"/>
    <w:semiHidden/>
    <w:rsid w:val="00363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7677">
      <w:bodyDiv w:val="1"/>
      <w:marLeft w:val="0"/>
      <w:marRight w:val="0"/>
      <w:marTop w:val="0"/>
      <w:marBottom w:val="0"/>
      <w:divBdr>
        <w:top w:val="none" w:sz="0" w:space="0" w:color="auto"/>
        <w:left w:val="none" w:sz="0" w:space="0" w:color="auto"/>
        <w:bottom w:val="none" w:sz="0" w:space="0" w:color="auto"/>
        <w:right w:val="none" w:sz="0" w:space="0" w:color="auto"/>
      </w:divBdr>
    </w:div>
    <w:div w:id="260767975">
      <w:bodyDiv w:val="1"/>
      <w:marLeft w:val="0"/>
      <w:marRight w:val="0"/>
      <w:marTop w:val="0"/>
      <w:marBottom w:val="0"/>
      <w:divBdr>
        <w:top w:val="none" w:sz="0" w:space="0" w:color="auto"/>
        <w:left w:val="none" w:sz="0" w:space="0" w:color="auto"/>
        <w:bottom w:val="none" w:sz="0" w:space="0" w:color="auto"/>
        <w:right w:val="none" w:sz="0" w:space="0" w:color="auto"/>
      </w:divBdr>
    </w:div>
    <w:div w:id="261501474">
      <w:bodyDiv w:val="1"/>
      <w:marLeft w:val="0"/>
      <w:marRight w:val="0"/>
      <w:marTop w:val="0"/>
      <w:marBottom w:val="0"/>
      <w:divBdr>
        <w:top w:val="none" w:sz="0" w:space="0" w:color="auto"/>
        <w:left w:val="none" w:sz="0" w:space="0" w:color="auto"/>
        <w:bottom w:val="none" w:sz="0" w:space="0" w:color="auto"/>
        <w:right w:val="none" w:sz="0" w:space="0" w:color="auto"/>
      </w:divBdr>
      <w:divsChild>
        <w:div w:id="888154282">
          <w:marLeft w:val="0"/>
          <w:marRight w:val="0"/>
          <w:marTop w:val="0"/>
          <w:marBottom w:val="0"/>
          <w:divBdr>
            <w:top w:val="none" w:sz="0" w:space="0" w:color="auto"/>
            <w:left w:val="none" w:sz="0" w:space="0" w:color="auto"/>
            <w:bottom w:val="none" w:sz="0" w:space="0" w:color="auto"/>
            <w:right w:val="none" w:sz="0" w:space="0" w:color="auto"/>
          </w:divBdr>
          <w:divsChild>
            <w:div w:id="1667055718">
              <w:marLeft w:val="0"/>
              <w:marRight w:val="0"/>
              <w:marTop w:val="0"/>
              <w:marBottom w:val="0"/>
              <w:divBdr>
                <w:top w:val="none" w:sz="0" w:space="0" w:color="auto"/>
                <w:left w:val="single" w:sz="4" w:space="0" w:color="BCBCBC"/>
                <w:bottom w:val="none" w:sz="0" w:space="0" w:color="auto"/>
                <w:right w:val="single" w:sz="4" w:space="0" w:color="BCBCBC"/>
              </w:divBdr>
              <w:divsChild>
                <w:div w:id="1089083686">
                  <w:marLeft w:val="-12"/>
                  <w:marRight w:val="-12"/>
                  <w:marTop w:val="12"/>
                  <w:marBottom w:val="0"/>
                  <w:divBdr>
                    <w:top w:val="none" w:sz="0" w:space="0" w:color="auto"/>
                    <w:left w:val="none" w:sz="0" w:space="0" w:color="auto"/>
                    <w:bottom w:val="none" w:sz="0" w:space="0" w:color="auto"/>
                    <w:right w:val="none" w:sz="0" w:space="0" w:color="auto"/>
                  </w:divBdr>
                  <w:divsChild>
                    <w:div w:id="451094629">
                      <w:marLeft w:val="0"/>
                      <w:marRight w:val="0"/>
                      <w:marTop w:val="0"/>
                      <w:marBottom w:val="0"/>
                      <w:divBdr>
                        <w:top w:val="none" w:sz="0" w:space="0" w:color="auto"/>
                        <w:left w:val="none" w:sz="0" w:space="0" w:color="auto"/>
                        <w:bottom w:val="none" w:sz="0" w:space="0" w:color="auto"/>
                        <w:right w:val="none" w:sz="0" w:space="0" w:color="auto"/>
                      </w:divBdr>
                      <w:divsChild>
                        <w:div w:id="1679192673">
                          <w:marLeft w:val="0"/>
                          <w:marRight w:val="0"/>
                          <w:marTop w:val="0"/>
                          <w:marBottom w:val="0"/>
                          <w:divBdr>
                            <w:top w:val="none" w:sz="0" w:space="0" w:color="auto"/>
                            <w:left w:val="none" w:sz="0" w:space="0" w:color="auto"/>
                            <w:bottom w:val="none" w:sz="0" w:space="0" w:color="auto"/>
                            <w:right w:val="none" w:sz="0" w:space="0" w:color="auto"/>
                          </w:divBdr>
                          <w:divsChild>
                            <w:div w:id="349138661">
                              <w:marLeft w:val="384"/>
                              <w:marRight w:val="19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38958">
      <w:bodyDiv w:val="1"/>
      <w:marLeft w:val="0"/>
      <w:marRight w:val="0"/>
      <w:marTop w:val="0"/>
      <w:marBottom w:val="0"/>
      <w:divBdr>
        <w:top w:val="none" w:sz="0" w:space="0" w:color="auto"/>
        <w:left w:val="none" w:sz="0" w:space="0" w:color="auto"/>
        <w:bottom w:val="none" w:sz="0" w:space="0" w:color="auto"/>
        <w:right w:val="none" w:sz="0" w:space="0" w:color="auto"/>
      </w:divBdr>
    </w:div>
    <w:div w:id="426779826">
      <w:bodyDiv w:val="1"/>
      <w:marLeft w:val="0"/>
      <w:marRight w:val="0"/>
      <w:marTop w:val="0"/>
      <w:marBottom w:val="0"/>
      <w:divBdr>
        <w:top w:val="none" w:sz="0" w:space="0" w:color="auto"/>
        <w:left w:val="none" w:sz="0" w:space="0" w:color="auto"/>
        <w:bottom w:val="none" w:sz="0" w:space="0" w:color="auto"/>
        <w:right w:val="none" w:sz="0" w:space="0" w:color="auto"/>
      </w:divBdr>
    </w:div>
    <w:div w:id="482088843">
      <w:bodyDiv w:val="1"/>
      <w:marLeft w:val="0"/>
      <w:marRight w:val="0"/>
      <w:marTop w:val="0"/>
      <w:marBottom w:val="0"/>
      <w:divBdr>
        <w:top w:val="none" w:sz="0" w:space="0" w:color="auto"/>
        <w:left w:val="none" w:sz="0" w:space="0" w:color="auto"/>
        <w:bottom w:val="none" w:sz="0" w:space="0" w:color="auto"/>
        <w:right w:val="none" w:sz="0" w:space="0" w:color="auto"/>
      </w:divBdr>
    </w:div>
    <w:div w:id="1056315929">
      <w:bodyDiv w:val="1"/>
      <w:marLeft w:val="0"/>
      <w:marRight w:val="0"/>
      <w:marTop w:val="0"/>
      <w:marBottom w:val="0"/>
      <w:divBdr>
        <w:top w:val="none" w:sz="0" w:space="0" w:color="auto"/>
        <w:left w:val="none" w:sz="0" w:space="0" w:color="auto"/>
        <w:bottom w:val="none" w:sz="0" w:space="0" w:color="auto"/>
        <w:right w:val="none" w:sz="0" w:space="0" w:color="auto"/>
      </w:divBdr>
    </w:div>
    <w:div w:id="1536774668">
      <w:bodyDiv w:val="1"/>
      <w:marLeft w:val="0"/>
      <w:marRight w:val="0"/>
      <w:marTop w:val="0"/>
      <w:marBottom w:val="0"/>
      <w:divBdr>
        <w:top w:val="none" w:sz="0" w:space="0" w:color="auto"/>
        <w:left w:val="none" w:sz="0" w:space="0" w:color="auto"/>
        <w:bottom w:val="none" w:sz="0" w:space="0" w:color="auto"/>
        <w:right w:val="none" w:sz="0" w:space="0" w:color="auto"/>
      </w:divBdr>
    </w:div>
    <w:div w:id="1540052596">
      <w:bodyDiv w:val="1"/>
      <w:marLeft w:val="0"/>
      <w:marRight w:val="0"/>
      <w:marTop w:val="0"/>
      <w:marBottom w:val="0"/>
      <w:divBdr>
        <w:top w:val="none" w:sz="0" w:space="0" w:color="auto"/>
        <w:left w:val="none" w:sz="0" w:space="0" w:color="auto"/>
        <w:bottom w:val="none" w:sz="0" w:space="0" w:color="auto"/>
        <w:right w:val="none" w:sz="0" w:space="0" w:color="auto"/>
      </w:divBdr>
      <w:divsChild>
        <w:div w:id="2140762369">
          <w:marLeft w:val="0"/>
          <w:marRight w:val="0"/>
          <w:marTop w:val="0"/>
          <w:marBottom w:val="0"/>
          <w:divBdr>
            <w:top w:val="none" w:sz="0" w:space="0" w:color="auto"/>
            <w:left w:val="none" w:sz="0" w:space="0" w:color="auto"/>
            <w:bottom w:val="none" w:sz="0" w:space="0" w:color="auto"/>
            <w:right w:val="none" w:sz="0" w:space="0" w:color="auto"/>
          </w:divBdr>
          <w:divsChild>
            <w:div w:id="2131973730">
              <w:marLeft w:val="0"/>
              <w:marRight w:val="0"/>
              <w:marTop w:val="0"/>
              <w:marBottom w:val="0"/>
              <w:divBdr>
                <w:top w:val="none" w:sz="0" w:space="0" w:color="auto"/>
                <w:left w:val="single" w:sz="4" w:space="0" w:color="BCBCBC"/>
                <w:bottom w:val="none" w:sz="0" w:space="0" w:color="auto"/>
                <w:right w:val="single" w:sz="4" w:space="0" w:color="BCBCBC"/>
              </w:divBdr>
              <w:divsChild>
                <w:div w:id="791291716">
                  <w:marLeft w:val="-12"/>
                  <w:marRight w:val="-12"/>
                  <w:marTop w:val="12"/>
                  <w:marBottom w:val="0"/>
                  <w:divBdr>
                    <w:top w:val="none" w:sz="0" w:space="0" w:color="auto"/>
                    <w:left w:val="none" w:sz="0" w:space="0" w:color="auto"/>
                    <w:bottom w:val="none" w:sz="0" w:space="0" w:color="auto"/>
                    <w:right w:val="none" w:sz="0" w:space="0" w:color="auto"/>
                  </w:divBdr>
                  <w:divsChild>
                    <w:div w:id="818303914">
                      <w:marLeft w:val="0"/>
                      <w:marRight w:val="0"/>
                      <w:marTop w:val="0"/>
                      <w:marBottom w:val="0"/>
                      <w:divBdr>
                        <w:top w:val="none" w:sz="0" w:space="0" w:color="auto"/>
                        <w:left w:val="none" w:sz="0" w:space="0" w:color="auto"/>
                        <w:bottom w:val="none" w:sz="0" w:space="0" w:color="auto"/>
                        <w:right w:val="none" w:sz="0" w:space="0" w:color="auto"/>
                      </w:divBdr>
                      <w:divsChild>
                        <w:div w:id="2016835080">
                          <w:marLeft w:val="0"/>
                          <w:marRight w:val="0"/>
                          <w:marTop w:val="0"/>
                          <w:marBottom w:val="0"/>
                          <w:divBdr>
                            <w:top w:val="none" w:sz="0" w:space="0" w:color="auto"/>
                            <w:left w:val="none" w:sz="0" w:space="0" w:color="auto"/>
                            <w:bottom w:val="none" w:sz="0" w:space="0" w:color="auto"/>
                            <w:right w:val="none" w:sz="0" w:space="0" w:color="auto"/>
                          </w:divBdr>
                          <w:divsChild>
                            <w:div w:id="2116556191">
                              <w:marLeft w:val="384"/>
                              <w:marRight w:val="19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065260">
      <w:bodyDiv w:val="1"/>
      <w:marLeft w:val="0"/>
      <w:marRight w:val="0"/>
      <w:marTop w:val="0"/>
      <w:marBottom w:val="0"/>
      <w:divBdr>
        <w:top w:val="none" w:sz="0" w:space="0" w:color="auto"/>
        <w:left w:val="none" w:sz="0" w:space="0" w:color="auto"/>
        <w:bottom w:val="none" w:sz="0" w:space="0" w:color="auto"/>
        <w:right w:val="none" w:sz="0" w:space="0" w:color="auto"/>
      </w:divBdr>
    </w:div>
    <w:div w:id="1705405060">
      <w:bodyDiv w:val="1"/>
      <w:marLeft w:val="0"/>
      <w:marRight w:val="0"/>
      <w:marTop w:val="0"/>
      <w:marBottom w:val="0"/>
      <w:divBdr>
        <w:top w:val="none" w:sz="0" w:space="0" w:color="auto"/>
        <w:left w:val="none" w:sz="0" w:space="0" w:color="auto"/>
        <w:bottom w:val="none" w:sz="0" w:space="0" w:color="auto"/>
        <w:right w:val="none" w:sz="0" w:space="0" w:color="auto"/>
      </w:divBdr>
    </w:div>
    <w:div w:id="1753893201">
      <w:bodyDiv w:val="1"/>
      <w:marLeft w:val="0"/>
      <w:marRight w:val="0"/>
      <w:marTop w:val="0"/>
      <w:marBottom w:val="0"/>
      <w:divBdr>
        <w:top w:val="none" w:sz="0" w:space="0" w:color="auto"/>
        <w:left w:val="none" w:sz="0" w:space="0" w:color="auto"/>
        <w:bottom w:val="none" w:sz="0" w:space="0" w:color="auto"/>
        <w:right w:val="none" w:sz="0" w:space="0" w:color="auto"/>
      </w:divBdr>
      <w:divsChild>
        <w:div w:id="1972901075">
          <w:marLeft w:val="0"/>
          <w:marRight w:val="0"/>
          <w:marTop w:val="0"/>
          <w:marBottom w:val="0"/>
          <w:divBdr>
            <w:top w:val="none" w:sz="0" w:space="0" w:color="auto"/>
            <w:left w:val="none" w:sz="0" w:space="0" w:color="auto"/>
            <w:bottom w:val="none" w:sz="0" w:space="0" w:color="auto"/>
            <w:right w:val="none" w:sz="0" w:space="0" w:color="auto"/>
          </w:divBdr>
          <w:divsChild>
            <w:div w:id="1232349687">
              <w:marLeft w:val="0"/>
              <w:marRight w:val="0"/>
              <w:marTop w:val="0"/>
              <w:marBottom w:val="0"/>
              <w:divBdr>
                <w:top w:val="none" w:sz="0" w:space="0" w:color="auto"/>
                <w:left w:val="single" w:sz="4" w:space="0" w:color="BCBCBC"/>
                <w:bottom w:val="none" w:sz="0" w:space="0" w:color="auto"/>
                <w:right w:val="single" w:sz="4" w:space="0" w:color="BCBCBC"/>
              </w:divBdr>
              <w:divsChild>
                <w:div w:id="1070422007">
                  <w:marLeft w:val="-12"/>
                  <w:marRight w:val="-12"/>
                  <w:marTop w:val="12"/>
                  <w:marBottom w:val="0"/>
                  <w:divBdr>
                    <w:top w:val="none" w:sz="0" w:space="0" w:color="auto"/>
                    <w:left w:val="none" w:sz="0" w:space="0" w:color="auto"/>
                    <w:bottom w:val="none" w:sz="0" w:space="0" w:color="auto"/>
                    <w:right w:val="none" w:sz="0" w:space="0" w:color="auto"/>
                  </w:divBdr>
                  <w:divsChild>
                    <w:div w:id="458302001">
                      <w:marLeft w:val="0"/>
                      <w:marRight w:val="0"/>
                      <w:marTop w:val="0"/>
                      <w:marBottom w:val="0"/>
                      <w:divBdr>
                        <w:top w:val="none" w:sz="0" w:space="0" w:color="auto"/>
                        <w:left w:val="none" w:sz="0" w:space="0" w:color="auto"/>
                        <w:bottom w:val="none" w:sz="0" w:space="0" w:color="auto"/>
                        <w:right w:val="none" w:sz="0" w:space="0" w:color="auto"/>
                      </w:divBdr>
                      <w:divsChild>
                        <w:div w:id="2054184754">
                          <w:marLeft w:val="0"/>
                          <w:marRight w:val="0"/>
                          <w:marTop w:val="0"/>
                          <w:marBottom w:val="0"/>
                          <w:divBdr>
                            <w:top w:val="none" w:sz="0" w:space="0" w:color="auto"/>
                            <w:left w:val="none" w:sz="0" w:space="0" w:color="auto"/>
                            <w:bottom w:val="none" w:sz="0" w:space="0" w:color="auto"/>
                            <w:right w:val="none" w:sz="0" w:space="0" w:color="auto"/>
                          </w:divBdr>
                          <w:divsChild>
                            <w:div w:id="1445267833">
                              <w:marLeft w:val="384"/>
                              <w:marRight w:val="19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98087">
      <w:bodyDiv w:val="1"/>
      <w:marLeft w:val="0"/>
      <w:marRight w:val="0"/>
      <w:marTop w:val="0"/>
      <w:marBottom w:val="0"/>
      <w:divBdr>
        <w:top w:val="none" w:sz="0" w:space="0" w:color="auto"/>
        <w:left w:val="none" w:sz="0" w:space="0" w:color="auto"/>
        <w:bottom w:val="none" w:sz="0" w:space="0" w:color="auto"/>
        <w:right w:val="none" w:sz="0" w:space="0" w:color="auto"/>
      </w:divBdr>
    </w:div>
    <w:div w:id="198581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gfin.com/compendium-1" TargetMode="External"/><Relationship Id="rId18" Type="http://schemas.openxmlformats.org/officeDocument/2006/relationships/hyperlink" Target="mailto:sylvain.theberge@lautorite.qc.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linesurveys.fca.org.uk/jfe/form/SV_0D32gY7T6t0bWFn" TargetMode="External"/><Relationship Id="rId17" Type="http://schemas.openxmlformats.org/officeDocument/2006/relationships/hyperlink" Target="mailto:fit@bcsc.bc.ca" TargetMode="External"/><Relationship Id="rId2" Type="http://schemas.openxmlformats.org/officeDocument/2006/relationships/numbering" Target="numbering.xml"/><Relationship Id="rId16" Type="http://schemas.openxmlformats.org/officeDocument/2006/relationships/hyperlink" Target="https://www.thegfi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tic1.squarespace.com/static/5db7cdf53d173c0e010e8f68/t/5f99739fe9960565cf291a84/1603892129549/GFIN+Cross-Border+Testing+FAQs+-+FINAL.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nlinesurveys.fca.org.uk/jfe/form/SV_0D32gY7T6t0bW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11571-2C79-41B0-8CEA-B986EA44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_</vt:lpstr>
    </vt:vector>
  </TitlesOfParts>
  <Company>OSC</Company>
  <LinksUpToDate>false</LinksUpToDate>
  <CharactersWithSpaces>5720</CharactersWithSpaces>
  <SharedDoc>false</SharedDoc>
  <HLinks>
    <vt:vector size="36" baseType="variant">
      <vt:variant>
        <vt:i4>1835066</vt:i4>
      </vt:variant>
      <vt:variant>
        <vt:i4>15</vt:i4>
      </vt:variant>
      <vt:variant>
        <vt:i4>0</vt:i4>
      </vt:variant>
      <vt:variant>
        <vt:i4>5</vt:i4>
      </vt:variant>
      <vt:variant>
        <vt:lpwstr>mailto:sylvain.theberge@lautorite.qc.ca</vt:lpwstr>
      </vt:variant>
      <vt:variant>
        <vt:lpwstr/>
      </vt:variant>
      <vt:variant>
        <vt:i4>4194391</vt:i4>
      </vt:variant>
      <vt:variant>
        <vt:i4>12</vt:i4>
      </vt:variant>
      <vt:variant>
        <vt:i4>0</vt:i4>
      </vt:variant>
      <vt:variant>
        <vt:i4>5</vt:i4>
      </vt:variant>
      <vt:variant>
        <vt:lpwstr>https://www.thegfin.com/</vt:lpwstr>
      </vt:variant>
      <vt:variant>
        <vt:lpwstr/>
      </vt:variant>
      <vt:variant>
        <vt:i4>8126508</vt:i4>
      </vt:variant>
      <vt:variant>
        <vt:i4>9</vt:i4>
      </vt:variant>
      <vt:variant>
        <vt:i4>0</vt:i4>
      </vt:variant>
      <vt:variant>
        <vt:i4>5</vt:i4>
      </vt:variant>
      <vt:variant>
        <vt:lpwstr>https://static1.squarespace.com/static/5db7cdf53d173c0e010e8f68/t/5f99739fe9960565cf291a84/1603892129549/GFIN+Cross-Border+Testing+FAQs+-+FINAL.pdf</vt:lpwstr>
      </vt:variant>
      <vt:variant>
        <vt:lpwstr/>
      </vt:variant>
      <vt:variant>
        <vt:i4>655395</vt:i4>
      </vt:variant>
      <vt:variant>
        <vt:i4>6</vt:i4>
      </vt:variant>
      <vt:variant>
        <vt:i4>0</vt:i4>
      </vt:variant>
      <vt:variant>
        <vt:i4>5</vt:i4>
      </vt:variant>
      <vt:variant>
        <vt:lpwstr>https://www.onlinesurveys.fca.org.uk/jfe/form/SV_0D32gY7T6t0bWFn</vt:lpwstr>
      </vt:variant>
      <vt:variant>
        <vt:lpwstr/>
      </vt:variant>
      <vt:variant>
        <vt:i4>262144</vt:i4>
      </vt:variant>
      <vt:variant>
        <vt:i4>3</vt:i4>
      </vt:variant>
      <vt:variant>
        <vt:i4>0</vt:i4>
      </vt:variant>
      <vt:variant>
        <vt:i4>5</vt:i4>
      </vt:variant>
      <vt:variant>
        <vt:lpwstr>https://www.thegfin.com/compendium-1</vt:lpwstr>
      </vt:variant>
      <vt:variant>
        <vt:lpwstr/>
      </vt:variant>
      <vt:variant>
        <vt:i4>655395</vt:i4>
      </vt:variant>
      <vt:variant>
        <vt:i4>0</vt:i4>
      </vt:variant>
      <vt:variant>
        <vt:i4>0</vt:i4>
      </vt:variant>
      <vt:variant>
        <vt:i4>5</vt:i4>
      </vt:variant>
      <vt:variant>
        <vt:lpwstr>https://www.onlinesurveys.fca.org.uk/jfe/form/SV_0D32gY7T6t0bWFn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Carolyn Shaw-Rimmington</dc:creator>
  <cp:keywords/>
  <cp:lastModifiedBy>Dana E McIvor</cp:lastModifiedBy>
  <cp:revision>2</cp:revision>
  <cp:lastPrinted>2019-11-11T18:01:00Z</cp:lastPrinted>
  <dcterms:created xsi:type="dcterms:W3CDTF">2020-12-02T23:01:00Z</dcterms:created>
  <dcterms:modified xsi:type="dcterms:W3CDTF">2020-12-02T23:01:00Z</dcterms:modified>
</cp:coreProperties>
</file>