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F0A80" w14:textId="77777777" w:rsidR="00BA1051" w:rsidRDefault="00A87A66">
      <w:pPr>
        <w:pStyle w:val="BodyText"/>
        <w:ind w:left="117"/>
        <w:rPr>
          <w:sz w:val="20"/>
        </w:rPr>
      </w:pPr>
      <w:bookmarkStart w:id="0" w:name="_GoBack"/>
      <w:bookmarkEnd w:id="0"/>
      <w:r>
        <w:rPr>
          <w:noProof/>
          <w:sz w:val="20"/>
          <w:lang w:val="en-CA" w:eastAsia="en-CA"/>
        </w:rPr>
        <w:drawing>
          <wp:inline distT="0" distB="0" distL="0" distR="0" wp14:anchorId="6C8DF9C3" wp14:editId="1DB3ABDF">
            <wp:extent cx="6203214" cy="3962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203214" cy="396240"/>
                    </a:xfrm>
                    <a:prstGeom prst="rect">
                      <a:avLst/>
                    </a:prstGeom>
                  </pic:spPr>
                </pic:pic>
              </a:graphicData>
            </a:graphic>
          </wp:inline>
        </w:drawing>
      </w:r>
    </w:p>
    <w:p w14:paraId="1822B31C" w14:textId="77777777" w:rsidR="00BA1051" w:rsidRDefault="00BA1051">
      <w:pPr>
        <w:pStyle w:val="BodyText"/>
        <w:rPr>
          <w:sz w:val="20"/>
        </w:rPr>
      </w:pPr>
    </w:p>
    <w:p w14:paraId="063DEE26" w14:textId="77777777" w:rsidR="00BA1051" w:rsidRDefault="00BA1051">
      <w:pPr>
        <w:pStyle w:val="BodyText"/>
        <w:spacing w:before="3"/>
        <w:rPr>
          <w:sz w:val="22"/>
        </w:rPr>
      </w:pPr>
    </w:p>
    <w:p w14:paraId="10E5EB65" w14:textId="77777777" w:rsidR="00BA1051" w:rsidRDefault="00A87A66">
      <w:pPr>
        <w:pStyle w:val="Heading1"/>
      </w:pPr>
      <w:r>
        <w:t>For Immediate Release</w:t>
      </w:r>
    </w:p>
    <w:p w14:paraId="5F842F05" w14:textId="45C4C4C4" w:rsidR="00BA1051" w:rsidRDefault="009E6EAF">
      <w:pPr>
        <w:ind w:left="122"/>
        <w:rPr>
          <w:b/>
          <w:sz w:val="24"/>
        </w:rPr>
      </w:pPr>
      <w:r>
        <w:rPr>
          <w:b/>
          <w:sz w:val="24"/>
        </w:rPr>
        <w:t>September 3</w:t>
      </w:r>
      <w:r w:rsidR="00A87A66">
        <w:rPr>
          <w:b/>
          <w:sz w:val="24"/>
        </w:rPr>
        <w:t>, 2020</w:t>
      </w:r>
    </w:p>
    <w:p w14:paraId="6D0CCEE5" w14:textId="77777777" w:rsidR="00BA1051" w:rsidRDefault="00BA1051">
      <w:pPr>
        <w:pStyle w:val="BodyText"/>
        <w:spacing w:before="5"/>
        <w:rPr>
          <w:b/>
          <w:sz w:val="34"/>
        </w:rPr>
      </w:pPr>
    </w:p>
    <w:p w14:paraId="1F6A1F9A" w14:textId="11DFE11B" w:rsidR="00BA1051" w:rsidRDefault="00A87A66" w:rsidP="002247B0">
      <w:pPr>
        <w:pStyle w:val="Heading1"/>
        <w:jc w:val="center"/>
      </w:pPr>
      <w:r>
        <w:t>C</w:t>
      </w:r>
      <w:r w:rsidR="002247B0">
        <w:t xml:space="preserve">anadian securities regulators </w:t>
      </w:r>
      <w:r>
        <w:t>seek new members for Mining Technical Advisory and Monitoring Committee</w:t>
      </w:r>
    </w:p>
    <w:p w14:paraId="454B2CE3" w14:textId="77777777" w:rsidR="00BA1051" w:rsidRDefault="00BA1051">
      <w:pPr>
        <w:pStyle w:val="BodyText"/>
        <w:spacing w:before="7"/>
        <w:rPr>
          <w:b/>
          <w:sz w:val="23"/>
        </w:rPr>
      </w:pPr>
    </w:p>
    <w:p w14:paraId="7005E76A" w14:textId="77777777" w:rsidR="00BA1051" w:rsidRDefault="00A87A66">
      <w:pPr>
        <w:pStyle w:val="BodyText"/>
        <w:ind w:left="122" w:right="432"/>
      </w:pPr>
      <w:r>
        <w:rPr>
          <w:b/>
        </w:rPr>
        <w:t>Toronto</w:t>
      </w:r>
      <w:r w:rsidR="00E60468">
        <w:rPr>
          <w:b/>
        </w:rPr>
        <w:t xml:space="preserve"> and </w:t>
      </w:r>
      <w:r>
        <w:rPr>
          <w:b/>
        </w:rPr>
        <w:t xml:space="preserve">Vancouver – </w:t>
      </w:r>
      <w:r>
        <w:t>The Canadian Securities Administrators (CSA) is inviting applications for new members to join the Mining Technical Advisory and Monitoring Committee (MTAMC).</w:t>
      </w:r>
    </w:p>
    <w:p w14:paraId="2D8BBD61" w14:textId="77777777" w:rsidR="00BA1051" w:rsidRDefault="00BA1051">
      <w:pPr>
        <w:pStyle w:val="BodyText"/>
      </w:pPr>
    </w:p>
    <w:p w14:paraId="64ECED0E" w14:textId="54CB7730" w:rsidR="00BA1051" w:rsidRDefault="00A87A66">
      <w:pPr>
        <w:pStyle w:val="BodyText"/>
        <w:ind w:left="122" w:right="566"/>
      </w:pPr>
      <w:r>
        <w:t xml:space="preserve">The MTAMC </w:t>
      </w:r>
      <w:r w:rsidR="00E60468">
        <w:t>is</w:t>
      </w:r>
      <w:r>
        <w:t xml:space="preserve"> a forum for communication between the CSA and the mining industry, and advises the CSA on a variety of industry and professional developments related to securities regulatory issues.</w:t>
      </w:r>
    </w:p>
    <w:p w14:paraId="704F227A" w14:textId="77777777" w:rsidR="00BA1051" w:rsidRDefault="00BA1051">
      <w:pPr>
        <w:pStyle w:val="BodyText"/>
        <w:spacing w:before="5"/>
      </w:pPr>
    </w:p>
    <w:p w14:paraId="26EA8DD8" w14:textId="06BB28AD" w:rsidR="00BA1051" w:rsidRDefault="00A87A66">
      <w:pPr>
        <w:pStyle w:val="BodyText"/>
        <w:ind w:left="122" w:right="432"/>
      </w:pPr>
      <w:r>
        <w:t xml:space="preserve">The MTAMC is composed of 10 to 12 </w:t>
      </w:r>
      <w:r w:rsidR="009E6EAF">
        <w:t>volunteers</w:t>
      </w:r>
      <w:r w:rsidR="00DF26BA">
        <w:t xml:space="preserve"> </w:t>
      </w:r>
      <w:r>
        <w:t xml:space="preserve">who typically serve three-year terms. The MTAMC </w:t>
      </w:r>
      <w:r w:rsidR="00DF26BA">
        <w:t xml:space="preserve">typically </w:t>
      </w:r>
      <w:r>
        <w:t xml:space="preserve">meets three times </w:t>
      </w:r>
      <w:r w:rsidR="00DF26BA">
        <w:t>a year</w:t>
      </w:r>
      <w:r>
        <w:t>, although it may meet more frequently should circumstances warrant. The British Columbia Securities Commission and the Ontario Securities Commission facilitate the meetings via teleconference and video conference.</w:t>
      </w:r>
    </w:p>
    <w:p w14:paraId="0F506420" w14:textId="77777777" w:rsidR="00BA1051" w:rsidRDefault="00BA1051">
      <w:pPr>
        <w:pStyle w:val="BodyText"/>
        <w:spacing w:before="2"/>
      </w:pPr>
    </w:p>
    <w:p w14:paraId="1A1DCC23" w14:textId="13172C48" w:rsidR="00E60468" w:rsidRDefault="00A87A66">
      <w:pPr>
        <w:pStyle w:val="BodyText"/>
        <w:ind w:left="122" w:right="487"/>
      </w:pPr>
      <w:r>
        <w:t>Committee members typically have significant technical experience and</w:t>
      </w:r>
      <w:r w:rsidR="00B83396">
        <w:t>/</w:t>
      </w:r>
      <w:r>
        <w:t>or regulatory experience with a keen interest in securities regulatory policy as it relates to the mining industry. Familiarity with securities legislation (</w:t>
      </w:r>
      <w:r w:rsidR="00E60468">
        <w:t xml:space="preserve">specifically, </w:t>
      </w:r>
      <w:r>
        <w:t>N</w:t>
      </w:r>
      <w:r w:rsidR="00E60468">
        <w:t xml:space="preserve">ational </w:t>
      </w:r>
      <w:r>
        <w:t>I</w:t>
      </w:r>
      <w:r w:rsidR="00E60468">
        <w:t>nstrument</w:t>
      </w:r>
      <w:r>
        <w:t xml:space="preserve"> 43-101</w:t>
      </w:r>
      <w:r w:rsidR="00B83396" w:rsidRPr="00B83396">
        <w:rPr>
          <w:i/>
        </w:rPr>
        <w:t xml:space="preserve"> Standards of Disclosure for Mineral Projects</w:t>
      </w:r>
      <w:r w:rsidR="00B83396">
        <w:t>,</w:t>
      </w:r>
      <w:r w:rsidR="00E60468">
        <w:t xml:space="preserve"> and</w:t>
      </w:r>
      <w:r>
        <w:t xml:space="preserve"> </w:t>
      </w:r>
      <w:r w:rsidR="00B83396">
        <w:t xml:space="preserve">National Instrument </w:t>
      </w:r>
      <w:r>
        <w:t>51-102</w:t>
      </w:r>
      <w:r w:rsidR="00B83396">
        <w:t xml:space="preserve"> </w:t>
      </w:r>
      <w:r w:rsidR="00B83396" w:rsidRPr="00B83396">
        <w:rPr>
          <w:i/>
        </w:rPr>
        <w:t>Continuous Disclosure Obligations</w:t>
      </w:r>
      <w:r>
        <w:t xml:space="preserve">) and policies that the CSA </w:t>
      </w:r>
      <w:r w:rsidR="00E60468">
        <w:t>administers</w:t>
      </w:r>
      <w:r>
        <w:t xml:space="preserve"> </w:t>
      </w:r>
      <w:r w:rsidR="00E60468">
        <w:t>would be</w:t>
      </w:r>
      <w:r>
        <w:t xml:space="preserve"> </w:t>
      </w:r>
      <w:r w:rsidR="00DF26BA">
        <w:t>considered an asset.</w:t>
      </w:r>
    </w:p>
    <w:p w14:paraId="042D0A26" w14:textId="77777777" w:rsidR="00E60468" w:rsidRDefault="00E60468">
      <w:pPr>
        <w:pStyle w:val="BodyText"/>
        <w:ind w:left="122" w:right="487"/>
      </w:pPr>
    </w:p>
    <w:p w14:paraId="4EEB0675" w14:textId="0DFFD496" w:rsidR="00BA1051" w:rsidRDefault="00A87A66">
      <w:pPr>
        <w:pStyle w:val="BodyText"/>
        <w:ind w:left="122" w:right="487"/>
      </w:pPr>
      <w:r>
        <w:t>Individual practitioners and representatives of public mining companies (</w:t>
      </w:r>
      <w:r w:rsidR="00E60468">
        <w:t xml:space="preserve">from </w:t>
      </w:r>
      <w:r>
        <w:t>small</w:t>
      </w:r>
      <w:r w:rsidR="00E60468">
        <w:t>, early-stage companies to larger ones engaged in commercial production</w:t>
      </w:r>
      <w:r>
        <w:t>), mineral industry associations, consulting firms, and other interested persons are invited to apply in writing for membership on the MTAMC. Applicants should indicate their areas of practice and/or specialization, and provide a summary of their relevant experience.</w:t>
      </w:r>
    </w:p>
    <w:p w14:paraId="29638841" w14:textId="77777777" w:rsidR="00BA1051" w:rsidRDefault="00BA1051">
      <w:pPr>
        <w:pStyle w:val="BodyText"/>
        <w:spacing w:before="5"/>
      </w:pPr>
    </w:p>
    <w:p w14:paraId="6A6EDF9B" w14:textId="38A9ED09" w:rsidR="00BA1051" w:rsidRDefault="00A87A66">
      <w:pPr>
        <w:pStyle w:val="BodyText"/>
        <w:ind w:left="122"/>
      </w:pPr>
      <w:r>
        <w:t>Interested individuals should submit their applications via email by September 30, 2020. Please forward applications and any queries to:</w:t>
      </w:r>
    </w:p>
    <w:p w14:paraId="3A852DC7" w14:textId="77777777" w:rsidR="00E60468" w:rsidRDefault="00E60468">
      <w:pPr>
        <w:pStyle w:val="BodyText"/>
        <w:ind w:left="122"/>
      </w:pPr>
    </w:p>
    <w:p w14:paraId="2239F76C" w14:textId="77777777" w:rsidR="00BA1051" w:rsidRDefault="00BA1051">
      <w:pPr>
        <w:sectPr w:rsidR="00BA1051">
          <w:type w:val="continuous"/>
          <w:pgSz w:w="12240" w:h="15840"/>
          <w:pgMar w:top="1440" w:right="960" w:bottom="280" w:left="1320" w:header="720" w:footer="720" w:gutter="0"/>
          <w:cols w:space="720"/>
        </w:sectPr>
      </w:pPr>
    </w:p>
    <w:p w14:paraId="24D5B2B1" w14:textId="77777777" w:rsidR="00BA1051" w:rsidRDefault="00A87A66">
      <w:pPr>
        <w:pStyle w:val="BodyText"/>
        <w:spacing w:before="5"/>
        <w:ind w:left="122"/>
      </w:pPr>
      <w:r>
        <w:t xml:space="preserve">Chris Collins, B.Sc., </w:t>
      </w:r>
      <w:proofErr w:type="spellStart"/>
      <w:r>
        <w:t>P.Geo</w:t>
      </w:r>
      <w:proofErr w:type="spellEnd"/>
      <w:r>
        <w:t>., MBA</w:t>
      </w:r>
    </w:p>
    <w:p w14:paraId="3534FC94" w14:textId="77777777" w:rsidR="00BA1051" w:rsidRDefault="00A87A66">
      <w:pPr>
        <w:pStyle w:val="BodyText"/>
        <w:ind w:left="122" w:right="21"/>
      </w:pPr>
      <w:r>
        <w:t>Chief Mining Advisor, Corporate Finance British Columbia Securities Commission Telephone: (604)</w:t>
      </w:r>
      <w:r>
        <w:rPr>
          <w:spacing w:val="-2"/>
        </w:rPr>
        <w:t xml:space="preserve"> </w:t>
      </w:r>
      <w:r>
        <w:t>899-6616</w:t>
      </w:r>
    </w:p>
    <w:p w14:paraId="4CCA9028" w14:textId="77777777" w:rsidR="00BA1051" w:rsidRDefault="00A87A66">
      <w:pPr>
        <w:pStyle w:val="BodyText"/>
        <w:spacing w:line="274" w:lineRule="exact"/>
        <w:ind w:left="122"/>
      </w:pPr>
      <w:r>
        <w:t>Email:</w:t>
      </w:r>
      <w:r>
        <w:rPr>
          <w:spacing w:val="-6"/>
        </w:rPr>
        <w:t xml:space="preserve"> </w:t>
      </w:r>
      <w:hyperlink r:id="rId7">
        <w:r>
          <w:rPr>
            <w:color w:val="0000FF"/>
            <w:u w:val="single" w:color="0000FF"/>
          </w:rPr>
          <w:t>ccollins@bcsc.bc.ca</w:t>
        </w:r>
      </w:hyperlink>
    </w:p>
    <w:p w14:paraId="120938EF" w14:textId="77777777" w:rsidR="00BA1051" w:rsidRDefault="00A87A66">
      <w:pPr>
        <w:pStyle w:val="BodyText"/>
        <w:spacing w:before="5"/>
        <w:ind w:left="122" w:right="730"/>
      </w:pPr>
      <w:r>
        <w:br w:type="column"/>
      </w:r>
      <w:r>
        <w:t xml:space="preserve">Craig </w:t>
      </w:r>
      <w:proofErr w:type="spellStart"/>
      <w:r>
        <w:t>Waldie</w:t>
      </w:r>
      <w:proofErr w:type="spellEnd"/>
      <w:r>
        <w:t xml:space="preserve">, </w:t>
      </w:r>
      <w:proofErr w:type="spellStart"/>
      <w:r>
        <w:t>M.Sc.A</w:t>
      </w:r>
      <w:proofErr w:type="spellEnd"/>
      <w:r>
        <w:t xml:space="preserve">., </w:t>
      </w:r>
      <w:proofErr w:type="spellStart"/>
      <w:r>
        <w:t>P.Geo</w:t>
      </w:r>
      <w:proofErr w:type="spellEnd"/>
      <w:r>
        <w:t>. Senior Geologist, Corporate Finance</w:t>
      </w:r>
      <w:r>
        <w:rPr>
          <w:i/>
        </w:rPr>
        <w:t xml:space="preserve">. </w:t>
      </w:r>
      <w:r>
        <w:t>Ontario Securities Commission Telephone: (416) 593-8308</w:t>
      </w:r>
    </w:p>
    <w:p w14:paraId="06D9D99B" w14:textId="77777777" w:rsidR="00BA1051" w:rsidRDefault="00A87A66">
      <w:pPr>
        <w:pStyle w:val="BodyText"/>
        <w:spacing w:line="274" w:lineRule="exact"/>
        <w:ind w:left="122"/>
      </w:pPr>
      <w:r>
        <w:t xml:space="preserve">Email: </w:t>
      </w:r>
      <w:hyperlink r:id="rId8">
        <w:r>
          <w:rPr>
            <w:color w:val="0000FF"/>
            <w:u w:val="single" w:color="0000FF"/>
          </w:rPr>
          <w:t>cwaldie@osc.gov.on.ca</w:t>
        </w:r>
      </w:hyperlink>
    </w:p>
    <w:p w14:paraId="6E7DCC4C" w14:textId="77777777" w:rsidR="00BA1051" w:rsidRDefault="00BA1051">
      <w:pPr>
        <w:spacing w:line="274" w:lineRule="exact"/>
        <w:sectPr w:rsidR="00BA1051">
          <w:type w:val="continuous"/>
          <w:pgSz w:w="12240" w:h="15840"/>
          <w:pgMar w:top="1440" w:right="960" w:bottom="280" w:left="1320" w:header="720" w:footer="720" w:gutter="0"/>
          <w:cols w:num="2" w:space="720" w:equalWidth="0">
            <w:col w:w="4196" w:space="1312"/>
            <w:col w:w="4452"/>
          </w:cols>
        </w:sectPr>
      </w:pPr>
    </w:p>
    <w:p w14:paraId="5958BB39" w14:textId="77777777" w:rsidR="00BA1051" w:rsidRDefault="00A87A66">
      <w:pPr>
        <w:pStyle w:val="BodyText"/>
        <w:spacing w:before="90"/>
        <w:ind w:left="122" w:right="660"/>
      </w:pPr>
      <w:r>
        <w:t>The CSA, the council of securities regulators of Canada’s provinces and territories, coordinates and harmonizes regulation for the Canadian capital markets.</w:t>
      </w:r>
    </w:p>
    <w:p w14:paraId="3C13556B" w14:textId="77777777" w:rsidR="00BA1051" w:rsidRDefault="00BA1051">
      <w:pPr>
        <w:sectPr w:rsidR="00BA1051">
          <w:type w:val="continuous"/>
          <w:pgSz w:w="12240" w:h="15840"/>
          <w:pgMar w:top="1440" w:right="960" w:bottom="280" w:left="1320" w:header="720" w:footer="720" w:gutter="0"/>
          <w:cols w:space="720"/>
        </w:sectPr>
      </w:pPr>
    </w:p>
    <w:p w14:paraId="4CC0D04C" w14:textId="77777777" w:rsidR="00EE0489" w:rsidRPr="00EE0489" w:rsidRDefault="00EE0489" w:rsidP="00EE0489">
      <w:pPr>
        <w:pStyle w:val="xmsonormal"/>
        <w:rPr>
          <w:rFonts w:ascii="Times New Roman" w:hAnsi="Times New Roman" w:cs="Times New Roman"/>
          <w:b/>
          <w:sz w:val="24"/>
          <w:szCs w:val="24"/>
        </w:rPr>
      </w:pPr>
      <w:r w:rsidRPr="00EE0489">
        <w:rPr>
          <w:rFonts w:ascii="Times New Roman" w:hAnsi="Times New Roman" w:cs="Times New Roman"/>
          <w:b/>
          <w:bCs/>
          <w:sz w:val="24"/>
          <w:szCs w:val="24"/>
          <w:shd w:val="clear" w:color="auto" w:fill="FEFEFD"/>
        </w:rPr>
        <w:lastRenderedPageBreak/>
        <w:t>For investor inquiries, please refer to your respective securities regulator. You can contact them</w:t>
      </w:r>
      <w:r w:rsidRPr="00EE0489">
        <w:rPr>
          <w:rFonts w:ascii="Times New Roman" w:hAnsi="Times New Roman" w:cs="Times New Roman"/>
          <w:b/>
          <w:bCs/>
          <w:color w:val="36454D"/>
          <w:sz w:val="24"/>
          <w:szCs w:val="24"/>
          <w:shd w:val="clear" w:color="auto" w:fill="FEFEFD"/>
        </w:rPr>
        <w:t xml:space="preserve"> </w:t>
      </w:r>
      <w:hyperlink r:id="rId9" w:history="1">
        <w:r w:rsidRPr="00EE0489">
          <w:rPr>
            <w:rStyle w:val="Hyperlink"/>
            <w:rFonts w:ascii="Times New Roman" w:hAnsi="Times New Roman" w:cs="Times New Roman"/>
            <w:sz w:val="24"/>
            <w:szCs w:val="24"/>
            <w:shd w:val="clear" w:color="auto" w:fill="FEFEFD"/>
          </w:rPr>
          <w:t>here</w:t>
        </w:r>
      </w:hyperlink>
      <w:r w:rsidRPr="00EE0489">
        <w:rPr>
          <w:rFonts w:ascii="Times New Roman" w:hAnsi="Times New Roman" w:cs="Times New Roman"/>
          <w:b/>
          <w:bCs/>
          <w:color w:val="36454D"/>
          <w:sz w:val="24"/>
          <w:szCs w:val="24"/>
          <w:shd w:val="clear" w:color="auto" w:fill="FEFEFD"/>
        </w:rPr>
        <w:t xml:space="preserve">. </w:t>
      </w:r>
    </w:p>
    <w:p w14:paraId="1C03D911" w14:textId="77777777" w:rsidR="00EE0489" w:rsidRPr="00EE0489" w:rsidRDefault="00EE0489" w:rsidP="00EE0489">
      <w:pPr>
        <w:pStyle w:val="xmsonormal"/>
        <w:rPr>
          <w:rFonts w:ascii="Times New Roman" w:hAnsi="Times New Roman" w:cs="Times New Roman"/>
          <w:b/>
          <w:bCs/>
          <w:color w:val="36454D"/>
          <w:sz w:val="24"/>
          <w:szCs w:val="24"/>
          <w:shd w:val="clear" w:color="auto" w:fill="FEFEFD"/>
        </w:rPr>
      </w:pPr>
    </w:p>
    <w:p w14:paraId="5AAB1267" w14:textId="77777777" w:rsidR="00EE0489" w:rsidRPr="00EE0489" w:rsidRDefault="00EE0489" w:rsidP="00EE0489">
      <w:pPr>
        <w:rPr>
          <w:b/>
          <w:bCs/>
          <w:color w:val="36454D"/>
          <w:sz w:val="24"/>
          <w:szCs w:val="24"/>
          <w:shd w:val="clear" w:color="auto" w:fill="FEFEFD"/>
        </w:rPr>
      </w:pPr>
      <w:r w:rsidRPr="00EE0489">
        <w:rPr>
          <w:b/>
          <w:bCs/>
          <w:sz w:val="24"/>
          <w:szCs w:val="24"/>
          <w:shd w:val="clear" w:color="auto" w:fill="FEFEFD"/>
        </w:rPr>
        <w:t>For media inquiries, please refer to the list of provincial and territorial representatives below or contact us at</w:t>
      </w:r>
      <w:r w:rsidRPr="00EE0489">
        <w:rPr>
          <w:b/>
          <w:bCs/>
          <w:color w:val="36454D"/>
          <w:sz w:val="24"/>
          <w:szCs w:val="24"/>
          <w:shd w:val="clear" w:color="auto" w:fill="FEFEFD"/>
        </w:rPr>
        <w:t xml:space="preserve"> </w:t>
      </w:r>
      <w:hyperlink r:id="rId10" w:history="1">
        <w:r w:rsidRPr="00EE0489">
          <w:rPr>
            <w:rStyle w:val="Hyperlink"/>
            <w:sz w:val="24"/>
            <w:szCs w:val="24"/>
            <w:shd w:val="clear" w:color="auto" w:fill="FEFEFD"/>
          </w:rPr>
          <w:t>media@acvm-csa.ca</w:t>
        </w:r>
      </w:hyperlink>
      <w:r w:rsidRPr="00EE0489">
        <w:rPr>
          <w:b/>
          <w:bCs/>
          <w:color w:val="36454D"/>
          <w:sz w:val="24"/>
          <w:szCs w:val="24"/>
          <w:shd w:val="clear" w:color="auto" w:fill="FEFEFD"/>
        </w:rPr>
        <w:t xml:space="preserve">. </w:t>
      </w:r>
    </w:p>
    <w:p w14:paraId="6FEDE038" w14:textId="77777777" w:rsidR="00EE0489" w:rsidRPr="003542F0" w:rsidRDefault="00EE0489" w:rsidP="00EE0489">
      <w:pPr>
        <w:rPr>
          <w:b/>
          <w:bCs/>
          <w:color w:val="36454D"/>
          <w:szCs w:val="24"/>
          <w:shd w:val="clear" w:color="auto" w:fill="FEFEFD"/>
        </w:rPr>
      </w:pPr>
    </w:p>
    <w:p w14:paraId="13BFA647" w14:textId="77777777" w:rsidR="00EE0489" w:rsidRPr="003542F0" w:rsidRDefault="00EE0489" w:rsidP="00EE0489">
      <w:pPr>
        <w:keepNext/>
        <w:rPr>
          <w:szCs w:val="24"/>
        </w:rPr>
      </w:pPr>
      <w:r w:rsidRPr="003542F0">
        <w:rPr>
          <w:szCs w:val="24"/>
        </w:rPr>
        <w:t>Kristen Rose</w:t>
      </w:r>
      <w:r w:rsidRPr="003542F0">
        <w:rPr>
          <w:szCs w:val="24"/>
        </w:rPr>
        <w:tab/>
      </w:r>
      <w:r w:rsidRPr="003542F0">
        <w:rPr>
          <w:szCs w:val="24"/>
        </w:rPr>
        <w:tab/>
      </w:r>
      <w:r w:rsidRPr="003542F0">
        <w:rPr>
          <w:szCs w:val="24"/>
        </w:rPr>
        <w:tab/>
      </w:r>
      <w:r w:rsidRPr="003542F0">
        <w:rPr>
          <w:szCs w:val="24"/>
        </w:rPr>
        <w:tab/>
      </w:r>
      <w:r w:rsidRPr="003542F0">
        <w:rPr>
          <w:szCs w:val="24"/>
        </w:rPr>
        <w:tab/>
      </w:r>
      <w:r w:rsidRPr="003542F0">
        <w:rPr>
          <w:szCs w:val="24"/>
        </w:rPr>
        <w:tab/>
        <w:t xml:space="preserve">Hilary </w:t>
      </w:r>
      <w:proofErr w:type="spellStart"/>
      <w:r w:rsidRPr="003542F0">
        <w:rPr>
          <w:szCs w:val="24"/>
        </w:rPr>
        <w:t>McMeekin</w:t>
      </w:r>
      <w:proofErr w:type="spellEnd"/>
    </w:p>
    <w:p w14:paraId="3A5AB4DB" w14:textId="77777777" w:rsidR="00EE0489" w:rsidRPr="003542F0" w:rsidRDefault="00EE0489" w:rsidP="00EE0489">
      <w:pPr>
        <w:contextualSpacing/>
        <w:rPr>
          <w:szCs w:val="24"/>
        </w:rPr>
      </w:pPr>
      <w:r w:rsidRPr="003542F0">
        <w:rPr>
          <w:szCs w:val="24"/>
        </w:rPr>
        <w:t xml:space="preserve">Ontario Securities Commission </w:t>
      </w:r>
      <w:r w:rsidRPr="003542F0">
        <w:rPr>
          <w:szCs w:val="24"/>
        </w:rPr>
        <w:tab/>
      </w:r>
      <w:r w:rsidRPr="003542F0">
        <w:rPr>
          <w:szCs w:val="24"/>
        </w:rPr>
        <w:tab/>
      </w:r>
      <w:r w:rsidRPr="003542F0">
        <w:rPr>
          <w:szCs w:val="24"/>
        </w:rPr>
        <w:tab/>
      </w:r>
      <w:r>
        <w:rPr>
          <w:szCs w:val="24"/>
        </w:rPr>
        <w:tab/>
      </w:r>
      <w:r w:rsidRPr="003542F0">
        <w:rPr>
          <w:szCs w:val="24"/>
        </w:rPr>
        <w:t>Alberta Securities Commission</w:t>
      </w:r>
      <w:r w:rsidRPr="003542F0">
        <w:rPr>
          <w:szCs w:val="24"/>
        </w:rPr>
        <w:tab/>
      </w:r>
      <w:r w:rsidRPr="003542F0">
        <w:rPr>
          <w:szCs w:val="24"/>
        </w:rPr>
        <w:tab/>
      </w:r>
    </w:p>
    <w:p w14:paraId="44D8FED7" w14:textId="77777777" w:rsidR="00EE0489" w:rsidRPr="003542F0" w:rsidRDefault="00EE0489" w:rsidP="00EE0489">
      <w:pPr>
        <w:contextualSpacing/>
        <w:rPr>
          <w:szCs w:val="24"/>
          <w:lang w:val="fr-FR"/>
        </w:rPr>
      </w:pPr>
      <w:r w:rsidRPr="003542F0">
        <w:rPr>
          <w:szCs w:val="24"/>
          <w:lang w:val="fr-FR"/>
        </w:rPr>
        <w:t>416-593-2336</w:t>
      </w:r>
      <w:r w:rsidRPr="003542F0">
        <w:rPr>
          <w:szCs w:val="24"/>
          <w:lang w:val="fr-FR"/>
        </w:rPr>
        <w:tab/>
      </w:r>
      <w:r w:rsidRPr="003542F0">
        <w:rPr>
          <w:szCs w:val="24"/>
          <w:lang w:val="fr-FR"/>
        </w:rPr>
        <w:tab/>
      </w:r>
      <w:r w:rsidRPr="003542F0">
        <w:rPr>
          <w:szCs w:val="24"/>
          <w:lang w:val="fr-FR"/>
        </w:rPr>
        <w:tab/>
      </w:r>
      <w:r w:rsidRPr="003542F0">
        <w:rPr>
          <w:szCs w:val="24"/>
          <w:lang w:val="fr-FR"/>
        </w:rPr>
        <w:tab/>
      </w:r>
      <w:r w:rsidRPr="003542F0">
        <w:rPr>
          <w:szCs w:val="24"/>
          <w:lang w:val="fr-FR"/>
        </w:rPr>
        <w:tab/>
      </w:r>
      <w:r w:rsidRPr="003542F0">
        <w:rPr>
          <w:szCs w:val="24"/>
          <w:lang w:val="fr-FR"/>
        </w:rPr>
        <w:tab/>
        <w:t>403-592-8186</w:t>
      </w:r>
    </w:p>
    <w:p w14:paraId="53B54A4F" w14:textId="77777777" w:rsidR="00EE0489" w:rsidRPr="003542F0" w:rsidRDefault="00EE0489" w:rsidP="00EE0489">
      <w:pPr>
        <w:contextualSpacing/>
        <w:rPr>
          <w:szCs w:val="24"/>
          <w:lang w:val="fr-FR"/>
        </w:rPr>
      </w:pPr>
      <w:r w:rsidRPr="003542F0">
        <w:rPr>
          <w:szCs w:val="24"/>
          <w:lang w:val="fr-FR"/>
        </w:rPr>
        <w:tab/>
      </w:r>
      <w:r w:rsidRPr="003542F0">
        <w:rPr>
          <w:szCs w:val="24"/>
          <w:lang w:val="fr-FR"/>
        </w:rPr>
        <w:tab/>
      </w:r>
      <w:r w:rsidRPr="003542F0">
        <w:rPr>
          <w:szCs w:val="24"/>
          <w:lang w:val="fr-FR"/>
        </w:rPr>
        <w:tab/>
      </w:r>
      <w:r w:rsidRPr="003542F0">
        <w:rPr>
          <w:szCs w:val="24"/>
          <w:lang w:val="fr-FR"/>
        </w:rPr>
        <w:tab/>
      </w:r>
      <w:r w:rsidRPr="003542F0">
        <w:rPr>
          <w:szCs w:val="24"/>
          <w:lang w:val="fr-FR"/>
        </w:rPr>
        <w:tab/>
      </w:r>
    </w:p>
    <w:p w14:paraId="6CF0881F" w14:textId="77777777" w:rsidR="00EE0489" w:rsidRPr="003542F0" w:rsidRDefault="00EE0489" w:rsidP="00EE0489">
      <w:pPr>
        <w:contextualSpacing/>
        <w:rPr>
          <w:szCs w:val="24"/>
          <w:lang w:val="fr-CA"/>
        </w:rPr>
      </w:pPr>
      <w:r w:rsidRPr="003542F0">
        <w:rPr>
          <w:szCs w:val="24"/>
          <w:lang w:val="fr-CA"/>
        </w:rPr>
        <w:t xml:space="preserve">Sylvain </w:t>
      </w:r>
      <w:proofErr w:type="spellStart"/>
      <w:r w:rsidRPr="003542F0">
        <w:rPr>
          <w:szCs w:val="24"/>
          <w:lang w:val="fr-CA"/>
        </w:rPr>
        <w:t>Théberge</w:t>
      </w:r>
      <w:proofErr w:type="spellEnd"/>
      <w:r w:rsidRPr="003542F0">
        <w:rPr>
          <w:szCs w:val="24"/>
          <w:lang w:val="fr-CA"/>
        </w:rPr>
        <w:t xml:space="preserve"> </w:t>
      </w:r>
      <w:r w:rsidRPr="003542F0">
        <w:rPr>
          <w:szCs w:val="24"/>
          <w:lang w:val="fr-CA"/>
        </w:rPr>
        <w:tab/>
      </w:r>
      <w:r w:rsidRPr="003542F0">
        <w:rPr>
          <w:szCs w:val="24"/>
          <w:lang w:val="fr-CA"/>
        </w:rPr>
        <w:tab/>
      </w:r>
      <w:r w:rsidRPr="003542F0">
        <w:rPr>
          <w:szCs w:val="24"/>
          <w:lang w:val="fr-CA"/>
        </w:rPr>
        <w:tab/>
      </w:r>
      <w:r w:rsidRPr="003542F0">
        <w:rPr>
          <w:szCs w:val="24"/>
          <w:lang w:val="fr-CA"/>
        </w:rPr>
        <w:tab/>
      </w:r>
      <w:r w:rsidRPr="003542F0">
        <w:rPr>
          <w:szCs w:val="24"/>
          <w:lang w:val="fr-CA"/>
        </w:rPr>
        <w:tab/>
        <w:t>Jason (Jay) Booth</w:t>
      </w:r>
    </w:p>
    <w:p w14:paraId="62A2FBC7" w14:textId="77777777" w:rsidR="00EE0489" w:rsidRPr="003542F0" w:rsidRDefault="00EE0489" w:rsidP="00EE0489">
      <w:pPr>
        <w:contextualSpacing/>
        <w:rPr>
          <w:szCs w:val="24"/>
          <w:lang w:val="fr-CA"/>
        </w:rPr>
      </w:pPr>
      <w:r w:rsidRPr="003542F0">
        <w:rPr>
          <w:szCs w:val="24"/>
          <w:lang w:val="fr-CA"/>
        </w:rPr>
        <w:t xml:space="preserve">Autorité des marchés financiers </w:t>
      </w:r>
      <w:r w:rsidRPr="003542F0">
        <w:rPr>
          <w:szCs w:val="24"/>
          <w:lang w:val="fr-CA"/>
        </w:rPr>
        <w:tab/>
      </w:r>
      <w:r w:rsidRPr="003542F0">
        <w:rPr>
          <w:szCs w:val="24"/>
          <w:lang w:val="fr-CA"/>
        </w:rPr>
        <w:tab/>
      </w:r>
      <w:r w:rsidRPr="003542F0">
        <w:rPr>
          <w:szCs w:val="24"/>
          <w:lang w:val="fr-CA"/>
        </w:rPr>
        <w:tab/>
      </w:r>
      <w:r>
        <w:rPr>
          <w:szCs w:val="24"/>
          <w:lang w:val="fr-CA"/>
        </w:rPr>
        <w:tab/>
      </w:r>
      <w:r w:rsidRPr="003542F0">
        <w:rPr>
          <w:szCs w:val="24"/>
          <w:lang w:val="fr-CA"/>
        </w:rPr>
        <w:t>Manitoba Securities Commission</w:t>
      </w:r>
    </w:p>
    <w:p w14:paraId="21A1FE80" w14:textId="77777777" w:rsidR="00EE0489" w:rsidRPr="003542F0" w:rsidRDefault="00EE0489" w:rsidP="00EE0489">
      <w:pPr>
        <w:contextualSpacing/>
        <w:rPr>
          <w:szCs w:val="24"/>
        </w:rPr>
      </w:pPr>
      <w:r w:rsidRPr="003542F0">
        <w:rPr>
          <w:szCs w:val="24"/>
        </w:rPr>
        <w:t>514-940-2176</w:t>
      </w:r>
      <w:r w:rsidRPr="003542F0">
        <w:rPr>
          <w:szCs w:val="24"/>
        </w:rPr>
        <w:tab/>
      </w:r>
      <w:r w:rsidRPr="003542F0">
        <w:rPr>
          <w:szCs w:val="24"/>
        </w:rPr>
        <w:tab/>
      </w:r>
      <w:r w:rsidRPr="003542F0">
        <w:rPr>
          <w:szCs w:val="24"/>
        </w:rPr>
        <w:tab/>
      </w:r>
      <w:r w:rsidRPr="003542F0">
        <w:rPr>
          <w:szCs w:val="24"/>
        </w:rPr>
        <w:tab/>
      </w:r>
      <w:r w:rsidRPr="003542F0">
        <w:rPr>
          <w:szCs w:val="24"/>
        </w:rPr>
        <w:tab/>
      </w:r>
      <w:r w:rsidRPr="003542F0">
        <w:rPr>
          <w:szCs w:val="24"/>
        </w:rPr>
        <w:tab/>
        <w:t>204-945-1660</w:t>
      </w:r>
    </w:p>
    <w:p w14:paraId="5EAD3BFB" w14:textId="77777777" w:rsidR="00EE0489" w:rsidRPr="003542F0" w:rsidRDefault="00EE0489" w:rsidP="00EE0489">
      <w:pPr>
        <w:contextualSpacing/>
        <w:rPr>
          <w:szCs w:val="24"/>
        </w:rPr>
      </w:pPr>
    </w:p>
    <w:p w14:paraId="36E2F0F7" w14:textId="77777777" w:rsidR="00EE0489" w:rsidRPr="003542F0" w:rsidRDefault="00EE0489" w:rsidP="00EE0489">
      <w:pPr>
        <w:tabs>
          <w:tab w:val="left" w:pos="5040"/>
        </w:tabs>
        <w:rPr>
          <w:szCs w:val="24"/>
        </w:rPr>
      </w:pPr>
      <w:r w:rsidRPr="003542F0">
        <w:rPr>
          <w:szCs w:val="24"/>
        </w:rPr>
        <w:t>Brian Kladko</w:t>
      </w:r>
      <w:r w:rsidRPr="003542F0">
        <w:rPr>
          <w:szCs w:val="24"/>
        </w:rPr>
        <w:tab/>
      </w:r>
      <w:r>
        <w:rPr>
          <w:szCs w:val="24"/>
        </w:rPr>
        <w:t>Steve Dowling</w:t>
      </w:r>
      <w:r w:rsidRPr="003542F0">
        <w:rPr>
          <w:szCs w:val="24"/>
        </w:rPr>
        <w:br/>
        <w:t>British Columbia Securities Commission</w:t>
      </w:r>
      <w:r w:rsidRPr="008F2E3A">
        <w:rPr>
          <w:szCs w:val="24"/>
        </w:rPr>
        <w:t xml:space="preserve"> </w:t>
      </w:r>
      <w:r>
        <w:rPr>
          <w:szCs w:val="24"/>
        </w:rPr>
        <w:tab/>
      </w:r>
      <w:r w:rsidRPr="003542F0">
        <w:rPr>
          <w:szCs w:val="24"/>
        </w:rPr>
        <w:t>Superintendent of Securities,</w:t>
      </w:r>
      <w:r>
        <w:rPr>
          <w:szCs w:val="24"/>
        </w:rPr>
        <w:br/>
      </w:r>
      <w:r w:rsidRPr="003542F0">
        <w:rPr>
          <w:szCs w:val="24"/>
        </w:rPr>
        <w:t xml:space="preserve">604-899-6713                                                             </w:t>
      </w:r>
      <w:r>
        <w:rPr>
          <w:szCs w:val="24"/>
        </w:rPr>
        <w:tab/>
        <w:t>Department of Justice and Public Safety,</w:t>
      </w:r>
      <w:r w:rsidRPr="003542F0">
        <w:rPr>
          <w:szCs w:val="24"/>
        </w:rPr>
        <w:tab/>
      </w:r>
      <w:r>
        <w:rPr>
          <w:szCs w:val="24"/>
        </w:rPr>
        <w:tab/>
      </w:r>
      <w:r w:rsidRPr="003542F0">
        <w:rPr>
          <w:szCs w:val="24"/>
        </w:rPr>
        <w:t>Prince Edward Island</w:t>
      </w:r>
      <w:r w:rsidRPr="003542F0">
        <w:rPr>
          <w:szCs w:val="24"/>
        </w:rPr>
        <w:br/>
        <w:t xml:space="preserve">                                                                                    </w:t>
      </w:r>
      <w:r>
        <w:rPr>
          <w:szCs w:val="24"/>
        </w:rPr>
        <w:tab/>
      </w:r>
      <w:r w:rsidRPr="008A48D2">
        <w:rPr>
          <w:lang w:val="en-CA"/>
        </w:rPr>
        <w:t>902</w:t>
      </w:r>
      <w:r>
        <w:rPr>
          <w:lang w:val="en-CA"/>
        </w:rPr>
        <w:t>-</w:t>
      </w:r>
      <w:r w:rsidRPr="008A48D2">
        <w:rPr>
          <w:lang w:val="en-CA"/>
        </w:rPr>
        <w:t>368-4550</w:t>
      </w:r>
      <w:r w:rsidRPr="003542F0">
        <w:rPr>
          <w:szCs w:val="24"/>
        </w:rPr>
        <w:tab/>
      </w:r>
    </w:p>
    <w:p w14:paraId="3B42F2F8" w14:textId="77777777" w:rsidR="00EE0489" w:rsidRPr="003542F0" w:rsidRDefault="00EE0489" w:rsidP="00EE0489">
      <w:pPr>
        <w:contextualSpacing/>
        <w:rPr>
          <w:szCs w:val="24"/>
        </w:rPr>
      </w:pPr>
    </w:p>
    <w:p w14:paraId="126FF9A0" w14:textId="41A3E091" w:rsidR="00EE0489" w:rsidRPr="003542F0" w:rsidRDefault="00087168" w:rsidP="00EE0489">
      <w:pPr>
        <w:contextualSpacing/>
        <w:rPr>
          <w:szCs w:val="24"/>
        </w:rPr>
      </w:pPr>
      <w:r>
        <w:rPr>
          <w:szCs w:val="24"/>
        </w:rPr>
        <w:t xml:space="preserve">Marissa </w:t>
      </w:r>
      <w:proofErr w:type="spellStart"/>
      <w:r>
        <w:rPr>
          <w:szCs w:val="24"/>
        </w:rPr>
        <w:t>Sollows</w:t>
      </w:r>
      <w:proofErr w:type="spellEnd"/>
      <w:r w:rsidR="00EE0489" w:rsidRPr="003542F0">
        <w:rPr>
          <w:szCs w:val="24"/>
        </w:rPr>
        <w:t xml:space="preserve"> </w:t>
      </w:r>
      <w:r w:rsidR="00EE0489" w:rsidRPr="003542F0">
        <w:rPr>
          <w:szCs w:val="24"/>
        </w:rPr>
        <w:tab/>
      </w:r>
      <w:r w:rsidR="00EE0489" w:rsidRPr="003542F0">
        <w:rPr>
          <w:szCs w:val="24"/>
        </w:rPr>
        <w:tab/>
      </w:r>
      <w:r w:rsidR="00EE0489" w:rsidRPr="003542F0">
        <w:rPr>
          <w:szCs w:val="24"/>
        </w:rPr>
        <w:tab/>
      </w:r>
      <w:r w:rsidR="00EE0489" w:rsidRPr="003542F0">
        <w:rPr>
          <w:szCs w:val="24"/>
        </w:rPr>
        <w:tab/>
      </w:r>
      <w:r w:rsidR="00EE0489" w:rsidRPr="003542F0">
        <w:rPr>
          <w:szCs w:val="24"/>
        </w:rPr>
        <w:tab/>
        <w:t>David Harrison</w:t>
      </w:r>
    </w:p>
    <w:p w14:paraId="6CC82752" w14:textId="77777777" w:rsidR="00EE0489" w:rsidRPr="003542F0" w:rsidRDefault="00EE0489" w:rsidP="00EE0489">
      <w:pPr>
        <w:ind w:left="5040" w:hanging="5040"/>
        <w:contextualSpacing/>
        <w:rPr>
          <w:szCs w:val="24"/>
        </w:rPr>
      </w:pPr>
      <w:r w:rsidRPr="003542F0">
        <w:rPr>
          <w:szCs w:val="24"/>
        </w:rPr>
        <w:t xml:space="preserve">Financial and Consumer Services </w:t>
      </w:r>
      <w:r w:rsidRPr="003542F0">
        <w:rPr>
          <w:szCs w:val="24"/>
        </w:rPr>
        <w:tab/>
        <w:t>Nova Scotia Securities Commission</w:t>
      </w:r>
    </w:p>
    <w:p w14:paraId="55995778" w14:textId="77777777" w:rsidR="00EE0489" w:rsidRPr="003542F0" w:rsidRDefault="00EE0489" w:rsidP="00EE0489">
      <w:pPr>
        <w:ind w:left="5040" w:hanging="5040"/>
        <w:contextualSpacing/>
        <w:rPr>
          <w:szCs w:val="24"/>
        </w:rPr>
      </w:pPr>
      <w:r w:rsidRPr="003542F0">
        <w:rPr>
          <w:szCs w:val="24"/>
        </w:rPr>
        <w:t xml:space="preserve">Commission, New Brunswick </w:t>
      </w:r>
      <w:r w:rsidRPr="003542F0">
        <w:rPr>
          <w:szCs w:val="24"/>
        </w:rPr>
        <w:tab/>
        <w:t>902-424-8586</w:t>
      </w:r>
    </w:p>
    <w:p w14:paraId="76BD78F9" w14:textId="3136CF84" w:rsidR="00EE0489" w:rsidRPr="003542F0" w:rsidRDefault="00087168" w:rsidP="00EE0489">
      <w:pPr>
        <w:contextualSpacing/>
        <w:rPr>
          <w:szCs w:val="24"/>
        </w:rPr>
      </w:pPr>
      <w:r w:rsidRPr="00087168">
        <w:rPr>
          <w:szCs w:val="24"/>
        </w:rPr>
        <w:t>506-643-7853</w:t>
      </w:r>
    </w:p>
    <w:p w14:paraId="5DD6D540" w14:textId="77777777" w:rsidR="00EE0489" w:rsidRPr="003542F0" w:rsidRDefault="00EE0489" w:rsidP="00EE0489">
      <w:pPr>
        <w:contextualSpacing/>
        <w:rPr>
          <w:szCs w:val="24"/>
        </w:rPr>
      </w:pPr>
    </w:p>
    <w:p w14:paraId="15BFEE91" w14:textId="77777777" w:rsidR="00EE0489" w:rsidRPr="003542F0" w:rsidRDefault="00EE0489" w:rsidP="00EE0489">
      <w:pPr>
        <w:contextualSpacing/>
        <w:rPr>
          <w:szCs w:val="24"/>
        </w:rPr>
      </w:pPr>
      <w:r w:rsidRPr="003542F0">
        <w:rPr>
          <w:szCs w:val="24"/>
        </w:rPr>
        <w:t xml:space="preserve">Renée Dyer </w:t>
      </w:r>
      <w:r w:rsidRPr="003542F0">
        <w:rPr>
          <w:szCs w:val="24"/>
        </w:rPr>
        <w:tab/>
      </w:r>
      <w:r w:rsidRPr="003542F0">
        <w:rPr>
          <w:szCs w:val="24"/>
        </w:rPr>
        <w:tab/>
        <w:t xml:space="preserve"> </w:t>
      </w:r>
      <w:r w:rsidRPr="003542F0">
        <w:rPr>
          <w:szCs w:val="24"/>
        </w:rPr>
        <w:tab/>
      </w:r>
      <w:r w:rsidRPr="003542F0">
        <w:rPr>
          <w:szCs w:val="24"/>
        </w:rPr>
        <w:tab/>
      </w:r>
      <w:r w:rsidRPr="003542F0">
        <w:rPr>
          <w:szCs w:val="24"/>
        </w:rPr>
        <w:tab/>
      </w:r>
      <w:r w:rsidRPr="003542F0">
        <w:rPr>
          <w:szCs w:val="24"/>
        </w:rPr>
        <w:tab/>
        <w:t xml:space="preserve">Rhonda </w:t>
      </w:r>
      <w:proofErr w:type="spellStart"/>
      <w:r w:rsidRPr="003542F0">
        <w:rPr>
          <w:szCs w:val="24"/>
        </w:rPr>
        <w:t>Horte</w:t>
      </w:r>
      <w:proofErr w:type="spellEnd"/>
      <w:r w:rsidRPr="003542F0">
        <w:rPr>
          <w:szCs w:val="24"/>
        </w:rPr>
        <w:tab/>
      </w:r>
    </w:p>
    <w:p w14:paraId="7F2FDCE1" w14:textId="77777777" w:rsidR="00EE0489" w:rsidRPr="003542F0" w:rsidRDefault="00EE0489" w:rsidP="00EE0489">
      <w:pPr>
        <w:contextualSpacing/>
        <w:rPr>
          <w:szCs w:val="24"/>
        </w:rPr>
      </w:pPr>
      <w:r w:rsidRPr="003542F0">
        <w:rPr>
          <w:szCs w:val="24"/>
        </w:rPr>
        <w:t>Office of the Superintendent of Securities</w:t>
      </w:r>
      <w:r>
        <w:rPr>
          <w:szCs w:val="24"/>
        </w:rPr>
        <w:t>,</w:t>
      </w:r>
      <w:r>
        <w:rPr>
          <w:szCs w:val="24"/>
        </w:rPr>
        <w:tab/>
      </w:r>
      <w:r>
        <w:rPr>
          <w:szCs w:val="24"/>
        </w:rPr>
        <w:tab/>
      </w:r>
      <w:r w:rsidRPr="003542F0">
        <w:rPr>
          <w:szCs w:val="24"/>
        </w:rPr>
        <w:t xml:space="preserve">Office of the </w:t>
      </w:r>
      <w:r>
        <w:rPr>
          <w:szCs w:val="24"/>
        </w:rPr>
        <w:t xml:space="preserve">Yukon </w:t>
      </w:r>
      <w:r w:rsidRPr="003542F0">
        <w:rPr>
          <w:szCs w:val="24"/>
        </w:rPr>
        <w:t xml:space="preserve">Superintendent of </w:t>
      </w:r>
    </w:p>
    <w:p w14:paraId="6A39AA62" w14:textId="77777777" w:rsidR="00EE0489" w:rsidRDefault="00EE0489" w:rsidP="00EE0489">
      <w:pPr>
        <w:contextualSpacing/>
        <w:rPr>
          <w:szCs w:val="24"/>
        </w:rPr>
      </w:pPr>
      <w:r>
        <w:rPr>
          <w:szCs w:val="24"/>
        </w:rPr>
        <w:t>Service NL</w:t>
      </w:r>
      <w:r w:rsidRPr="003542F0">
        <w:rPr>
          <w:szCs w:val="24"/>
        </w:rPr>
        <w:t xml:space="preserve"> </w:t>
      </w:r>
      <w:r w:rsidRPr="003542F0">
        <w:rPr>
          <w:szCs w:val="24"/>
        </w:rPr>
        <w:tab/>
      </w:r>
      <w:r w:rsidRPr="003542F0">
        <w:rPr>
          <w:szCs w:val="24"/>
        </w:rPr>
        <w:tab/>
      </w:r>
      <w:r>
        <w:rPr>
          <w:szCs w:val="24"/>
        </w:rPr>
        <w:tab/>
      </w:r>
      <w:r>
        <w:rPr>
          <w:szCs w:val="24"/>
        </w:rPr>
        <w:tab/>
      </w:r>
      <w:r>
        <w:rPr>
          <w:szCs w:val="24"/>
        </w:rPr>
        <w:tab/>
      </w:r>
      <w:r>
        <w:rPr>
          <w:szCs w:val="24"/>
        </w:rPr>
        <w:tab/>
      </w:r>
      <w:r w:rsidRPr="003542F0">
        <w:rPr>
          <w:szCs w:val="24"/>
        </w:rPr>
        <w:t>Securities</w:t>
      </w:r>
      <w:r w:rsidRPr="003542F0" w:rsidDel="00684C33">
        <w:rPr>
          <w:szCs w:val="24"/>
        </w:rPr>
        <w:t xml:space="preserve"> </w:t>
      </w:r>
      <w:r w:rsidRPr="003542F0">
        <w:rPr>
          <w:szCs w:val="24"/>
        </w:rPr>
        <w:tab/>
      </w:r>
      <w:r w:rsidRPr="003542F0">
        <w:rPr>
          <w:szCs w:val="24"/>
        </w:rPr>
        <w:tab/>
      </w:r>
      <w:r w:rsidRPr="003542F0">
        <w:rPr>
          <w:szCs w:val="24"/>
        </w:rPr>
        <w:tab/>
        <w:t xml:space="preserve">            </w:t>
      </w:r>
    </w:p>
    <w:p w14:paraId="414A5B2D" w14:textId="77777777" w:rsidR="00EE0489" w:rsidRPr="003542F0" w:rsidRDefault="00EE0489" w:rsidP="00EE0489">
      <w:pPr>
        <w:contextualSpacing/>
        <w:rPr>
          <w:szCs w:val="24"/>
        </w:rPr>
      </w:pPr>
      <w:r w:rsidRPr="003542F0">
        <w:rPr>
          <w:szCs w:val="24"/>
        </w:rPr>
        <w:t>709-729-4909</w:t>
      </w:r>
      <w:r w:rsidRPr="003542F0">
        <w:rPr>
          <w:szCs w:val="24"/>
        </w:rPr>
        <w:tab/>
      </w:r>
      <w:r>
        <w:rPr>
          <w:szCs w:val="24"/>
        </w:rPr>
        <w:tab/>
      </w:r>
      <w:r>
        <w:rPr>
          <w:szCs w:val="24"/>
        </w:rPr>
        <w:tab/>
      </w:r>
      <w:r>
        <w:rPr>
          <w:szCs w:val="24"/>
        </w:rPr>
        <w:tab/>
      </w:r>
      <w:r>
        <w:rPr>
          <w:szCs w:val="24"/>
        </w:rPr>
        <w:tab/>
      </w:r>
      <w:r>
        <w:rPr>
          <w:szCs w:val="24"/>
        </w:rPr>
        <w:tab/>
      </w:r>
      <w:r w:rsidRPr="003542F0">
        <w:rPr>
          <w:szCs w:val="24"/>
        </w:rPr>
        <w:t>867-667-5466</w:t>
      </w:r>
      <w:r w:rsidRPr="003542F0">
        <w:rPr>
          <w:szCs w:val="24"/>
        </w:rPr>
        <w:tab/>
      </w:r>
    </w:p>
    <w:p w14:paraId="5C98A490" w14:textId="77777777" w:rsidR="00EE0489" w:rsidRPr="003542F0" w:rsidRDefault="00EE0489" w:rsidP="00EE0489">
      <w:pPr>
        <w:contextualSpacing/>
        <w:rPr>
          <w:szCs w:val="24"/>
        </w:rPr>
      </w:pPr>
    </w:p>
    <w:p w14:paraId="66EE12A2" w14:textId="77777777" w:rsidR="00EE0489" w:rsidRPr="003542F0" w:rsidRDefault="00EE0489" w:rsidP="00EE0489">
      <w:pPr>
        <w:contextualSpacing/>
        <w:rPr>
          <w:szCs w:val="24"/>
        </w:rPr>
      </w:pPr>
      <w:r w:rsidRPr="003542F0">
        <w:rPr>
          <w:szCs w:val="24"/>
        </w:rPr>
        <w:t>Jeff Mason</w:t>
      </w:r>
      <w:r w:rsidRPr="003542F0">
        <w:rPr>
          <w:szCs w:val="24"/>
        </w:rPr>
        <w:tab/>
      </w:r>
      <w:r w:rsidRPr="003542F0">
        <w:rPr>
          <w:szCs w:val="24"/>
        </w:rPr>
        <w:tab/>
      </w:r>
      <w:r w:rsidRPr="003542F0">
        <w:rPr>
          <w:szCs w:val="24"/>
        </w:rPr>
        <w:tab/>
      </w:r>
      <w:r w:rsidRPr="003542F0">
        <w:rPr>
          <w:szCs w:val="24"/>
        </w:rPr>
        <w:tab/>
      </w:r>
      <w:r w:rsidRPr="003542F0">
        <w:rPr>
          <w:szCs w:val="24"/>
        </w:rPr>
        <w:tab/>
      </w:r>
      <w:r w:rsidRPr="003542F0">
        <w:rPr>
          <w:szCs w:val="24"/>
        </w:rPr>
        <w:tab/>
        <w:t>Tom Hall</w:t>
      </w:r>
    </w:p>
    <w:p w14:paraId="564DC763" w14:textId="77777777" w:rsidR="00EE0489" w:rsidRDefault="00EE0489" w:rsidP="00EE0489">
      <w:pPr>
        <w:ind w:left="5040" w:hanging="5040"/>
        <w:contextualSpacing/>
        <w:rPr>
          <w:szCs w:val="24"/>
        </w:rPr>
      </w:pPr>
      <w:r>
        <w:rPr>
          <w:szCs w:val="24"/>
        </w:rPr>
        <w:t xml:space="preserve">Superintendent of Securities, </w:t>
      </w:r>
      <w:r w:rsidRPr="003542F0">
        <w:rPr>
          <w:szCs w:val="24"/>
        </w:rPr>
        <w:t>Nunavut</w:t>
      </w:r>
      <w:r>
        <w:rPr>
          <w:szCs w:val="24"/>
        </w:rPr>
        <w:tab/>
        <w:t>Northwest Territories Office of the</w:t>
      </w:r>
    </w:p>
    <w:p w14:paraId="00E70872" w14:textId="77777777" w:rsidR="00EE0489" w:rsidRDefault="00EE0489" w:rsidP="00EE0489">
      <w:pPr>
        <w:contextualSpacing/>
        <w:rPr>
          <w:szCs w:val="24"/>
        </w:rPr>
      </w:pPr>
      <w:r w:rsidRPr="002C0346">
        <w:rPr>
          <w:szCs w:val="24"/>
        </w:rPr>
        <w:t>867-975-6591</w:t>
      </w:r>
      <w:r>
        <w:rPr>
          <w:szCs w:val="24"/>
        </w:rPr>
        <w:tab/>
      </w:r>
      <w:r>
        <w:rPr>
          <w:szCs w:val="24"/>
        </w:rPr>
        <w:tab/>
      </w:r>
      <w:r>
        <w:rPr>
          <w:szCs w:val="24"/>
        </w:rPr>
        <w:tab/>
      </w:r>
      <w:r>
        <w:rPr>
          <w:szCs w:val="24"/>
        </w:rPr>
        <w:tab/>
      </w:r>
      <w:r>
        <w:rPr>
          <w:szCs w:val="24"/>
        </w:rPr>
        <w:tab/>
      </w:r>
      <w:r>
        <w:rPr>
          <w:szCs w:val="24"/>
        </w:rPr>
        <w:tab/>
        <w:t>Superintendent of Securities</w:t>
      </w:r>
    </w:p>
    <w:p w14:paraId="3A3BAAF9" w14:textId="77777777" w:rsidR="00EE0489" w:rsidRPr="003542F0" w:rsidRDefault="00EE0489" w:rsidP="00EE0489">
      <w:pPr>
        <w:ind w:left="5040" w:hanging="5040"/>
        <w:contextualSpacing/>
        <w:rPr>
          <w:szCs w:val="24"/>
        </w:rPr>
      </w:pPr>
      <w:r>
        <w:rPr>
          <w:szCs w:val="24"/>
        </w:rPr>
        <w:tab/>
      </w:r>
      <w:r w:rsidRPr="00C43445">
        <w:rPr>
          <w:szCs w:val="24"/>
        </w:rPr>
        <w:t>867-767-9305</w:t>
      </w:r>
      <w:r>
        <w:rPr>
          <w:szCs w:val="24"/>
        </w:rPr>
        <w:br/>
      </w:r>
      <w:r w:rsidRPr="003542F0">
        <w:rPr>
          <w:szCs w:val="24"/>
        </w:rPr>
        <w:tab/>
      </w:r>
      <w:r w:rsidRPr="003542F0">
        <w:rPr>
          <w:szCs w:val="24"/>
        </w:rPr>
        <w:tab/>
      </w:r>
    </w:p>
    <w:p w14:paraId="1E1AD6B8" w14:textId="77777777" w:rsidR="00EE0489" w:rsidRPr="003542F0" w:rsidRDefault="00EE0489" w:rsidP="00EE0489">
      <w:pPr>
        <w:contextualSpacing/>
        <w:rPr>
          <w:szCs w:val="24"/>
        </w:rPr>
      </w:pPr>
      <w:r w:rsidRPr="003542F0">
        <w:rPr>
          <w:szCs w:val="24"/>
        </w:rPr>
        <w:t>Shannon McMillan</w:t>
      </w:r>
    </w:p>
    <w:p w14:paraId="2644B4C7" w14:textId="0AFE8BC9" w:rsidR="00B83396" w:rsidRPr="00B83396" w:rsidRDefault="00B83396" w:rsidP="00B83396">
      <w:pPr>
        <w:rPr>
          <w:szCs w:val="24"/>
        </w:rPr>
      </w:pPr>
      <w:r w:rsidRPr="00B83396">
        <w:rPr>
          <w:szCs w:val="24"/>
        </w:rPr>
        <w:t>Financial</w:t>
      </w:r>
      <w:r>
        <w:rPr>
          <w:szCs w:val="24"/>
        </w:rPr>
        <w:t xml:space="preserve"> and Consumer Affairs Authority</w:t>
      </w:r>
      <w:r>
        <w:rPr>
          <w:szCs w:val="24"/>
        </w:rPr>
        <w:br/>
      </w:r>
      <w:r w:rsidRPr="00B83396">
        <w:rPr>
          <w:szCs w:val="24"/>
        </w:rPr>
        <w:t>of Saskatchewan</w:t>
      </w:r>
    </w:p>
    <w:p w14:paraId="14A0DC40" w14:textId="77777777" w:rsidR="00EE0489" w:rsidRPr="003542F0" w:rsidRDefault="00EE0489" w:rsidP="00EE0489">
      <w:pPr>
        <w:contextualSpacing/>
        <w:rPr>
          <w:szCs w:val="24"/>
        </w:rPr>
      </w:pPr>
      <w:r w:rsidRPr="003542F0">
        <w:rPr>
          <w:szCs w:val="24"/>
        </w:rPr>
        <w:t>306-798-4160</w:t>
      </w:r>
    </w:p>
    <w:p w14:paraId="7A2E47F5" w14:textId="77777777" w:rsidR="00EE0489" w:rsidRPr="003542F0" w:rsidRDefault="00EE0489" w:rsidP="00EE0489">
      <w:pPr>
        <w:keepNext/>
        <w:tabs>
          <w:tab w:val="right" w:pos="9360"/>
        </w:tabs>
        <w:spacing w:after="120"/>
        <w:contextualSpacing/>
        <w:jc w:val="both"/>
        <w:rPr>
          <w:szCs w:val="24"/>
          <w:lang w:val="en-CA"/>
        </w:rPr>
      </w:pPr>
    </w:p>
    <w:p w14:paraId="5C8B717F" w14:textId="77777777" w:rsidR="00BA1051" w:rsidRDefault="00BA1051">
      <w:pPr>
        <w:pStyle w:val="BodyText"/>
        <w:spacing w:before="8"/>
        <w:rPr>
          <w:b/>
          <w:sz w:val="30"/>
        </w:rPr>
      </w:pPr>
    </w:p>
    <w:sectPr w:rsidR="00BA1051">
      <w:headerReference w:type="even" r:id="rId11"/>
      <w:headerReference w:type="default" r:id="rId12"/>
      <w:headerReference w:type="first" r:id="rId13"/>
      <w:pgSz w:w="12240" w:h="15840" w:code="1"/>
      <w:pgMar w:top="1440" w:right="1440" w:bottom="1440" w:left="1440" w:header="1440" w:footer="720" w:gutter="0"/>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CA9B92" w16cid:durableId="22EA579F"/>
  <w16cid:commentId w16cid:paraId="6F2A791F" w16cid:durableId="22EA59CC"/>
  <w16cid:commentId w16cid:paraId="26A29B71" w16cid:durableId="22EA5796"/>
  <w16cid:commentId w16cid:paraId="47321591" w16cid:durableId="22EA5797"/>
  <w16cid:commentId w16cid:paraId="67723B82" w16cid:durableId="22EA579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3DEAE" w14:textId="77777777" w:rsidR="00357D99" w:rsidRDefault="00357D99">
      <w:r>
        <w:separator/>
      </w:r>
    </w:p>
  </w:endnote>
  <w:endnote w:type="continuationSeparator" w:id="0">
    <w:p w14:paraId="3599494A" w14:textId="77777777" w:rsidR="00357D99" w:rsidRDefault="0035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7F8C1" w14:textId="77777777" w:rsidR="00357D99" w:rsidRDefault="00357D99">
      <w:r>
        <w:separator/>
      </w:r>
    </w:p>
  </w:footnote>
  <w:footnote w:type="continuationSeparator" w:id="0">
    <w:p w14:paraId="3E170BA5" w14:textId="77777777" w:rsidR="00357D99" w:rsidRDefault="00357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1CC4" w14:textId="77777777" w:rsidR="005B6872" w:rsidRDefault="00DD6A8E">
    <w:pPr>
      <w:pStyle w:val="Header"/>
    </w:pPr>
    <w:r>
      <w:rPr>
        <w:noProof/>
      </w:rPr>
      <w:pict w14:anchorId="0F9D5C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435.05pt;height:174pt;rotation:315;z-index:-251658240;mso-position-horizontal:center;mso-position-horizontal-relative:margin;mso-position-vertical:center;mso-position-vertical-relative:margin" wrapcoords="21302 2421 14003 2421 13966 2793 14561 4562 14561 8752 11619 2328 11470 1955 10502 9124 8081 3817 7188 2141 7001 2514 5288 2421 4841 2421 4841 2886 5437 4934 5400 6890 3426 3352 2942 2514 223 2421 74 2514 112 3072 670 5586 521 15828 0 16479 74 16572 186 16945 2644 16852 3240 16293 3724 15362 3910 15828 5102 17131 5214 17038 6108 17131 6703 16852 6741 16572 6108 12941 7039 15269 8417 17503 8603 17038 10577 16945 10577 16386 10167 14617 10390 13034 11582 16107 12550 17690 12811 17038 15306 16945 15902 16852 15902 16386 15269 14803 15269 10521 15865 9869 18583 16666 19217 17969 19552 17038 20371 16945 20520 16852 20446 16200 19924 13686 19924 5307 20036 3538 21041 5586 21377 5959 21451 4934 21414 2700 21302 2421"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D68FB" w14:textId="77777777" w:rsidR="005B6872" w:rsidRDefault="00A87A66">
    <w:pPr>
      <w:pStyle w:val="Header"/>
      <w:tabs>
        <w:tab w:val="clear" w:pos="8640"/>
        <w:tab w:val="right" w:pos="8550"/>
      </w:tabs>
      <w:rPr>
        <w:rStyle w:val="PageNumber"/>
      </w:rPr>
    </w:pPr>
    <w:r>
      <w:tab/>
    </w:r>
    <w:bookmarkStart w:id="1" w:name="NRNo2"/>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58EA6" w14:textId="77777777" w:rsidR="005B6872" w:rsidRDefault="00A87A66">
    <w:pPr>
      <w:pStyle w:val="Header"/>
      <w:rPr>
        <w:lang w:val="fr-FR"/>
      </w:rPr>
    </w:pPr>
    <w:r>
      <w:rPr>
        <w:noProof/>
        <w:sz w:val="20"/>
        <w:lang w:val="en-CA" w:eastAsia="en-CA"/>
      </w:rPr>
      <w:drawing>
        <wp:anchor distT="0" distB="0" distL="114300" distR="114300" simplePos="0" relativeHeight="251657216" behindDoc="0" locked="0" layoutInCell="1" allowOverlap="1" wp14:anchorId="22F7E914" wp14:editId="1BB57484">
          <wp:simplePos x="0" y="0"/>
          <wp:positionH relativeFrom="column">
            <wp:posOffset>-177165</wp:posOffset>
          </wp:positionH>
          <wp:positionV relativeFrom="paragraph">
            <wp:posOffset>-340360</wp:posOffset>
          </wp:positionV>
          <wp:extent cx="6456680" cy="398145"/>
          <wp:effectExtent l="0" t="0" r="1270" b="1905"/>
          <wp:wrapNone/>
          <wp:docPr id="2" name="Picture 2" descr="Logo CSA_AC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53561" name="Picture 1" descr="Logo CSA_ACV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56680" cy="398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051"/>
    <w:rsid w:val="00087168"/>
    <w:rsid w:val="002247B0"/>
    <w:rsid w:val="00357D99"/>
    <w:rsid w:val="006527E9"/>
    <w:rsid w:val="008F0781"/>
    <w:rsid w:val="009E6EAF"/>
    <w:rsid w:val="00A87A66"/>
    <w:rsid w:val="00B83396"/>
    <w:rsid w:val="00BA1051"/>
    <w:rsid w:val="00DD6A8E"/>
    <w:rsid w:val="00DF26BA"/>
    <w:rsid w:val="00E60468"/>
    <w:rsid w:val="00EE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5E8D12"/>
  <w15:docId w15:val="{5489E452-77E7-4154-9971-C5C11908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E60468"/>
    <w:rPr>
      <w:sz w:val="16"/>
      <w:szCs w:val="16"/>
    </w:rPr>
  </w:style>
  <w:style w:type="paragraph" w:styleId="CommentText">
    <w:name w:val="annotation text"/>
    <w:basedOn w:val="Normal"/>
    <w:link w:val="CommentTextChar"/>
    <w:uiPriority w:val="99"/>
    <w:semiHidden/>
    <w:unhideWhenUsed/>
    <w:rsid w:val="00E60468"/>
    <w:rPr>
      <w:sz w:val="20"/>
      <w:szCs w:val="20"/>
    </w:rPr>
  </w:style>
  <w:style w:type="character" w:customStyle="1" w:styleId="CommentTextChar">
    <w:name w:val="Comment Text Char"/>
    <w:basedOn w:val="DefaultParagraphFont"/>
    <w:link w:val="CommentText"/>
    <w:uiPriority w:val="99"/>
    <w:semiHidden/>
    <w:rsid w:val="00E604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0468"/>
    <w:rPr>
      <w:b/>
      <w:bCs/>
    </w:rPr>
  </w:style>
  <w:style w:type="character" w:customStyle="1" w:styleId="CommentSubjectChar">
    <w:name w:val="Comment Subject Char"/>
    <w:basedOn w:val="CommentTextChar"/>
    <w:link w:val="CommentSubject"/>
    <w:uiPriority w:val="99"/>
    <w:semiHidden/>
    <w:rsid w:val="00E6046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60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468"/>
    <w:rPr>
      <w:rFonts w:ascii="Segoe UI" w:eastAsia="Times New Roman" w:hAnsi="Segoe UI" w:cs="Segoe UI"/>
      <w:sz w:val="18"/>
      <w:szCs w:val="18"/>
    </w:rPr>
  </w:style>
  <w:style w:type="paragraph" w:styleId="Header">
    <w:name w:val="header"/>
    <w:basedOn w:val="Normal"/>
    <w:link w:val="HeaderChar"/>
    <w:semiHidden/>
    <w:rsid w:val="00EE0489"/>
    <w:pPr>
      <w:widowControl/>
      <w:tabs>
        <w:tab w:val="center" w:pos="4320"/>
        <w:tab w:val="right" w:pos="8640"/>
      </w:tabs>
      <w:autoSpaceDE/>
      <w:autoSpaceDN/>
    </w:pPr>
    <w:rPr>
      <w:sz w:val="24"/>
      <w:szCs w:val="20"/>
      <w:lang w:val="en-GB"/>
    </w:rPr>
  </w:style>
  <w:style w:type="character" w:customStyle="1" w:styleId="HeaderChar">
    <w:name w:val="Header Char"/>
    <w:basedOn w:val="DefaultParagraphFont"/>
    <w:link w:val="Header"/>
    <w:semiHidden/>
    <w:rsid w:val="00EE0489"/>
    <w:rPr>
      <w:rFonts w:ascii="Times New Roman" w:eastAsia="Times New Roman" w:hAnsi="Times New Roman" w:cs="Times New Roman"/>
      <w:sz w:val="24"/>
      <w:szCs w:val="20"/>
      <w:lang w:val="en-GB"/>
    </w:rPr>
  </w:style>
  <w:style w:type="character" w:styleId="PageNumber">
    <w:name w:val="page number"/>
    <w:basedOn w:val="DefaultParagraphFont"/>
    <w:semiHidden/>
    <w:rsid w:val="00EE0489"/>
  </w:style>
  <w:style w:type="character" w:styleId="Hyperlink">
    <w:name w:val="Hyperlink"/>
    <w:rsid w:val="00EE0489"/>
    <w:rPr>
      <w:color w:val="0000FF"/>
      <w:u w:val="single"/>
    </w:rPr>
  </w:style>
  <w:style w:type="paragraph" w:customStyle="1" w:styleId="xmsonormal">
    <w:name w:val="x_msonormal"/>
    <w:basedOn w:val="Normal"/>
    <w:uiPriority w:val="99"/>
    <w:rsid w:val="00EE0489"/>
    <w:pPr>
      <w:widowControl/>
      <w:autoSpaceDE/>
      <w:autoSpaceDN/>
    </w:pPr>
    <w:rPr>
      <w:rFonts w:ascii="Calibri" w:eastAsia="Calibri" w:hAnsi="Calibri" w:cs="Calibri"/>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cwaldie@osc.gov.on.ca"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mailto:ccollins@bcsc.bc.ca" TargetMode="External"/><Relationship Id="rId12" Type="http://schemas.openxmlformats.org/officeDocument/2006/relationships/header" Target="header2.xml"/><Relationship Id="rId1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media@acvm-csa.ca" TargetMode="External"/><Relationship Id="rId4" Type="http://schemas.openxmlformats.org/officeDocument/2006/relationships/footnotes" Target="footnotes.xml"/><Relationship Id="rId9" Type="http://schemas.openxmlformats.org/officeDocument/2006/relationships/hyperlink" Target="https://urldefense.proofpoint.com/v2/url?u=https-3A__www.securities-2Dadministrators.ca_aboutcsa.aspx-3Fid-3D99&amp;d=DwMF-g&amp;c=kKMeWEPojfTufBBCn6c0NsCswl1Dvj5uNFqOEIgdR8M&amp;r=mrR_QAIxVZjowWZmnS7h7oAVE5_io6wnw9w6l_BIMrE&amp;m=EpwFCCv0W8rgemHAaXiewXdmg7MgpkHDTG26nN_MdKs&amp;s=cPJOCobT2rIs6RCHg3Kfua5F0Zu0QxWpcJaWqYbSFZg&amp;e=" TargetMode="Externa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CSA MTAMC_Request for New Members_FINAL.docx</vt:lpstr>
    </vt:vector>
  </TitlesOfParts>
  <Company>British Columbia Securities Commission</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CSA MTAMC_Request for New Members_FINAL.docx</dc:title>
  <dc:creator>cwaldie</dc:creator>
  <cp:lastModifiedBy>Julian J. Davis</cp:lastModifiedBy>
  <cp:revision>2</cp:revision>
  <dcterms:created xsi:type="dcterms:W3CDTF">2020-09-02T21:24:00Z</dcterms:created>
  <dcterms:modified xsi:type="dcterms:W3CDTF">2020-09-02T21:24:00Z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2017-09-12T00:00:00Z</vt:filetime>
  </property>
  <property fmtid="{D5CDD505-2E9C-101B-9397-08002B2CF9AE}" pid="3" name="Creator">
    <vt:lpwstr>Microsoft Word - CSA MTAMC_Request for New Members_FINAL.docx</vt:lpwstr>
  </property>
  <property fmtid="{D5CDD505-2E9C-101B-9397-08002B2CF9AE}" pid="4" name="LastSaved">
    <vt:filetime>2020-08-20T00:00:00Z</vt:filetime>
  </property>
</Properties>
</file>