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987DD" w14:textId="5A4F9178" w:rsidR="00784F6E" w:rsidRPr="00947F30" w:rsidRDefault="00FB1040" w:rsidP="00784F6E">
      <w:pPr>
        <w:widowControl w:val="0"/>
        <w:shd w:val="clear" w:color="auto" w:fill="184B8B"/>
        <w:autoSpaceDE w:val="0"/>
        <w:autoSpaceDN w:val="0"/>
        <w:adjustRightInd w:val="0"/>
        <w:jc w:val="center"/>
        <w:rPr>
          <w:b/>
          <w:color w:val="BEAF87"/>
          <w:sz w:val="32"/>
          <w:szCs w:val="32"/>
          <w:lang w:eastAsia="en-CA"/>
        </w:rPr>
      </w:pPr>
      <w:bookmarkStart w:id="0" w:name="_GoBack"/>
      <w:bookmarkEnd w:id="0"/>
      <w:r w:rsidRPr="00947F30">
        <w:rPr>
          <w:noProof/>
          <w:sz w:val="32"/>
          <w:szCs w:val="32"/>
          <w:lang w:val="en-US"/>
        </w:rPr>
        <w:drawing>
          <wp:anchor distT="0" distB="0" distL="114300" distR="114300" simplePos="0" relativeHeight="251658240" behindDoc="0" locked="0" layoutInCell="1" allowOverlap="1" wp14:anchorId="4EF588A2" wp14:editId="3C878A1D">
            <wp:simplePos x="0" y="0"/>
            <wp:positionH relativeFrom="column">
              <wp:posOffset>161925</wp:posOffset>
            </wp:positionH>
            <wp:positionV relativeFrom="paragraph">
              <wp:posOffset>-411480</wp:posOffset>
            </wp:positionV>
            <wp:extent cx="5476875" cy="342900"/>
            <wp:effectExtent l="0" t="0" r="9525" b="0"/>
            <wp:wrapNone/>
            <wp:docPr id="2" name="Picture 1" descr="Logo CSA_AC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SA_ACV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6875" cy="342900"/>
                    </a:xfrm>
                    <a:prstGeom prst="rect">
                      <a:avLst/>
                    </a:prstGeom>
                    <a:noFill/>
                  </pic:spPr>
                </pic:pic>
              </a:graphicData>
            </a:graphic>
            <wp14:sizeRelH relativeFrom="page">
              <wp14:pctWidth>0</wp14:pctWidth>
            </wp14:sizeRelH>
            <wp14:sizeRelV relativeFrom="page">
              <wp14:pctHeight>0</wp14:pctHeight>
            </wp14:sizeRelV>
          </wp:anchor>
        </w:drawing>
      </w:r>
      <w:r w:rsidR="004F6434" w:rsidRPr="00947F30">
        <w:rPr>
          <w:b/>
          <w:color w:val="BEAF87"/>
          <w:sz w:val="32"/>
          <w:szCs w:val="32"/>
          <w:lang w:eastAsia="en-CA"/>
        </w:rPr>
        <w:t>CSA Staff Notice</w:t>
      </w:r>
      <w:r w:rsidR="00CA61CE" w:rsidRPr="00947F30">
        <w:rPr>
          <w:b/>
          <w:color w:val="BEAF87"/>
          <w:sz w:val="32"/>
          <w:szCs w:val="32"/>
          <w:lang w:eastAsia="en-CA"/>
        </w:rPr>
        <w:t xml:space="preserve"> 51-</w:t>
      </w:r>
      <w:r w:rsidR="00AB4445">
        <w:rPr>
          <w:b/>
          <w:color w:val="BEAF87"/>
          <w:sz w:val="32"/>
          <w:szCs w:val="32"/>
          <w:lang w:eastAsia="en-CA"/>
        </w:rPr>
        <w:t>36</w:t>
      </w:r>
      <w:r w:rsidR="00E323BD">
        <w:rPr>
          <w:b/>
          <w:color w:val="BEAF87"/>
          <w:sz w:val="32"/>
          <w:szCs w:val="32"/>
          <w:lang w:eastAsia="en-CA"/>
        </w:rPr>
        <w:t>2</w:t>
      </w:r>
    </w:p>
    <w:p w14:paraId="213E091F" w14:textId="77777777" w:rsidR="00AA510E" w:rsidRDefault="00183C4E" w:rsidP="00AA510E">
      <w:pPr>
        <w:widowControl w:val="0"/>
        <w:shd w:val="clear" w:color="auto" w:fill="184B8B"/>
        <w:autoSpaceDE w:val="0"/>
        <w:autoSpaceDN w:val="0"/>
        <w:adjustRightInd w:val="0"/>
        <w:spacing w:after="480"/>
        <w:jc w:val="center"/>
        <w:rPr>
          <w:b/>
          <w:i/>
          <w:color w:val="BEAF87"/>
          <w:sz w:val="32"/>
          <w:szCs w:val="32"/>
          <w:lang w:eastAsia="en-CA"/>
        </w:rPr>
      </w:pPr>
      <w:r w:rsidRPr="00947F30">
        <w:rPr>
          <w:b/>
          <w:i/>
          <w:color w:val="BEAF87"/>
          <w:sz w:val="32"/>
          <w:szCs w:val="32"/>
          <w:lang w:eastAsia="en-CA"/>
        </w:rPr>
        <w:t>Staff Review of COVID-19 Disclosures and Guide for Disclosure Improvements</w:t>
      </w:r>
      <w:r w:rsidR="008F6038" w:rsidRPr="00947F30">
        <w:rPr>
          <w:b/>
          <w:i/>
          <w:color w:val="BEAF87"/>
          <w:sz w:val="32"/>
          <w:szCs w:val="32"/>
          <w:lang w:eastAsia="en-CA"/>
        </w:rPr>
        <w:t xml:space="preserve"> </w:t>
      </w:r>
    </w:p>
    <w:p w14:paraId="22B4B841" w14:textId="7C9280BA" w:rsidR="007C3439" w:rsidRDefault="00721FCC" w:rsidP="00723268">
      <w:pPr>
        <w:rPr>
          <w:b/>
          <w:bCs/>
          <w:szCs w:val="24"/>
        </w:rPr>
      </w:pPr>
      <w:r w:rsidRPr="00721FCC">
        <w:rPr>
          <w:b/>
          <w:bCs/>
          <w:szCs w:val="24"/>
        </w:rPr>
        <w:t>Feb</w:t>
      </w:r>
      <w:r w:rsidR="00715320">
        <w:rPr>
          <w:b/>
          <w:bCs/>
          <w:szCs w:val="24"/>
        </w:rPr>
        <w:t>ruary</w:t>
      </w:r>
      <w:r w:rsidRPr="00721FCC">
        <w:rPr>
          <w:b/>
          <w:bCs/>
          <w:szCs w:val="24"/>
        </w:rPr>
        <w:t xml:space="preserve"> </w:t>
      </w:r>
      <w:r w:rsidR="00715320">
        <w:rPr>
          <w:b/>
          <w:bCs/>
          <w:szCs w:val="24"/>
        </w:rPr>
        <w:t>25,</w:t>
      </w:r>
      <w:r w:rsidRPr="00721FCC">
        <w:rPr>
          <w:b/>
          <w:bCs/>
          <w:szCs w:val="24"/>
        </w:rPr>
        <w:t xml:space="preserve"> 2021</w:t>
      </w:r>
    </w:p>
    <w:p w14:paraId="6E32E0D6" w14:textId="77777777" w:rsidR="00723268" w:rsidRPr="00723268" w:rsidRDefault="00723268" w:rsidP="00723268">
      <w:pPr>
        <w:rPr>
          <w:b/>
          <w:bCs/>
          <w:szCs w:val="24"/>
        </w:rPr>
      </w:pPr>
    </w:p>
    <w:p w14:paraId="0A0D5B73" w14:textId="77777777" w:rsidR="009342DE" w:rsidRPr="005D7778" w:rsidRDefault="00572270" w:rsidP="00F51752">
      <w:pPr>
        <w:pStyle w:val="Heading1"/>
        <w:numPr>
          <w:ilvl w:val="0"/>
          <w:numId w:val="0"/>
        </w:numPr>
        <w:rPr>
          <w:color w:val="1F497D" w:themeColor="text2"/>
          <w:sz w:val="32"/>
          <w:szCs w:val="24"/>
        </w:rPr>
      </w:pPr>
      <w:bookmarkStart w:id="1" w:name="_Toc62334904"/>
      <w:r>
        <w:rPr>
          <w:color w:val="1F497D" w:themeColor="text2"/>
          <w:sz w:val="32"/>
          <w:szCs w:val="24"/>
        </w:rPr>
        <w:t>Introduction</w:t>
      </w:r>
      <w:bookmarkEnd w:id="1"/>
      <w:r w:rsidR="009342DE">
        <w:rPr>
          <w:color w:val="1F497D" w:themeColor="text2"/>
          <w:sz w:val="32"/>
          <w:szCs w:val="24"/>
        </w:rPr>
        <w:t xml:space="preserve">  </w:t>
      </w:r>
    </w:p>
    <w:p w14:paraId="3D7A0958" w14:textId="5EED8C4F" w:rsidR="00C665E4" w:rsidRPr="00947F30" w:rsidRDefault="00C665E4" w:rsidP="00947F30">
      <w:pPr>
        <w:spacing w:after="240"/>
        <w:jc w:val="both"/>
        <w:rPr>
          <w:sz w:val="22"/>
          <w:szCs w:val="22"/>
        </w:rPr>
      </w:pPr>
      <w:r w:rsidRPr="00947F30">
        <w:rPr>
          <w:sz w:val="22"/>
          <w:szCs w:val="22"/>
        </w:rPr>
        <w:t>The Canadian Securities Administrators (</w:t>
      </w:r>
      <w:r w:rsidRPr="00947F30">
        <w:rPr>
          <w:b/>
          <w:bCs/>
          <w:sz w:val="22"/>
          <w:szCs w:val="22"/>
        </w:rPr>
        <w:t>CSA</w:t>
      </w:r>
      <w:r w:rsidRPr="00947F30">
        <w:rPr>
          <w:sz w:val="22"/>
          <w:szCs w:val="22"/>
        </w:rPr>
        <w:t>) have prepared this Staff Notice (</w:t>
      </w:r>
      <w:r w:rsidR="00027201">
        <w:rPr>
          <w:b/>
          <w:bCs/>
          <w:sz w:val="22"/>
          <w:szCs w:val="22"/>
        </w:rPr>
        <w:t>N</w:t>
      </w:r>
      <w:r w:rsidRPr="00947F30">
        <w:rPr>
          <w:b/>
          <w:bCs/>
          <w:sz w:val="22"/>
          <w:szCs w:val="22"/>
        </w:rPr>
        <w:t>otice</w:t>
      </w:r>
      <w:r w:rsidRPr="00947F30">
        <w:rPr>
          <w:sz w:val="22"/>
          <w:szCs w:val="22"/>
        </w:rPr>
        <w:t xml:space="preserve">) to </w:t>
      </w:r>
      <w:r w:rsidR="68DB59C8" w:rsidRPr="00947F30">
        <w:rPr>
          <w:sz w:val="22"/>
          <w:szCs w:val="22"/>
        </w:rPr>
        <w:t>report</w:t>
      </w:r>
      <w:r w:rsidRPr="00947F30">
        <w:rPr>
          <w:sz w:val="22"/>
          <w:szCs w:val="22"/>
        </w:rPr>
        <w:t xml:space="preserve"> the results of recently completed continuous disclosure reviews (</w:t>
      </w:r>
      <w:r w:rsidRPr="00947F30">
        <w:rPr>
          <w:b/>
          <w:bCs/>
          <w:sz w:val="22"/>
          <w:szCs w:val="22"/>
        </w:rPr>
        <w:t>reviews</w:t>
      </w:r>
      <w:r w:rsidRPr="00947F30">
        <w:rPr>
          <w:sz w:val="22"/>
          <w:szCs w:val="22"/>
        </w:rPr>
        <w:t>) conducted by CSA</w:t>
      </w:r>
      <w:r w:rsidR="00A455ED">
        <w:rPr>
          <w:sz w:val="22"/>
          <w:szCs w:val="22"/>
        </w:rPr>
        <w:t xml:space="preserve"> staff (</w:t>
      </w:r>
      <w:r w:rsidR="00A455ED" w:rsidRPr="00D93E09">
        <w:rPr>
          <w:b/>
          <w:bCs/>
          <w:sz w:val="22"/>
          <w:szCs w:val="22"/>
        </w:rPr>
        <w:t>staff or we</w:t>
      </w:r>
      <w:r w:rsidR="00A455ED">
        <w:rPr>
          <w:sz w:val="22"/>
          <w:szCs w:val="22"/>
        </w:rPr>
        <w:t>)</w:t>
      </w:r>
      <w:r w:rsidRPr="00947F30">
        <w:rPr>
          <w:sz w:val="22"/>
          <w:szCs w:val="22"/>
        </w:rPr>
        <w:t xml:space="preserve"> of the disclosures</w:t>
      </w:r>
      <w:r w:rsidR="00FA71F5">
        <w:rPr>
          <w:sz w:val="22"/>
          <w:szCs w:val="22"/>
        </w:rPr>
        <w:t xml:space="preserve"> </w:t>
      </w:r>
      <w:r w:rsidRPr="00947F30">
        <w:rPr>
          <w:sz w:val="22"/>
          <w:szCs w:val="22"/>
        </w:rPr>
        <w:t>provided by reporting issuers</w:t>
      </w:r>
      <w:r w:rsidRPr="00FA71F5">
        <w:rPr>
          <w:rStyle w:val="FootnoteReference"/>
          <w:sz w:val="22"/>
          <w:szCs w:val="22"/>
          <w:vertAlign w:val="superscript"/>
        </w:rPr>
        <w:footnoteReference w:id="2"/>
      </w:r>
      <w:r w:rsidRPr="00947F30">
        <w:rPr>
          <w:sz w:val="22"/>
          <w:szCs w:val="22"/>
        </w:rPr>
        <w:t xml:space="preserve"> on the impact of COVID-19 to their business. Since </w:t>
      </w:r>
      <w:r w:rsidR="00E16548">
        <w:rPr>
          <w:sz w:val="22"/>
          <w:szCs w:val="22"/>
        </w:rPr>
        <w:t xml:space="preserve">the </w:t>
      </w:r>
      <w:r w:rsidRPr="00947F30">
        <w:rPr>
          <w:sz w:val="22"/>
          <w:szCs w:val="22"/>
        </w:rPr>
        <w:t>World Health Organization</w:t>
      </w:r>
      <w:r w:rsidR="00132975">
        <w:rPr>
          <w:sz w:val="22"/>
          <w:szCs w:val="22"/>
        </w:rPr>
        <w:t xml:space="preserve"> declared COVID-19</w:t>
      </w:r>
      <w:r w:rsidR="00FD55A8">
        <w:rPr>
          <w:sz w:val="22"/>
          <w:szCs w:val="22"/>
        </w:rPr>
        <w:t xml:space="preserve"> as</w:t>
      </w:r>
      <w:r w:rsidR="00132975">
        <w:rPr>
          <w:sz w:val="22"/>
          <w:szCs w:val="22"/>
        </w:rPr>
        <w:t xml:space="preserve"> a pandemic</w:t>
      </w:r>
      <w:r w:rsidRPr="00947F30">
        <w:rPr>
          <w:sz w:val="22"/>
          <w:szCs w:val="22"/>
        </w:rPr>
        <w:t xml:space="preserve"> on March 1</w:t>
      </w:r>
      <w:r w:rsidR="0001469C">
        <w:rPr>
          <w:sz w:val="22"/>
          <w:szCs w:val="22"/>
        </w:rPr>
        <w:t>1</w:t>
      </w:r>
      <w:r w:rsidRPr="00947F30">
        <w:rPr>
          <w:sz w:val="22"/>
          <w:szCs w:val="22"/>
        </w:rPr>
        <w:t xml:space="preserve">, 2020, </w:t>
      </w:r>
      <w:r w:rsidR="00242C03">
        <w:rPr>
          <w:sz w:val="22"/>
          <w:szCs w:val="22"/>
        </w:rPr>
        <w:t xml:space="preserve">COVID-19 </w:t>
      </w:r>
      <w:r w:rsidRPr="00947F30">
        <w:rPr>
          <w:sz w:val="22"/>
          <w:szCs w:val="22"/>
        </w:rPr>
        <w:t xml:space="preserve">has </w:t>
      </w:r>
      <w:r w:rsidR="007F4C67">
        <w:rPr>
          <w:sz w:val="22"/>
          <w:szCs w:val="22"/>
        </w:rPr>
        <w:t>had a</w:t>
      </w:r>
      <w:r w:rsidR="00A455ED">
        <w:rPr>
          <w:sz w:val="22"/>
          <w:szCs w:val="22"/>
        </w:rPr>
        <w:t xml:space="preserve"> </w:t>
      </w:r>
      <w:r w:rsidR="00C26B1A">
        <w:rPr>
          <w:sz w:val="22"/>
          <w:szCs w:val="22"/>
        </w:rPr>
        <w:t>material adverse impact</w:t>
      </w:r>
      <w:r w:rsidRPr="00947F30">
        <w:rPr>
          <w:sz w:val="22"/>
          <w:szCs w:val="22"/>
        </w:rPr>
        <w:t xml:space="preserve"> on the economy and is posing </w:t>
      </w:r>
      <w:r w:rsidR="00E16548">
        <w:rPr>
          <w:sz w:val="22"/>
          <w:szCs w:val="22"/>
        </w:rPr>
        <w:t xml:space="preserve">widespread </w:t>
      </w:r>
      <w:r w:rsidRPr="00947F30">
        <w:rPr>
          <w:sz w:val="22"/>
          <w:szCs w:val="22"/>
        </w:rPr>
        <w:t xml:space="preserve">business challenges for many issuers, including reporting on and disclosing the business impact of COVID-19. </w:t>
      </w:r>
    </w:p>
    <w:p w14:paraId="0DC54226" w14:textId="0FF385B6" w:rsidR="00C665E4" w:rsidRPr="00947F30" w:rsidRDefault="001116F1" w:rsidP="00947F30">
      <w:pPr>
        <w:spacing w:after="240"/>
        <w:jc w:val="both"/>
        <w:rPr>
          <w:sz w:val="22"/>
          <w:szCs w:val="22"/>
        </w:rPr>
      </w:pPr>
      <w:r>
        <w:rPr>
          <w:sz w:val="22"/>
          <w:szCs w:val="22"/>
        </w:rPr>
        <w:t>Th</w:t>
      </w:r>
      <w:r w:rsidR="000A01E5">
        <w:rPr>
          <w:sz w:val="22"/>
          <w:szCs w:val="22"/>
        </w:rPr>
        <w:t>is issue</w:t>
      </w:r>
      <w:r w:rsidR="00AD1F81">
        <w:rPr>
          <w:sz w:val="22"/>
          <w:szCs w:val="22"/>
        </w:rPr>
        <w:t>-</w:t>
      </w:r>
      <w:r w:rsidR="000A01E5">
        <w:rPr>
          <w:sz w:val="22"/>
          <w:szCs w:val="22"/>
        </w:rPr>
        <w:t>oriented</w:t>
      </w:r>
      <w:r w:rsidR="00C665E4" w:rsidRPr="00947F30">
        <w:rPr>
          <w:sz w:val="22"/>
          <w:szCs w:val="22"/>
        </w:rPr>
        <w:t xml:space="preserve"> review </w:t>
      </w:r>
      <w:r w:rsidR="00E16548">
        <w:rPr>
          <w:sz w:val="22"/>
          <w:szCs w:val="22"/>
        </w:rPr>
        <w:t>assessed compliance</w:t>
      </w:r>
      <w:r w:rsidR="00DE369D">
        <w:rPr>
          <w:sz w:val="22"/>
          <w:szCs w:val="22"/>
        </w:rPr>
        <w:t xml:space="preserve"> of issuer</w:t>
      </w:r>
      <w:r w:rsidR="00301016">
        <w:rPr>
          <w:sz w:val="22"/>
          <w:szCs w:val="22"/>
        </w:rPr>
        <w:t xml:space="preserve">s’ </w:t>
      </w:r>
      <w:r w:rsidR="00C665E4" w:rsidRPr="00947F30">
        <w:rPr>
          <w:sz w:val="22"/>
          <w:szCs w:val="22"/>
        </w:rPr>
        <w:t>disclosure</w:t>
      </w:r>
      <w:r w:rsidR="00DE369D">
        <w:rPr>
          <w:sz w:val="22"/>
          <w:szCs w:val="22"/>
        </w:rPr>
        <w:t>s</w:t>
      </w:r>
      <w:r w:rsidR="00301016">
        <w:rPr>
          <w:sz w:val="22"/>
          <w:szCs w:val="22"/>
        </w:rPr>
        <w:t xml:space="preserve"> </w:t>
      </w:r>
      <w:r w:rsidR="00C665E4" w:rsidRPr="00947F30">
        <w:rPr>
          <w:sz w:val="22"/>
          <w:szCs w:val="22"/>
        </w:rPr>
        <w:t xml:space="preserve">of the current and anticipated impacts related to COVID-19 on </w:t>
      </w:r>
      <w:r w:rsidR="0078366F">
        <w:rPr>
          <w:sz w:val="22"/>
          <w:szCs w:val="22"/>
        </w:rPr>
        <w:t>their</w:t>
      </w:r>
      <w:r w:rsidR="00C665E4" w:rsidRPr="00947F30">
        <w:rPr>
          <w:sz w:val="22"/>
          <w:szCs w:val="22"/>
        </w:rPr>
        <w:t xml:space="preserve"> respective operations, financial condition, liquidity and future prospects. </w:t>
      </w:r>
      <w:r w:rsidR="004C06D3">
        <w:rPr>
          <w:sz w:val="22"/>
          <w:szCs w:val="22"/>
        </w:rPr>
        <w:t>The</w:t>
      </w:r>
      <w:r w:rsidR="004C06D3" w:rsidRPr="00947F30">
        <w:rPr>
          <w:sz w:val="22"/>
          <w:szCs w:val="22"/>
        </w:rPr>
        <w:t xml:space="preserve"> </w:t>
      </w:r>
      <w:r w:rsidR="00C665E4" w:rsidRPr="00947F30">
        <w:rPr>
          <w:sz w:val="22"/>
          <w:szCs w:val="22"/>
        </w:rPr>
        <w:t>review</w:t>
      </w:r>
      <w:r w:rsidR="00DE369D">
        <w:rPr>
          <w:sz w:val="22"/>
          <w:szCs w:val="22"/>
        </w:rPr>
        <w:t>s</w:t>
      </w:r>
      <w:r w:rsidR="00301016">
        <w:rPr>
          <w:sz w:val="22"/>
          <w:szCs w:val="22"/>
        </w:rPr>
        <w:t xml:space="preserve"> </w:t>
      </w:r>
      <w:r w:rsidR="00DE369D">
        <w:rPr>
          <w:sz w:val="22"/>
          <w:szCs w:val="22"/>
        </w:rPr>
        <w:t xml:space="preserve">also </w:t>
      </w:r>
      <w:r w:rsidR="00C665E4" w:rsidRPr="00947F30">
        <w:rPr>
          <w:sz w:val="22"/>
          <w:szCs w:val="22"/>
        </w:rPr>
        <w:t>assess</w:t>
      </w:r>
      <w:r w:rsidR="00DE369D">
        <w:rPr>
          <w:sz w:val="22"/>
          <w:szCs w:val="22"/>
        </w:rPr>
        <w:t>ed</w:t>
      </w:r>
      <w:r w:rsidR="00C665E4" w:rsidRPr="00947F30">
        <w:rPr>
          <w:sz w:val="22"/>
          <w:szCs w:val="22"/>
        </w:rPr>
        <w:t xml:space="preserve"> key financial reporting areas applicable to issuers that may </w:t>
      </w:r>
      <w:r w:rsidR="306ED18A" w:rsidRPr="65117C11">
        <w:rPr>
          <w:sz w:val="22"/>
          <w:szCs w:val="22"/>
        </w:rPr>
        <w:t xml:space="preserve">be </w:t>
      </w:r>
      <w:r w:rsidR="00C665E4" w:rsidRPr="00947F30">
        <w:rPr>
          <w:sz w:val="22"/>
          <w:szCs w:val="22"/>
        </w:rPr>
        <w:t xml:space="preserve">subject to significant judgement and measurement uncertainty in the current environment. </w:t>
      </w:r>
    </w:p>
    <w:p w14:paraId="638762BA" w14:textId="4DB1847F" w:rsidR="00C665E4" w:rsidRPr="00947F30" w:rsidRDefault="00C665E4" w:rsidP="00947F30">
      <w:pPr>
        <w:keepLines/>
        <w:widowControl w:val="0"/>
        <w:jc w:val="both"/>
        <w:rPr>
          <w:sz w:val="22"/>
          <w:szCs w:val="22"/>
        </w:rPr>
      </w:pPr>
      <w:r w:rsidRPr="00947F30">
        <w:rPr>
          <w:sz w:val="22"/>
          <w:szCs w:val="22"/>
        </w:rPr>
        <w:t xml:space="preserve">We recognize that issuers are preparing disclosure in </w:t>
      </w:r>
      <w:r w:rsidR="00E47A92">
        <w:rPr>
          <w:sz w:val="22"/>
          <w:szCs w:val="22"/>
        </w:rPr>
        <w:t xml:space="preserve">a </w:t>
      </w:r>
      <w:r w:rsidRPr="00947F30">
        <w:rPr>
          <w:sz w:val="22"/>
          <w:szCs w:val="22"/>
        </w:rPr>
        <w:t xml:space="preserve">rapidly changing </w:t>
      </w:r>
      <w:r w:rsidR="00B41245">
        <w:rPr>
          <w:sz w:val="22"/>
          <w:szCs w:val="22"/>
        </w:rPr>
        <w:t>environment</w:t>
      </w:r>
      <w:r w:rsidRPr="00947F30">
        <w:rPr>
          <w:sz w:val="22"/>
          <w:szCs w:val="22"/>
        </w:rPr>
        <w:t xml:space="preserve">. However, </w:t>
      </w:r>
      <w:r w:rsidR="38A2FA91" w:rsidRPr="17425CC7">
        <w:rPr>
          <w:sz w:val="22"/>
          <w:szCs w:val="22"/>
        </w:rPr>
        <w:t xml:space="preserve">meaningful </w:t>
      </w:r>
      <w:r w:rsidR="38A2FA91" w:rsidRPr="05FD97B0">
        <w:rPr>
          <w:sz w:val="22"/>
          <w:szCs w:val="22"/>
        </w:rPr>
        <w:t xml:space="preserve">disclosures about the </w:t>
      </w:r>
      <w:r w:rsidR="38A2FA91" w:rsidRPr="74B8D298">
        <w:rPr>
          <w:sz w:val="22"/>
          <w:szCs w:val="22"/>
        </w:rPr>
        <w:t xml:space="preserve">business impacts and potential </w:t>
      </w:r>
      <w:r w:rsidR="38A2FA91" w:rsidRPr="2E1B96F6">
        <w:rPr>
          <w:sz w:val="22"/>
          <w:szCs w:val="22"/>
        </w:rPr>
        <w:t>uncertainties</w:t>
      </w:r>
      <w:r w:rsidRPr="74B8D298">
        <w:rPr>
          <w:sz w:val="22"/>
          <w:szCs w:val="22"/>
        </w:rPr>
        <w:t xml:space="preserve"> </w:t>
      </w:r>
      <w:r w:rsidR="005E6302">
        <w:rPr>
          <w:sz w:val="22"/>
          <w:szCs w:val="22"/>
        </w:rPr>
        <w:t>regarding</w:t>
      </w:r>
      <w:r w:rsidR="00ED22AC">
        <w:rPr>
          <w:sz w:val="22"/>
          <w:szCs w:val="22"/>
        </w:rPr>
        <w:t xml:space="preserve"> COVID-19</w:t>
      </w:r>
      <w:r w:rsidRPr="74B8D298">
        <w:rPr>
          <w:sz w:val="22"/>
          <w:szCs w:val="22"/>
        </w:rPr>
        <w:t xml:space="preserve"> </w:t>
      </w:r>
      <w:r w:rsidR="005E6302">
        <w:rPr>
          <w:sz w:val="22"/>
          <w:szCs w:val="22"/>
        </w:rPr>
        <w:t>are needed</w:t>
      </w:r>
      <w:r w:rsidR="00301016">
        <w:rPr>
          <w:sz w:val="22"/>
          <w:szCs w:val="22"/>
        </w:rPr>
        <w:t xml:space="preserve"> </w:t>
      </w:r>
      <w:r w:rsidR="007F4C67">
        <w:rPr>
          <w:sz w:val="22"/>
          <w:szCs w:val="22"/>
        </w:rPr>
        <w:t xml:space="preserve">for investors to </w:t>
      </w:r>
      <w:r w:rsidR="00A455ED">
        <w:rPr>
          <w:sz w:val="22"/>
          <w:szCs w:val="22"/>
        </w:rPr>
        <w:t>make informed investment decisions.</w:t>
      </w:r>
      <w:r w:rsidR="009845A2">
        <w:rPr>
          <w:sz w:val="22"/>
          <w:szCs w:val="22"/>
        </w:rPr>
        <w:t xml:space="preserve"> </w:t>
      </w:r>
      <w:r w:rsidRPr="00947F30">
        <w:rPr>
          <w:sz w:val="22"/>
          <w:szCs w:val="22"/>
        </w:rPr>
        <w:t xml:space="preserve">This </w:t>
      </w:r>
      <w:r w:rsidR="00027201">
        <w:rPr>
          <w:sz w:val="22"/>
          <w:szCs w:val="22"/>
        </w:rPr>
        <w:t>N</w:t>
      </w:r>
      <w:r w:rsidRPr="00947F30">
        <w:rPr>
          <w:sz w:val="22"/>
          <w:szCs w:val="22"/>
        </w:rPr>
        <w:t xml:space="preserve">otice summarizes </w:t>
      </w:r>
      <w:r w:rsidR="00DE369D">
        <w:rPr>
          <w:sz w:val="22"/>
          <w:szCs w:val="22"/>
        </w:rPr>
        <w:t xml:space="preserve">our key review findings and </w:t>
      </w:r>
      <w:r w:rsidRPr="00947F30">
        <w:rPr>
          <w:sz w:val="22"/>
          <w:szCs w:val="22"/>
        </w:rPr>
        <w:t xml:space="preserve">includes some disclosure examples and guidance to assist reporting issuers and their advisors </w:t>
      </w:r>
      <w:r w:rsidR="0081430A">
        <w:rPr>
          <w:sz w:val="22"/>
          <w:szCs w:val="22"/>
        </w:rPr>
        <w:t xml:space="preserve">with </w:t>
      </w:r>
      <w:r w:rsidRPr="00947F30">
        <w:rPr>
          <w:sz w:val="22"/>
          <w:szCs w:val="22"/>
        </w:rPr>
        <w:t xml:space="preserve">disclosing and reporting on the impact of COVID-19 to </w:t>
      </w:r>
      <w:r w:rsidR="0081430A">
        <w:rPr>
          <w:sz w:val="22"/>
          <w:szCs w:val="22"/>
        </w:rPr>
        <w:t>their</w:t>
      </w:r>
      <w:r w:rsidR="0081430A" w:rsidRPr="00947F30">
        <w:rPr>
          <w:sz w:val="22"/>
          <w:szCs w:val="22"/>
        </w:rPr>
        <w:t xml:space="preserve"> </w:t>
      </w:r>
      <w:r w:rsidRPr="00947F30">
        <w:rPr>
          <w:sz w:val="22"/>
          <w:szCs w:val="22"/>
        </w:rPr>
        <w:t>business and operations.</w:t>
      </w:r>
    </w:p>
    <w:p w14:paraId="5BE358E1" w14:textId="77777777" w:rsidR="00C665E4" w:rsidRPr="00947F30" w:rsidRDefault="00C665E4" w:rsidP="00947F30">
      <w:pPr>
        <w:keepLines/>
        <w:widowControl w:val="0"/>
        <w:jc w:val="both"/>
        <w:rPr>
          <w:sz w:val="22"/>
          <w:szCs w:val="22"/>
        </w:rPr>
      </w:pPr>
    </w:p>
    <w:p w14:paraId="3BD58B60" w14:textId="77777777" w:rsidR="00D73623" w:rsidRDefault="00C665E4" w:rsidP="00947F30">
      <w:pPr>
        <w:spacing w:after="240"/>
        <w:jc w:val="both"/>
        <w:rPr>
          <w:sz w:val="22"/>
          <w:szCs w:val="22"/>
        </w:rPr>
      </w:pPr>
      <w:r w:rsidRPr="00947F30">
        <w:rPr>
          <w:sz w:val="22"/>
          <w:szCs w:val="22"/>
        </w:rPr>
        <w:t>We will continue to closely monitor issuers’ continuous disclosure (</w:t>
      </w:r>
      <w:r w:rsidRPr="00947F30">
        <w:rPr>
          <w:b/>
          <w:bCs/>
          <w:sz w:val="22"/>
          <w:szCs w:val="22"/>
        </w:rPr>
        <w:t>CD</w:t>
      </w:r>
      <w:r w:rsidRPr="00947F30">
        <w:rPr>
          <w:sz w:val="22"/>
          <w:szCs w:val="22"/>
        </w:rPr>
        <w:t xml:space="preserve">) filings in relation to </w:t>
      </w:r>
      <w:r w:rsidR="00DE369D">
        <w:rPr>
          <w:sz w:val="22"/>
          <w:szCs w:val="22"/>
        </w:rPr>
        <w:t>the</w:t>
      </w:r>
      <w:r w:rsidRPr="00947F30">
        <w:rPr>
          <w:sz w:val="22"/>
          <w:szCs w:val="22"/>
        </w:rPr>
        <w:t xml:space="preserve"> impact of the COVID-19 pandemic as part of our ongoing CSA CD review program. For further details, see CSA Staff Notice 51-312 (revised) </w:t>
      </w:r>
      <w:r w:rsidRPr="00947F30">
        <w:rPr>
          <w:i/>
          <w:iCs/>
          <w:sz w:val="22"/>
          <w:szCs w:val="22"/>
        </w:rPr>
        <w:t>Harmonized Continuous Disclosure Review Program</w:t>
      </w:r>
      <w:r w:rsidR="00DE369D" w:rsidRPr="00ED22AC">
        <w:rPr>
          <w:rStyle w:val="FootnoteReference"/>
          <w:sz w:val="22"/>
          <w:szCs w:val="22"/>
          <w:vertAlign w:val="superscript"/>
        </w:rPr>
        <w:footnoteReference w:id="3"/>
      </w:r>
      <w:r w:rsidRPr="00947F30">
        <w:rPr>
          <w:i/>
          <w:iCs/>
          <w:sz w:val="22"/>
          <w:szCs w:val="22"/>
        </w:rPr>
        <w:t xml:space="preserve">. </w:t>
      </w:r>
      <w:r w:rsidR="000102A1">
        <w:rPr>
          <w:sz w:val="22"/>
          <w:szCs w:val="22"/>
        </w:rPr>
        <w:t>An issuer</w:t>
      </w:r>
      <w:r w:rsidR="005C5007">
        <w:rPr>
          <w:sz w:val="22"/>
          <w:szCs w:val="22"/>
        </w:rPr>
        <w:t>’</w:t>
      </w:r>
      <w:r w:rsidR="000102A1">
        <w:rPr>
          <w:sz w:val="22"/>
          <w:szCs w:val="22"/>
        </w:rPr>
        <w:t xml:space="preserve">s disclosure relating to the </w:t>
      </w:r>
      <w:r w:rsidR="000B7FDC">
        <w:rPr>
          <w:sz w:val="22"/>
          <w:szCs w:val="22"/>
        </w:rPr>
        <w:t xml:space="preserve">impacts and risk factors of the </w:t>
      </w:r>
      <w:r w:rsidR="000102A1">
        <w:rPr>
          <w:sz w:val="22"/>
          <w:szCs w:val="22"/>
        </w:rPr>
        <w:t>COVID-19 pandemic may also be assessed as part of</w:t>
      </w:r>
      <w:r w:rsidR="00063916">
        <w:rPr>
          <w:sz w:val="22"/>
          <w:szCs w:val="22"/>
        </w:rPr>
        <w:t xml:space="preserve"> </w:t>
      </w:r>
      <w:r w:rsidR="00476871">
        <w:rPr>
          <w:sz w:val="22"/>
          <w:szCs w:val="22"/>
        </w:rPr>
        <w:t xml:space="preserve">staff’s review of </w:t>
      </w:r>
      <w:r w:rsidR="001C7652">
        <w:rPr>
          <w:sz w:val="22"/>
          <w:szCs w:val="22"/>
        </w:rPr>
        <w:t>prospectus filings</w:t>
      </w:r>
      <w:r w:rsidR="00A90365">
        <w:rPr>
          <w:sz w:val="22"/>
          <w:szCs w:val="22"/>
        </w:rPr>
        <w:t xml:space="preserve"> in connection with public offerings</w:t>
      </w:r>
      <w:r w:rsidR="001C7652">
        <w:rPr>
          <w:sz w:val="22"/>
          <w:szCs w:val="22"/>
        </w:rPr>
        <w:t xml:space="preserve">. </w:t>
      </w:r>
    </w:p>
    <w:p w14:paraId="0A50C156" w14:textId="77777777" w:rsidR="00F51752" w:rsidRDefault="00F51752" w:rsidP="00947F30">
      <w:pPr>
        <w:spacing w:after="240"/>
        <w:jc w:val="both"/>
        <w:rPr>
          <w:b/>
          <w:bCs/>
          <w:sz w:val="22"/>
          <w:szCs w:val="22"/>
        </w:rPr>
      </w:pPr>
    </w:p>
    <w:p w14:paraId="5715C374" w14:textId="77777777" w:rsidR="00F51752" w:rsidRDefault="00F51752" w:rsidP="00947F30">
      <w:pPr>
        <w:spacing w:after="240"/>
        <w:jc w:val="both"/>
        <w:rPr>
          <w:b/>
          <w:bCs/>
          <w:sz w:val="22"/>
          <w:szCs w:val="22"/>
        </w:rPr>
      </w:pPr>
    </w:p>
    <w:p w14:paraId="78F8105B" w14:textId="77777777" w:rsidR="00F51752" w:rsidRDefault="00F51752" w:rsidP="00947F30">
      <w:pPr>
        <w:spacing w:after="240"/>
        <w:jc w:val="both"/>
        <w:rPr>
          <w:b/>
          <w:bCs/>
          <w:sz w:val="22"/>
          <w:szCs w:val="22"/>
        </w:rPr>
      </w:pPr>
    </w:p>
    <w:p w14:paraId="5F985D61" w14:textId="77777777" w:rsidR="00F51752" w:rsidRDefault="00F51752" w:rsidP="00947F30">
      <w:pPr>
        <w:spacing w:after="240"/>
        <w:jc w:val="both"/>
        <w:rPr>
          <w:b/>
          <w:bCs/>
          <w:sz w:val="22"/>
          <w:szCs w:val="22"/>
        </w:rPr>
      </w:pPr>
    </w:p>
    <w:p w14:paraId="734348D9" w14:textId="77777777" w:rsidR="00F51752" w:rsidRDefault="00F51752" w:rsidP="00947F30">
      <w:pPr>
        <w:spacing w:after="240"/>
        <w:jc w:val="both"/>
        <w:rPr>
          <w:b/>
          <w:bCs/>
          <w:sz w:val="22"/>
          <w:szCs w:val="22"/>
        </w:rPr>
      </w:pPr>
    </w:p>
    <w:p w14:paraId="774E9B46" w14:textId="77777777" w:rsidR="00301016" w:rsidRDefault="00301016">
      <w:pPr>
        <w:rPr>
          <w:b/>
          <w:bCs/>
          <w:color w:val="1F497D" w:themeColor="text2"/>
          <w:sz w:val="36"/>
          <w:szCs w:val="28"/>
        </w:rPr>
      </w:pPr>
    </w:p>
    <w:p w14:paraId="3042AE99" w14:textId="77777777" w:rsidR="00723268" w:rsidRDefault="00723268" w:rsidP="00D93E09">
      <w:pPr>
        <w:rPr>
          <w:b/>
          <w:bCs/>
          <w:color w:val="1F497D" w:themeColor="text2"/>
          <w:sz w:val="36"/>
          <w:szCs w:val="28"/>
        </w:rPr>
      </w:pPr>
    </w:p>
    <w:p w14:paraId="1DA7C2BE" w14:textId="4F7AACC4" w:rsidR="00E66579" w:rsidRPr="00D93E09" w:rsidRDefault="00E66579" w:rsidP="00D93E09">
      <w:pPr>
        <w:rPr>
          <w:bCs/>
          <w:color w:val="1F497D" w:themeColor="text2"/>
          <w:sz w:val="36"/>
          <w:szCs w:val="28"/>
        </w:rPr>
      </w:pPr>
      <w:r w:rsidRPr="00D93E09">
        <w:rPr>
          <w:b/>
          <w:bCs/>
          <w:color w:val="1F497D" w:themeColor="text2"/>
          <w:sz w:val="36"/>
          <w:szCs w:val="28"/>
        </w:rPr>
        <w:lastRenderedPageBreak/>
        <w:t xml:space="preserve">Contents of the Notice </w:t>
      </w:r>
    </w:p>
    <w:sdt>
      <w:sdtPr>
        <w:rPr>
          <w:rFonts w:ascii="Times New Roman" w:eastAsia="Times New Roman" w:hAnsi="Times New Roman" w:cs="Times New Roman"/>
          <w:color w:val="auto"/>
          <w:sz w:val="24"/>
          <w:szCs w:val="20"/>
          <w:lang w:val="en-CA"/>
        </w:rPr>
        <w:id w:val="1557746141"/>
        <w:docPartObj>
          <w:docPartGallery w:val="Table of Contents"/>
          <w:docPartUnique/>
        </w:docPartObj>
      </w:sdtPr>
      <w:sdtEndPr>
        <w:rPr>
          <w:noProof/>
        </w:rPr>
      </w:sdtEndPr>
      <w:sdtContent>
        <w:bookmarkStart w:id="2" w:name="_Hlk61423300" w:displacedByCustomXml="prev"/>
        <w:p w14:paraId="47E6C5AB" w14:textId="77777777" w:rsidR="00AA510E" w:rsidRPr="00FF6C77" w:rsidRDefault="00AA510E" w:rsidP="00D93E09">
          <w:pPr>
            <w:pStyle w:val="TOCHeading"/>
            <w:rPr>
              <w:szCs w:val="24"/>
            </w:rPr>
          </w:pPr>
        </w:p>
        <w:p w14:paraId="7B3A185E" w14:textId="08DEF3A0" w:rsidR="00CE4B48" w:rsidRPr="00D93E09" w:rsidRDefault="00AA510E">
          <w:pPr>
            <w:pStyle w:val="TOC1"/>
            <w:tabs>
              <w:tab w:val="right" w:leader="dot" w:pos="9350"/>
            </w:tabs>
            <w:rPr>
              <w:rFonts w:eastAsiaTheme="minorEastAsia" w:cstheme="minorBidi"/>
              <w:noProof/>
              <w:szCs w:val="22"/>
              <w:lang w:eastAsia="en-CA"/>
            </w:rPr>
          </w:pPr>
          <w:r w:rsidRPr="001F50A2">
            <w:rPr>
              <w:szCs w:val="24"/>
            </w:rPr>
            <w:fldChar w:fldCharType="begin"/>
          </w:r>
          <w:r w:rsidRPr="006401FD">
            <w:rPr>
              <w:szCs w:val="24"/>
            </w:rPr>
            <w:instrText xml:space="preserve"> TOC \o "1-3" \h \z \u </w:instrText>
          </w:r>
          <w:r w:rsidRPr="001F50A2">
            <w:rPr>
              <w:szCs w:val="24"/>
            </w:rPr>
            <w:fldChar w:fldCharType="separate"/>
          </w:r>
          <w:hyperlink w:anchor="_Toc62334904" w:history="1">
            <w:r w:rsidR="00CE4B48" w:rsidRPr="006401FD">
              <w:rPr>
                <w:rStyle w:val="Hyperlink"/>
                <w:noProof/>
              </w:rPr>
              <w:t>Introduction</w:t>
            </w:r>
            <w:r w:rsidR="00CE4B48" w:rsidRPr="006401FD">
              <w:rPr>
                <w:noProof/>
                <w:webHidden/>
              </w:rPr>
              <w:tab/>
            </w:r>
            <w:r w:rsidR="00CE4B48" w:rsidRPr="001F50A2">
              <w:rPr>
                <w:noProof/>
                <w:webHidden/>
              </w:rPr>
              <w:fldChar w:fldCharType="begin"/>
            </w:r>
            <w:r w:rsidR="00CE4B48" w:rsidRPr="006401FD">
              <w:rPr>
                <w:noProof/>
                <w:webHidden/>
              </w:rPr>
              <w:instrText xml:space="preserve"> PAGEREF _Toc62334904 \h </w:instrText>
            </w:r>
            <w:r w:rsidR="00CE4B48" w:rsidRPr="001F50A2">
              <w:rPr>
                <w:noProof/>
                <w:webHidden/>
              </w:rPr>
            </w:r>
            <w:r w:rsidR="00CE4B48" w:rsidRPr="001F50A2">
              <w:rPr>
                <w:noProof/>
                <w:webHidden/>
              </w:rPr>
              <w:fldChar w:fldCharType="separate"/>
            </w:r>
            <w:r w:rsidR="0039716A">
              <w:rPr>
                <w:noProof/>
                <w:webHidden/>
              </w:rPr>
              <w:t>1</w:t>
            </w:r>
            <w:r w:rsidR="00CE4B48" w:rsidRPr="001F50A2">
              <w:rPr>
                <w:noProof/>
                <w:webHidden/>
              </w:rPr>
              <w:fldChar w:fldCharType="end"/>
            </w:r>
          </w:hyperlink>
        </w:p>
        <w:p w14:paraId="7EC5D9E3" w14:textId="49392B5B" w:rsidR="00CE4B48" w:rsidRPr="00D93E09" w:rsidRDefault="00116664">
          <w:pPr>
            <w:pStyle w:val="TOC1"/>
            <w:tabs>
              <w:tab w:val="right" w:leader="dot" w:pos="9350"/>
            </w:tabs>
            <w:rPr>
              <w:rFonts w:eastAsiaTheme="minorEastAsia" w:cstheme="minorBidi"/>
              <w:noProof/>
              <w:szCs w:val="22"/>
              <w:lang w:eastAsia="en-CA"/>
            </w:rPr>
          </w:pPr>
          <w:hyperlink w:anchor="_Toc62334905" w:history="1">
            <w:r w:rsidR="00CE4B48" w:rsidRPr="006401FD">
              <w:rPr>
                <w:rStyle w:val="Hyperlink"/>
                <w:noProof/>
              </w:rPr>
              <w:t>Part 1 - Executive Summary</w:t>
            </w:r>
            <w:r w:rsidR="00CE4B48" w:rsidRPr="006401FD">
              <w:rPr>
                <w:noProof/>
                <w:webHidden/>
              </w:rPr>
              <w:tab/>
            </w:r>
            <w:r w:rsidR="00CE4B48" w:rsidRPr="001F50A2">
              <w:rPr>
                <w:noProof/>
                <w:webHidden/>
              </w:rPr>
              <w:fldChar w:fldCharType="begin"/>
            </w:r>
            <w:r w:rsidR="00CE4B48" w:rsidRPr="006401FD">
              <w:rPr>
                <w:noProof/>
                <w:webHidden/>
              </w:rPr>
              <w:instrText xml:space="preserve"> PAGEREF _Toc62334905 \h </w:instrText>
            </w:r>
            <w:r w:rsidR="00CE4B48" w:rsidRPr="001F50A2">
              <w:rPr>
                <w:noProof/>
                <w:webHidden/>
              </w:rPr>
            </w:r>
            <w:r w:rsidR="00CE4B48" w:rsidRPr="001F50A2">
              <w:rPr>
                <w:noProof/>
                <w:webHidden/>
              </w:rPr>
              <w:fldChar w:fldCharType="separate"/>
            </w:r>
            <w:r w:rsidR="0039716A">
              <w:rPr>
                <w:noProof/>
                <w:webHidden/>
              </w:rPr>
              <w:t>3</w:t>
            </w:r>
            <w:r w:rsidR="00CE4B48" w:rsidRPr="001F50A2">
              <w:rPr>
                <w:noProof/>
                <w:webHidden/>
              </w:rPr>
              <w:fldChar w:fldCharType="end"/>
            </w:r>
          </w:hyperlink>
        </w:p>
        <w:p w14:paraId="0744D088" w14:textId="28FDA20F" w:rsidR="00CE4B48" w:rsidRPr="00D93E09" w:rsidRDefault="00116664">
          <w:pPr>
            <w:pStyle w:val="TOC1"/>
            <w:tabs>
              <w:tab w:val="right" w:leader="dot" w:pos="9350"/>
            </w:tabs>
            <w:rPr>
              <w:rFonts w:eastAsiaTheme="minorEastAsia" w:cstheme="minorBidi"/>
              <w:noProof/>
              <w:szCs w:val="22"/>
              <w:lang w:eastAsia="en-CA"/>
            </w:rPr>
          </w:pPr>
          <w:hyperlink w:anchor="_Toc62334906" w:history="1">
            <w:r w:rsidR="00CE4B48" w:rsidRPr="006401FD">
              <w:rPr>
                <w:rStyle w:val="Hyperlink"/>
                <w:noProof/>
              </w:rPr>
              <w:t>Part 2 - Scope and Methodology</w:t>
            </w:r>
            <w:r w:rsidR="00CE4B48" w:rsidRPr="006401FD">
              <w:rPr>
                <w:noProof/>
                <w:webHidden/>
              </w:rPr>
              <w:tab/>
            </w:r>
            <w:r w:rsidR="00CE4B48" w:rsidRPr="001F50A2">
              <w:rPr>
                <w:noProof/>
                <w:webHidden/>
              </w:rPr>
              <w:fldChar w:fldCharType="begin"/>
            </w:r>
            <w:r w:rsidR="00CE4B48" w:rsidRPr="006401FD">
              <w:rPr>
                <w:noProof/>
                <w:webHidden/>
              </w:rPr>
              <w:instrText xml:space="preserve"> PAGEREF _Toc62334906 \h </w:instrText>
            </w:r>
            <w:r w:rsidR="00CE4B48" w:rsidRPr="001F50A2">
              <w:rPr>
                <w:noProof/>
                <w:webHidden/>
              </w:rPr>
            </w:r>
            <w:r w:rsidR="00CE4B48" w:rsidRPr="001F50A2">
              <w:rPr>
                <w:noProof/>
                <w:webHidden/>
              </w:rPr>
              <w:fldChar w:fldCharType="separate"/>
            </w:r>
            <w:r w:rsidR="0039716A">
              <w:rPr>
                <w:noProof/>
                <w:webHidden/>
              </w:rPr>
              <w:t>3</w:t>
            </w:r>
            <w:r w:rsidR="00CE4B48" w:rsidRPr="001F50A2">
              <w:rPr>
                <w:noProof/>
                <w:webHidden/>
              </w:rPr>
              <w:fldChar w:fldCharType="end"/>
            </w:r>
          </w:hyperlink>
        </w:p>
        <w:p w14:paraId="760096A5" w14:textId="7628A7AE" w:rsidR="00CE4B48" w:rsidRPr="00D93E09" w:rsidRDefault="00116664">
          <w:pPr>
            <w:pStyle w:val="TOC1"/>
            <w:tabs>
              <w:tab w:val="right" w:leader="dot" w:pos="9350"/>
            </w:tabs>
            <w:rPr>
              <w:rFonts w:eastAsiaTheme="minorEastAsia" w:cstheme="minorBidi"/>
              <w:noProof/>
              <w:szCs w:val="22"/>
              <w:lang w:eastAsia="en-CA"/>
            </w:rPr>
          </w:pPr>
          <w:hyperlink w:anchor="_Toc62334907" w:history="1">
            <w:r w:rsidR="00CE4B48" w:rsidRPr="006401FD">
              <w:rPr>
                <w:rStyle w:val="Hyperlink"/>
                <w:noProof/>
              </w:rPr>
              <w:t>Part 3 - Summary of Results and Key Themes</w:t>
            </w:r>
            <w:r w:rsidR="00CE4B48" w:rsidRPr="006401FD">
              <w:rPr>
                <w:noProof/>
                <w:webHidden/>
              </w:rPr>
              <w:tab/>
            </w:r>
            <w:r w:rsidR="00CE4B48" w:rsidRPr="001F50A2">
              <w:rPr>
                <w:noProof/>
                <w:webHidden/>
              </w:rPr>
              <w:fldChar w:fldCharType="begin"/>
            </w:r>
            <w:r w:rsidR="00CE4B48" w:rsidRPr="006401FD">
              <w:rPr>
                <w:noProof/>
                <w:webHidden/>
              </w:rPr>
              <w:instrText xml:space="preserve"> PAGEREF _Toc62334907 \h </w:instrText>
            </w:r>
            <w:r w:rsidR="00CE4B48" w:rsidRPr="001F50A2">
              <w:rPr>
                <w:noProof/>
                <w:webHidden/>
              </w:rPr>
            </w:r>
            <w:r w:rsidR="00CE4B48" w:rsidRPr="001F50A2">
              <w:rPr>
                <w:noProof/>
                <w:webHidden/>
              </w:rPr>
              <w:fldChar w:fldCharType="separate"/>
            </w:r>
            <w:r w:rsidR="0039716A">
              <w:rPr>
                <w:noProof/>
                <w:webHidden/>
              </w:rPr>
              <w:t>5</w:t>
            </w:r>
            <w:r w:rsidR="00CE4B48" w:rsidRPr="001F50A2">
              <w:rPr>
                <w:noProof/>
                <w:webHidden/>
              </w:rPr>
              <w:fldChar w:fldCharType="end"/>
            </w:r>
          </w:hyperlink>
        </w:p>
        <w:p w14:paraId="0FA01C59" w14:textId="2517D41F" w:rsidR="00CE4B48" w:rsidRPr="00D93E09" w:rsidRDefault="00116664">
          <w:pPr>
            <w:pStyle w:val="TOC1"/>
            <w:tabs>
              <w:tab w:val="right" w:leader="dot" w:pos="9350"/>
            </w:tabs>
            <w:rPr>
              <w:rFonts w:eastAsiaTheme="minorEastAsia" w:cstheme="minorBidi"/>
              <w:noProof/>
              <w:szCs w:val="22"/>
              <w:lang w:eastAsia="en-CA"/>
            </w:rPr>
          </w:pPr>
          <w:hyperlink w:anchor="_Toc62334908" w:history="1">
            <w:r w:rsidR="00CE4B48" w:rsidRPr="001F50A2">
              <w:rPr>
                <w:rStyle w:val="Hyperlink"/>
                <w:noProof/>
              </w:rPr>
              <w:t>Appendix A – Key Observations and Considerations</w:t>
            </w:r>
            <w:r w:rsidR="00CE4B48" w:rsidRPr="006401FD">
              <w:rPr>
                <w:noProof/>
                <w:webHidden/>
              </w:rPr>
              <w:tab/>
            </w:r>
            <w:r w:rsidR="00CE4B48" w:rsidRPr="001F50A2">
              <w:rPr>
                <w:noProof/>
                <w:webHidden/>
              </w:rPr>
              <w:fldChar w:fldCharType="begin"/>
            </w:r>
            <w:r w:rsidR="00CE4B48" w:rsidRPr="006401FD">
              <w:rPr>
                <w:noProof/>
                <w:webHidden/>
              </w:rPr>
              <w:instrText xml:space="preserve"> PAGEREF _Toc62334908 \h </w:instrText>
            </w:r>
            <w:r w:rsidR="00CE4B48" w:rsidRPr="001F50A2">
              <w:rPr>
                <w:noProof/>
                <w:webHidden/>
              </w:rPr>
            </w:r>
            <w:r w:rsidR="00CE4B48" w:rsidRPr="001F50A2">
              <w:rPr>
                <w:noProof/>
                <w:webHidden/>
              </w:rPr>
              <w:fldChar w:fldCharType="separate"/>
            </w:r>
            <w:r w:rsidR="0039716A">
              <w:rPr>
                <w:noProof/>
                <w:webHidden/>
              </w:rPr>
              <w:t>8</w:t>
            </w:r>
            <w:r w:rsidR="00CE4B48" w:rsidRPr="001F50A2">
              <w:rPr>
                <w:noProof/>
                <w:webHidden/>
              </w:rPr>
              <w:fldChar w:fldCharType="end"/>
            </w:r>
          </w:hyperlink>
        </w:p>
        <w:p w14:paraId="0C6C4519" w14:textId="6A828501" w:rsidR="00CE4B48" w:rsidRPr="00D93E09" w:rsidRDefault="00116664">
          <w:pPr>
            <w:pStyle w:val="TOC2"/>
            <w:tabs>
              <w:tab w:val="right" w:leader="dot" w:pos="9350"/>
            </w:tabs>
            <w:rPr>
              <w:rFonts w:eastAsiaTheme="minorEastAsia" w:cstheme="minorBidi"/>
              <w:noProof/>
              <w:szCs w:val="22"/>
              <w:lang w:eastAsia="en-CA"/>
            </w:rPr>
          </w:pPr>
          <w:hyperlink w:anchor="_Toc62334909" w:history="1">
            <w:r w:rsidR="00CE4B48" w:rsidRPr="00D93E09">
              <w:rPr>
                <w:rStyle w:val="Hyperlink"/>
                <w:noProof/>
              </w:rPr>
              <w:t>A.1 MD&amp;A Reporting</w:t>
            </w:r>
            <w:r w:rsidR="00CE4B48" w:rsidRPr="006401FD">
              <w:rPr>
                <w:noProof/>
                <w:webHidden/>
              </w:rPr>
              <w:tab/>
            </w:r>
            <w:r w:rsidR="00CE4B48" w:rsidRPr="001F50A2">
              <w:rPr>
                <w:noProof/>
                <w:webHidden/>
              </w:rPr>
              <w:fldChar w:fldCharType="begin"/>
            </w:r>
            <w:r w:rsidR="00CE4B48" w:rsidRPr="006401FD">
              <w:rPr>
                <w:noProof/>
                <w:webHidden/>
              </w:rPr>
              <w:instrText xml:space="preserve"> PAGEREF _Toc62334909 \h </w:instrText>
            </w:r>
            <w:r w:rsidR="00CE4B48" w:rsidRPr="001F50A2">
              <w:rPr>
                <w:noProof/>
                <w:webHidden/>
              </w:rPr>
            </w:r>
            <w:r w:rsidR="00CE4B48" w:rsidRPr="001F50A2">
              <w:rPr>
                <w:noProof/>
                <w:webHidden/>
              </w:rPr>
              <w:fldChar w:fldCharType="separate"/>
            </w:r>
            <w:r w:rsidR="0039716A">
              <w:rPr>
                <w:noProof/>
                <w:webHidden/>
              </w:rPr>
              <w:t>8</w:t>
            </w:r>
            <w:r w:rsidR="00CE4B48" w:rsidRPr="001F50A2">
              <w:rPr>
                <w:noProof/>
                <w:webHidden/>
              </w:rPr>
              <w:fldChar w:fldCharType="end"/>
            </w:r>
          </w:hyperlink>
        </w:p>
        <w:p w14:paraId="30A37D7D" w14:textId="1A3BA739" w:rsidR="00CE4B48" w:rsidRPr="00D93E09" w:rsidRDefault="00116664">
          <w:pPr>
            <w:pStyle w:val="TOC2"/>
            <w:tabs>
              <w:tab w:val="right" w:leader="dot" w:pos="9350"/>
            </w:tabs>
            <w:rPr>
              <w:rFonts w:eastAsiaTheme="minorEastAsia" w:cstheme="minorBidi"/>
              <w:noProof/>
              <w:szCs w:val="22"/>
              <w:lang w:eastAsia="en-CA"/>
            </w:rPr>
          </w:pPr>
          <w:hyperlink w:anchor="_Toc62334910" w:history="1">
            <w:r w:rsidR="00CE4B48" w:rsidRPr="00D93E09">
              <w:rPr>
                <w:rStyle w:val="Hyperlink"/>
                <w:noProof/>
              </w:rPr>
              <w:t>A.2 Financial Statements</w:t>
            </w:r>
            <w:r w:rsidR="00CE4B48" w:rsidRPr="006401FD">
              <w:rPr>
                <w:noProof/>
                <w:webHidden/>
              </w:rPr>
              <w:tab/>
            </w:r>
            <w:r w:rsidR="00CE4B48" w:rsidRPr="001F50A2">
              <w:rPr>
                <w:noProof/>
                <w:webHidden/>
              </w:rPr>
              <w:fldChar w:fldCharType="begin"/>
            </w:r>
            <w:r w:rsidR="00CE4B48" w:rsidRPr="006401FD">
              <w:rPr>
                <w:noProof/>
                <w:webHidden/>
              </w:rPr>
              <w:instrText xml:space="preserve"> PAGEREF _Toc62334910 \h </w:instrText>
            </w:r>
            <w:r w:rsidR="00CE4B48" w:rsidRPr="001F50A2">
              <w:rPr>
                <w:noProof/>
                <w:webHidden/>
              </w:rPr>
            </w:r>
            <w:r w:rsidR="00CE4B48" w:rsidRPr="001F50A2">
              <w:rPr>
                <w:noProof/>
                <w:webHidden/>
              </w:rPr>
              <w:fldChar w:fldCharType="separate"/>
            </w:r>
            <w:r w:rsidR="0039716A">
              <w:rPr>
                <w:noProof/>
                <w:webHidden/>
              </w:rPr>
              <w:t>13</w:t>
            </w:r>
            <w:r w:rsidR="00CE4B48" w:rsidRPr="001F50A2">
              <w:rPr>
                <w:noProof/>
                <w:webHidden/>
              </w:rPr>
              <w:fldChar w:fldCharType="end"/>
            </w:r>
          </w:hyperlink>
        </w:p>
        <w:p w14:paraId="0B12011A" w14:textId="547129A2" w:rsidR="00CE4B48" w:rsidRPr="00D93E09" w:rsidRDefault="00116664">
          <w:pPr>
            <w:pStyle w:val="TOC2"/>
            <w:tabs>
              <w:tab w:val="right" w:leader="dot" w:pos="9350"/>
            </w:tabs>
            <w:rPr>
              <w:rFonts w:eastAsiaTheme="minorEastAsia" w:cstheme="minorBidi"/>
              <w:noProof/>
              <w:szCs w:val="22"/>
              <w:lang w:eastAsia="en-CA"/>
            </w:rPr>
          </w:pPr>
          <w:hyperlink w:anchor="_Toc62334911" w:history="1">
            <w:r w:rsidR="00CE4B48" w:rsidRPr="00D93E09">
              <w:rPr>
                <w:rStyle w:val="Hyperlink"/>
                <w:noProof/>
              </w:rPr>
              <w:t>A.3 Other Regulatory Matters</w:t>
            </w:r>
            <w:r w:rsidR="00CE4B48" w:rsidRPr="006401FD">
              <w:rPr>
                <w:noProof/>
                <w:webHidden/>
              </w:rPr>
              <w:tab/>
            </w:r>
            <w:r w:rsidR="00CE4B48" w:rsidRPr="001F50A2">
              <w:rPr>
                <w:noProof/>
                <w:webHidden/>
              </w:rPr>
              <w:fldChar w:fldCharType="begin"/>
            </w:r>
            <w:r w:rsidR="00CE4B48" w:rsidRPr="006401FD">
              <w:rPr>
                <w:noProof/>
                <w:webHidden/>
              </w:rPr>
              <w:instrText xml:space="preserve"> PAGEREF _Toc62334911 \h </w:instrText>
            </w:r>
            <w:r w:rsidR="00CE4B48" w:rsidRPr="001F50A2">
              <w:rPr>
                <w:noProof/>
                <w:webHidden/>
              </w:rPr>
            </w:r>
            <w:r w:rsidR="00CE4B48" w:rsidRPr="001F50A2">
              <w:rPr>
                <w:noProof/>
                <w:webHidden/>
              </w:rPr>
              <w:fldChar w:fldCharType="separate"/>
            </w:r>
            <w:r w:rsidR="0039716A">
              <w:rPr>
                <w:noProof/>
                <w:webHidden/>
              </w:rPr>
              <w:t>18</w:t>
            </w:r>
            <w:r w:rsidR="00CE4B48" w:rsidRPr="001F50A2">
              <w:rPr>
                <w:noProof/>
                <w:webHidden/>
              </w:rPr>
              <w:fldChar w:fldCharType="end"/>
            </w:r>
          </w:hyperlink>
        </w:p>
        <w:p w14:paraId="4CC0EA02" w14:textId="6CA14505" w:rsidR="00CE4B48" w:rsidRPr="00D93E09" w:rsidRDefault="00116664">
          <w:pPr>
            <w:pStyle w:val="TOC1"/>
            <w:tabs>
              <w:tab w:val="right" w:leader="dot" w:pos="9350"/>
            </w:tabs>
            <w:rPr>
              <w:rFonts w:eastAsiaTheme="minorEastAsia" w:cstheme="minorBidi"/>
              <w:noProof/>
              <w:szCs w:val="22"/>
              <w:lang w:eastAsia="en-CA"/>
            </w:rPr>
          </w:pPr>
          <w:hyperlink w:anchor="_Toc62334912" w:history="1">
            <w:r w:rsidR="00CE4B48" w:rsidRPr="001F50A2">
              <w:rPr>
                <w:rStyle w:val="Hyperlink"/>
                <w:noProof/>
              </w:rPr>
              <w:t>Appendix B – Disclosure Examples</w:t>
            </w:r>
            <w:r w:rsidR="00CE4B48" w:rsidRPr="006401FD">
              <w:rPr>
                <w:noProof/>
                <w:webHidden/>
              </w:rPr>
              <w:tab/>
            </w:r>
            <w:r w:rsidR="00CE4B48" w:rsidRPr="001F50A2">
              <w:rPr>
                <w:noProof/>
                <w:webHidden/>
              </w:rPr>
              <w:fldChar w:fldCharType="begin"/>
            </w:r>
            <w:r w:rsidR="00CE4B48" w:rsidRPr="006401FD">
              <w:rPr>
                <w:noProof/>
                <w:webHidden/>
              </w:rPr>
              <w:instrText xml:space="preserve"> PAGEREF _Toc62334912 \h </w:instrText>
            </w:r>
            <w:r w:rsidR="00CE4B48" w:rsidRPr="001F50A2">
              <w:rPr>
                <w:noProof/>
                <w:webHidden/>
              </w:rPr>
            </w:r>
            <w:r w:rsidR="00CE4B48" w:rsidRPr="001F50A2">
              <w:rPr>
                <w:noProof/>
                <w:webHidden/>
              </w:rPr>
              <w:fldChar w:fldCharType="separate"/>
            </w:r>
            <w:r w:rsidR="0039716A">
              <w:rPr>
                <w:noProof/>
                <w:webHidden/>
              </w:rPr>
              <w:t>21</w:t>
            </w:r>
            <w:r w:rsidR="00CE4B48" w:rsidRPr="001F50A2">
              <w:rPr>
                <w:noProof/>
                <w:webHidden/>
              </w:rPr>
              <w:fldChar w:fldCharType="end"/>
            </w:r>
          </w:hyperlink>
        </w:p>
        <w:p w14:paraId="1FDE24F9" w14:textId="4A14B880" w:rsidR="00CE4B48" w:rsidRPr="00D93E09" w:rsidRDefault="00116664">
          <w:pPr>
            <w:pStyle w:val="TOC2"/>
            <w:tabs>
              <w:tab w:val="right" w:leader="dot" w:pos="9350"/>
            </w:tabs>
            <w:rPr>
              <w:rFonts w:eastAsiaTheme="minorEastAsia" w:cstheme="minorBidi"/>
              <w:noProof/>
              <w:szCs w:val="22"/>
              <w:lang w:eastAsia="en-CA"/>
            </w:rPr>
          </w:pPr>
          <w:hyperlink w:anchor="_Toc62334913" w:history="1">
            <w:r w:rsidR="00CE4B48" w:rsidRPr="00D93E09">
              <w:rPr>
                <w:rStyle w:val="Hyperlink"/>
                <w:noProof/>
              </w:rPr>
              <w:t>B.1 MD&amp;A Disclosure Examples</w:t>
            </w:r>
            <w:r w:rsidR="00CE4B48" w:rsidRPr="006401FD">
              <w:rPr>
                <w:noProof/>
                <w:webHidden/>
              </w:rPr>
              <w:tab/>
            </w:r>
            <w:r w:rsidR="00CE4B48" w:rsidRPr="001F50A2">
              <w:rPr>
                <w:noProof/>
                <w:webHidden/>
              </w:rPr>
              <w:fldChar w:fldCharType="begin"/>
            </w:r>
            <w:r w:rsidR="00CE4B48" w:rsidRPr="006401FD">
              <w:rPr>
                <w:noProof/>
                <w:webHidden/>
              </w:rPr>
              <w:instrText xml:space="preserve"> PAGEREF _Toc62334913 \h </w:instrText>
            </w:r>
            <w:r w:rsidR="00CE4B48" w:rsidRPr="001F50A2">
              <w:rPr>
                <w:noProof/>
                <w:webHidden/>
              </w:rPr>
            </w:r>
            <w:r w:rsidR="00CE4B48" w:rsidRPr="001F50A2">
              <w:rPr>
                <w:noProof/>
                <w:webHidden/>
              </w:rPr>
              <w:fldChar w:fldCharType="separate"/>
            </w:r>
            <w:r w:rsidR="0039716A">
              <w:rPr>
                <w:noProof/>
                <w:webHidden/>
              </w:rPr>
              <w:t>21</w:t>
            </w:r>
            <w:r w:rsidR="00CE4B48" w:rsidRPr="001F50A2">
              <w:rPr>
                <w:noProof/>
                <w:webHidden/>
              </w:rPr>
              <w:fldChar w:fldCharType="end"/>
            </w:r>
          </w:hyperlink>
        </w:p>
        <w:p w14:paraId="283D1A8F" w14:textId="76BB5EC0" w:rsidR="00CE4B48" w:rsidRPr="00D93E09" w:rsidRDefault="00116664">
          <w:pPr>
            <w:pStyle w:val="TOC3"/>
            <w:tabs>
              <w:tab w:val="right" w:leader="dot" w:pos="9350"/>
            </w:tabs>
            <w:rPr>
              <w:rFonts w:ascii="Times New Roman" w:hAnsi="Times New Roman" w:cstheme="minorBidi"/>
              <w:noProof/>
              <w:sz w:val="24"/>
              <w:lang w:val="en-CA" w:eastAsia="en-CA"/>
            </w:rPr>
          </w:pPr>
          <w:hyperlink w:anchor="_Toc62334914" w:history="1">
            <w:r w:rsidR="00CE4B48" w:rsidRPr="00D93E09">
              <w:rPr>
                <w:rStyle w:val="Hyperlink"/>
                <w:rFonts w:ascii="Times New Roman" w:hAnsi="Times New Roman"/>
                <w:noProof/>
                <w:sz w:val="24"/>
              </w:rPr>
              <w:t>B.1.1 Discussion of Operations and the Impact of COVID-19</w:t>
            </w:r>
            <w:r w:rsidR="00CE4B48" w:rsidRPr="00D93E09">
              <w:rPr>
                <w:rFonts w:ascii="Times New Roman" w:hAnsi="Times New Roman"/>
                <w:noProof/>
                <w:webHidden/>
                <w:sz w:val="24"/>
              </w:rPr>
              <w:tab/>
            </w:r>
            <w:r w:rsidR="00CE4B48" w:rsidRPr="00D93E09">
              <w:rPr>
                <w:rFonts w:ascii="Times New Roman" w:hAnsi="Times New Roman"/>
                <w:noProof/>
                <w:webHidden/>
                <w:sz w:val="24"/>
              </w:rPr>
              <w:fldChar w:fldCharType="begin"/>
            </w:r>
            <w:r w:rsidR="00CE4B48" w:rsidRPr="00D93E09">
              <w:rPr>
                <w:rFonts w:ascii="Times New Roman" w:hAnsi="Times New Roman"/>
                <w:noProof/>
                <w:webHidden/>
                <w:sz w:val="24"/>
              </w:rPr>
              <w:instrText xml:space="preserve"> PAGEREF _Toc62334914 \h </w:instrText>
            </w:r>
            <w:r w:rsidR="00CE4B48" w:rsidRPr="00D93E09">
              <w:rPr>
                <w:rFonts w:ascii="Times New Roman" w:hAnsi="Times New Roman"/>
                <w:noProof/>
                <w:webHidden/>
                <w:sz w:val="24"/>
              </w:rPr>
            </w:r>
            <w:r w:rsidR="00CE4B48" w:rsidRPr="00D93E09">
              <w:rPr>
                <w:rFonts w:ascii="Times New Roman" w:hAnsi="Times New Roman"/>
                <w:noProof/>
                <w:webHidden/>
                <w:sz w:val="24"/>
              </w:rPr>
              <w:fldChar w:fldCharType="separate"/>
            </w:r>
            <w:r w:rsidR="0039716A">
              <w:rPr>
                <w:rFonts w:ascii="Times New Roman" w:hAnsi="Times New Roman"/>
                <w:noProof/>
                <w:webHidden/>
                <w:sz w:val="24"/>
              </w:rPr>
              <w:t>21</w:t>
            </w:r>
            <w:r w:rsidR="00CE4B48" w:rsidRPr="00D93E09">
              <w:rPr>
                <w:rFonts w:ascii="Times New Roman" w:hAnsi="Times New Roman"/>
                <w:noProof/>
                <w:webHidden/>
                <w:sz w:val="24"/>
              </w:rPr>
              <w:fldChar w:fldCharType="end"/>
            </w:r>
          </w:hyperlink>
        </w:p>
        <w:p w14:paraId="4B3098F8" w14:textId="596CE06D" w:rsidR="00CE4B48" w:rsidRPr="00D93E09" w:rsidRDefault="00116664">
          <w:pPr>
            <w:pStyle w:val="TOC3"/>
            <w:tabs>
              <w:tab w:val="right" w:leader="dot" w:pos="9350"/>
            </w:tabs>
            <w:rPr>
              <w:rFonts w:ascii="Times New Roman" w:hAnsi="Times New Roman" w:cstheme="minorBidi"/>
              <w:noProof/>
              <w:sz w:val="24"/>
              <w:lang w:val="en-CA" w:eastAsia="en-CA"/>
            </w:rPr>
          </w:pPr>
          <w:hyperlink w:anchor="_Toc62334915" w:history="1">
            <w:r w:rsidR="00CE4B48" w:rsidRPr="00D93E09">
              <w:rPr>
                <w:rStyle w:val="Hyperlink"/>
                <w:rFonts w:ascii="Times New Roman" w:hAnsi="Times New Roman"/>
                <w:noProof/>
                <w:sz w:val="24"/>
              </w:rPr>
              <w:t>B.1.2 Discussion of Strategies Related to COVID-19</w:t>
            </w:r>
            <w:r w:rsidR="00CE4B48" w:rsidRPr="00D93E09">
              <w:rPr>
                <w:rFonts w:ascii="Times New Roman" w:hAnsi="Times New Roman"/>
                <w:noProof/>
                <w:webHidden/>
                <w:sz w:val="24"/>
              </w:rPr>
              <w:tab/>
            </w:r>
            <w:r w:rsidR="00CE4B48" w:rsidRPr="00D93E09">
              <w:rPr>
                <w:rFonts w:ascii="Times New Roman" w:hAnsi="Times New Roman"/>
                <w:noProof/>
                <w:webHidden/>
                <w:sz w:val="24"/>
              </w:rPr>
              <w:fldChar w:fldCharType="begin"/>
            </w:r>
            <w:r w:rsidR="00CE4B48" w:rsidRPr="00D93E09">
              <w:rPr>
                <w:rFonts w:ascii="Times New Roman" w:hAnsi="Times New Roman"/>
                <w:noProof/>
                <w:webHidden/>
                <w:sz w:val="24"/>
              </w:rPr>
              <w:instrText xml:space="preserve"> PAGEREF _Toc62334915 \h </w:instrText>
            </w:r>
            <w:r w:rsidR="00CE4B48" w:rsidRPr="00D93E09">
              <w:rPr>
                <w:rFonts w:ascii="Times New Roman" w:hAnsi="Times New Roman"/>
                <w:noProof/>
                <w:webHidden/>
                <w:sz w:val="24"/>
              </w:rPr>
            </w:r>
            <w:r w:rsidR="00CE4B48" w:rsidRPr="00D93E09">
              <w:rPr>
                <w:rFonts w:ascii="Times New Roman" w:hAnsi="Times New Roman"/>
                <w:noProof/>
                <w:webHidden/>
                <w:sz w:val="24"/>
              </w:rPr>
              <w:fldChar w:fldCharType="separate"/>
            </w:r>
            <w:r w:rsidR="0039716A">
              <w:rPr>
                <w:rFonts w:ascii="Times New Roman" w:hAnsi="Times New Roman"/>
                <w:noProof/>
                <w:webHidden/>
                <w:sz w:val="24"/>
              </w:rPr>
              <w:t>22</w:t>
            </w:r>
            <w:r w:rsidR="00CE4B48" w:rsidRPr="00D93E09">
              <w:rPr>
                <w:rFonts w:ascii="Times New Roman" w:hAnsi="Times New Roman"/>
                <w:noProof/>
                <w:webHidden/>
                <w:sz w:val="24"/>
              </w:rPr>
              <w:fldChar w:fldCharType="end"/>
            </w:r>
          </w:hyperlink>
        </w:p>
        <w:p w14:paraId="226944B4" w14:textId="0145B099" w:rsidR="00CE4B48" w:rsidRPr="00D93E09" w:rsidRDefault="00116664">
          <w:pPr>
            <w:pStyle w:val="TOC3"/>
            <w:tabs>
              <w:tab w:val="right" w:leader="dot" w:pos="9350"/>
            </w:tabs>
            <w:rPr>
              <w:rFonts w:ascii="Times New Roman" w:hAnsi="Times New Roman" w:cstheme="minorBidi"/>
              <w:noProof/>
              <w:sz w:val="24"/>
              <w:lang w:val="en-CA" w:eastAsia="en-CA"/>
            </w:rPr>
          </w:pPr>
          <w:hyperlink w:anchor="_Toc62334916" w:history="1">
            <w:r w:rsidR="00CE4B48" w:rsidRPr="00D93E09">
              <w:rPr>
                <w:rStyle w:val="Hyperlink"/>
                <w:rFonts w:ascii="Times New Roman" w:hAnsi="Times New Roman"/>
                <w:noProof/>
                <w:sz w:val="24"/>
              </w:rPr>
              <w:t>B.1.3 Liquidity and Capital Resources</w:t>
            </w:r>
            <w:r w:rsidR="00CE4B48" w:rsidRPr="00D93E09">
              <w:rPr>
                <w:rFonts w:ascii="Times New Roman" w:hAnsi="Times New Roman"/>
                <w:noProof/>
                <w:webHidden/>
                <w:sz w:val="24"/>
              </w:rPr>
              <w:tab/>
            </w:r>
            <w:r w:rsidR="00CE4B48" w:rsidRPr="00D93E09">
              <w:rPr>
                <w:rFonts w:ascii="Times New Roman" w:hAnsi="Times New Roman"/>
                <w:noProof/>
                <w:webHidden/>
                <w:sz w:val="24"/>
              </w:rPr>
              <w:fldChar w:fldCharType="begin"/>
            </w:r>
            <w:r w:rsidR="00CE4B48" w:rsidRPr="00D93E09">
              <w:rPr>
                <w:rFonts w:ascii="Times New Roman" w:hAnsi="Times New Roman"/>
                <w:noProof/>
                <w:webHidden/>
                <w:sz w:val="24"/>
              </w:rPr>
              <w:instrText xml:space="preserve"> PAGEREF _Toc62334916 \h </w:instrText>
            </w:r>
            <w:r w:rsidR="00CE4B48" w:rsidRPr="00D93E09">
              <w:rPr>
                <w:rFonts w:ascii="Times New Roman" w:hAnsi="Times New Roman"/>
                <w:noProof/>
                <w:webHidden/>
                <w:sz w:val="24"/>
              </w:rPr>
            </w:r>
            <w:r w:rsidR="00CE4B48" w:rsidRPr="00D93E09">
              <w:rPr>
                <w:rFonts w:ascii="Times New Roman" w:hAnsi="Times New Roman"/>
                <w:noProof/>
                <w:webHidden/>
                <w:sz w:val="24"/>
              </w:rPr>
              <w:fldChar w:fldCharType="separate"/>
            </w:r>
            <w:r w:rsidR="0039716A">
              <w:rPr>
                <w:rFonts w:ascii="Times New Roman" w:hAnsi="Times New Roman"/>
                <w:noProof/>
                <w:webHidden/>
                <w:sz w:val="24"/>
              </w:rPr>
              <w:t>22</w:t>
            </w:r>
            <w:r w:rsidR="00CE4B48" w:rsidRPr="00D93E09">
              <w:rPr>
                <w:rFonts w:ascii="Times New Roman" w:hAnsi="Times New Roman"/>
                <w:noProof/>
                <w:webHidden/>
                <w:sz w:val="24"/>
              </w:rPr>
              <w:fldChar w:fldCharType="end"/>
            </w:r>
          </w:hyperlink>
        </w:p>
        <w:p w14:paraId="3B7D625E" w14:textId="01ADB3B9" w:rsidR="00CE4B48" w:rsidRPr="00D93E09" w:rsidRDefault="00116664">
          <w:pPr>
            <w:pStyle w:val="TOC3"/>
            <w:tabs>
              <w:tab w:val="right" w:leader="dot" w:pos="9350"/>
            </w:tabs>
            <w:rPr>
              <w:rFonts w:ascii="Times New Roman" w:hAnsi="Times New Roman" w:cstheme="minorBidi"/>
              <w:noProof/>
              <w:sz w:val="24"/>
              <w:lang w:val="en-CA" w:eastAsia="en-CA"/>
            </w:rPr>
          </w:pPr>
          <w:hyperlink w:anchor="_Toc62334917" w:history="1">
            <w:r w:rsidR="00CE4B48" w:rsidRPr="00D93E09">
              <w:rPr>
                <w:rStyle w:val="Hyperlink"/>
                <w:rFonts w:ascii="Times New Roman" w:hAnsi="Times New Roman"/>
                <w:noProof/>
                <w:sz w:val="24"/>
              </w:rPr>
              <w:t>B.1.4 Risk Factor Disclosure</w:t>
            </w:r>
            <w:r w:rsidR="00CE4B48" w:rsidRPr="00D93E09">
              <w:rPr>
                <w:rFonts w:ascii="Times New Roman" w:hAnsi="Times New Roman"/>
                <w:noProof/>
                <w:webHidden/>
                <w:sz w:val="24"/>
              </w:rPr>
              <w:tab/>
            </w:r>
            <w:r w:rsidR="00CE4B48" w:rsidRPr="00D93E09">
              <w:rPr>
                <w:rFonts w:ascii="Times New Roman" w:hAnsi="Times New Roman"/>
                <w:noProof/>
                <w:webHidden/>
                <w:sz w:val="24"/>
              </w:rPr>
              <w:fldChar w:fldCharType="begin"/>
            </w:r>
            <w:r w:rsidR="00CE4B48" w:rsidRPr="00D93E09">
              <w:rPr>
                <w:rFonts w:ascii="Times New Roman" w:hAnsi="Times New Roman"/>
                <w:noProof/>
                <w:webHidden/>
                <w:sz w:val="24"/>
              </w:rPr>
              <w:instrText xml:space="preserve"> PAGEREF _Toc62334917 \h </w:instrText>
            </w:r>
            <w:r w:rsidR="00CE4B48" w:rsidRPr="00D93E09">
              <w:rPr>
                <w:rFonts w:ascii="Times New Roman" w:hAnsi="Times New Roman"/>
                <w:noProof/>
                <w:webHidden/>
                <w:sz w:val="24"/>
              </w:rPr>
            </w:r>
            <w:r w:rsidR="00CE4B48" w:rsidRPr="00D93E09">
              <w:rPr>
                <w:rFonts w:ascii="Times New Roman" w:hAnsi="Times New Roman"/>
                <w:noProof/>
                <w:webHidden/>
                <w:sz w:val="24"/>
              </w:rPr>
              <w:fldChar w:fldCharType="separate"/>
            </w:r>
            <w:r w:rsidR="0039716A">
              <w:rPr>
                <w:rFonts w:ascii="Times New Roman" w:hAnsi="Times New Roman"/>
                <w:noProof/>
                <w:webHidden/>
                <w:sz w:val="24"/>
              </w:rPr>
              <w:t>23</w:t>
            </w:r>
            <w:r w:rsidR="00CE4B48" w:rsidRPr="00D93E09">
              <w:rPr>
                <w:rFonts w:ascii="Times New Roman" w:hAnsi="Times New Roman"/>
                <w:noProof/>
                <w:webHidden/>
                <w:sz w:val="24"/>
              </w:rPr>
              <w:fldChar w:fldCharType="end"/>
            </w:r>
          </w:hyperlink>
        </w:p>
        <w:p w14:paraId="543373BC" w14:textId="15B44340" w:rsidR="00CE4B48" w:rsidRPr="00D93E09" w:rsidRDefault="00116664">
          <w:pPr>
            <w:pStyle w:val="TOC2"/>
            <w:tabs>
              <w:tab w:val="right" w:leader="dot" w:pos="9350"/>
            </w:tabs>
            <w:rPr>
              <w:rFonts w:eastAsiaTheme="minorEastAsia" w:cstheme="minorBidi"/>
              <w:noProof/>
              <w:szCs w:val="22"/>
              <w:lang w:eastAsia="en-CA"/>
            </w:rPr>
          </w:pPr>
          <w:hyperlink w:anchor="_Toc62334918" w:history="1">
            <w:r w:rsidR="00CE4B48" w:rsidRPr="00D93E09">
              <w:rPr>
                <w:rStyle w:val="Hyperlink"/>
                <w:noProof/>
              </w:rPr>
              <w:t>B.2 Financial Statements Examples</w:t>
            </w:r>
            <w:r w:rsidR="00CE4B48" w:rsidRPr="006401FD">
              <w:rPr>
                <w:noProof/>
                <w:webHidden/>
              </w:rPr>
              <w:tab/>
            </w:r>
            <w:r w:rsidR="00CE4B48" w:rsidRPr="001F50A2">
              <w:rPr>
                <w:noProof/>
                <w:webHidden/>
              </w:rPr>
              <w:fldChar w:fldCharType="begin"/>
            </w:r>
            <w:r w:rsidR="00CE4B48" w:rsidRPr="006401FD">
              <w:rPr>
                <w:noProof/>
                <w:webHidden/>
              </w:rPr>
              <w:instrText xml:space="preserve"> PAGEREF _Toc62334918 \h </w:instrText>
            </w:r>
            <w:r w:rsidR="00CE4B48" w:rsidRPr="001F50A2">
              <w:rPr>
                <w:noProof/>
                <w:webHidden/>
              </w:rPr>
            </w:r>
            <w:r w:rsidR="00CE4B48" w:rsidRPr="001F50A2">
              <w:rPr>
                <w:noProof/>
                <w:webHidden/>
              </w:rPr>
              <w:fldChar w:fldCharType="separate"/>
            </w:r>
            <w:r w:rsidR="0039716A">
              <w:rPr>
                <w:noProof/>
                <w:webHidden/>
              </w:rPr>
              <w:t>24</w:t>
            </w:r>
            <w:r w:rsidR="00CE4B48" w:rsidRPr="001F50A2">
              <w:rPr>
                <w:noProof/>
                <w:webHidden/>
              </w:rPr>
              <w:fldChar w:fldCharType="end"/>
            </w:r>
          </w:hyperlink>
        </w:p>
        <w:p w14:paraId="54EBC6FE" w14:textId="5EFAE5B5" w:rsidR="00CE4B48" w:rsidRPr="00D93E09" w:rsidRDefault="00116664">
          <w:pPr>
            <w:pStyle w:val="TOC3"/>
            <w:tabs>
              <w:tab w:val="right" w:leader="dot" w:pos="9350"/>
            </w:tabs>
            <w:rPr>
              <w:rFonts w:ascii="Times New Roman" w:hAnsi="Times New Roman" w:cstheme="minorBidi"/>
              <w:noProof/>
              <w:sz w:val="24"/>
              <w:lang w:val="en-CA" w:eastAsia="en-CA"/>
            </w:rPr>
          </w:pPr>
          <w:hyperlink w:anchor="_Toc62334919" w:history="1">
            <w:r w:rsidR="00CE4B48" w:rsidRPr="00D93E09">
              <w:rPr>
                <w:rStyle w:val="Hyperlink"/>
                <w:rFonts w:ascii="Times New Roman" w:hAnsi="Times New Roman"/>
                <w:noProof/>
                <w:sz w:val="24"/>
              </w:rPr>
              <w:t>B.2.1 Impairment of Non-Financial Assets</w:t>
            </w:r>
            <w:r w:rsidR="00CE4B48" w:rsidRPr="00D93E09">
              <w:rPr>
                <w:rFonts w:ascii="Times New Roman" w:hAnsi="Times New Roman"/>
                <w:noProof/>
                <w:webHidden/>
                <w:sz w:val="24"/>
              </w:rPr>
              <w:tab/>
            </w:r>
            <w:r w:rsidR="00CE4B48" w:rsidRPr="00D93E09">
              <w:rPr>
                <w:rFonts w:ascii="Times New Roman" w:hAnsi="Times New Roman"/>
                <w:noProof/>
                <w:webHidden/>
                <w:sz w:val="24"/>
              </w:rPr>
              <w:fldChar w:fldCharType="begin"/>
            </w:r>
            <w:r w:rsidR="00CE4B48" w:rsidRPr="00D93E09">
              <w:rPr>
                <w:rFonts w:ascii="Times New Roman" w:hAnsi="Times New Roman"/>
                <w:noProof/>
                <w:webHidden/>
                <w:sz w:val="24"/>
              </w:rPr>
              <w:instrText xml:space="preserve"> PAGEREF _Toc62334919 \h </w:instrText>
            </w:r>
            <w:r w:rsidR="00CE4B48" w:rsidRPr="00D93E09">
              <w:rPr>
                <w:rFonts w:ascii="Times New Roman" w:hAnsi="Times New Roman"/>
                <w:noProof/>
                <w:webHidden/>
                <w:sz w:val="24"/>
              </w:rPr>
            </w:r>
            <w:r w:rsidR="00CE4B48" w:rsidRPr="00D93E09">
              <w:rPr>
                <w:rFonts w:ascii="Times New Roman" w:hAnsi="Times New Roman"/>
                <w:noProof/>
                <w:webHidden/>
                <w:sz w:val="24"/>
              </w:rPr>
              <w:fldChar w:fldCharType="separate"/>
            </w:r>
            <w:r w:rsidR="0039716A">
              <w:rPr>
                <w:rFonts w:ascii="Times New Roman" w:hAnsi="Times New Roman"/>
                <w:noProof/>
                <w:webHidden/>
                <w:sz w:val="24"/>
              </w:rPr>
              <w:t>24</w:t>
            </w:r>
            <w:r w:rsidR="00CE4B48" w:rsidRPr="00D93E09">
              <w:rPr>
                <w:rFonts w:ascii="Times New Roman" w:hAnsi="Times New Roman"/>
                <w:noProof/>
                <w:webHidden/>
                <w:sz w:val="24"/>
              </w:rPr>
              <w:fldChar w:fldCharType="end"/>
            </w:r>
          </w:hyperlink>
        </w:p>
        <w:p w14:paraId="743DD3FD" w14:textId="1018619E" w:rsidR="00CE4B48" w:rsidRPr="00D93E09" w:rsidRDefault="00116664">
          <w:pPr>
            <w:pStyle w:val="TOC3"/>
            <w:tabs>
              <w:tab w:val="right" w:leader="dot" w:pos="9350"/>
            </w:tabs>
            <w:rPr>
              <w:rFonts w:ascii="Times New Roman" w:hAnsi="Times New Roman" w:cstheme="minorBidi"/>
              <w:noProof/>
              <w:sz w:val="24"/>
              <w:lang w:val="en-CA" w:eastAsia="en-CA"/>
            </w:rPr>
          </w:pPr>
          <w:hyperlink w:anchor="_Toc62334920" w:history="1">
            <w:r w:rsidR="00CE4B48" w:rsidRPr="00D93E09">
              <w:rPr>
                <w:rStyle w:val="Hyperlink"/>
                <w:rFonts w:ascii="Times New Roman" w:hAnsi="Times New Roman"/>
                <w:noProof/>
                <w:sz w:val="24"/>
              </w:rPr>
              <w:t>B.2.2 Going Concern</w:t>
            </w:r>
            <w:r w:rsidR="00CE4B48" w:rsidRPr="00D93E09">
              <w:rPr>
                <w:rFonts w:ascii="Times New Roman" w:hAnsi="Times New Roman"/>
                <w:noProof/>
                <w:webHidden/>
                <w:sz w:val="24"/>
              </w:rPr>
              <w:tab/>
            </w:r>
            <w:r w:rsidR="00CE4B48" w:rsidRPr="00D93E09">
              <w:rPr>
                <w:rFonts w:ascii="Times New Roman" w:hAnsi="Times New Roman"/>
                <w:noProof/>
                <w:webHidden/>
                <w:sz w:val="24"/>
              </w:rPr>
              <w:fldChar w:fldCharType="begin"/>
            </w:r>
            <w:r w:rsidR="00CE4B48" w:rsidRPr="00D93E09">
              <w:rPr>
                <w:rFonts w:ascii="Times New Roman" w:hAnsi="Times New Roman"/>
                <w:noProof/>
                <w:webHidden/>
                <w:sz w:val="24"/>
              </w:rPr>
              <w:instrText xml:space="preserve"> PAGEREF _Toc62334920 \h </w:instrText>
            </w:r>
            <w:r w:rsidR="00CE4B48" w:rsidRPr="00D93E09">
              <w:rPr>
                <w:rFonts w:ascii="Times New Roman" w:hAnsi="Times New Roman"/>
                <w:noProof/>
                <w:webHidden/>
                <w:sz w:val="24"/>
              </w:rPr>
            </w:r>
            <w:r w:rsidR="00CE4B48" w:rsidRPr="00D93E09">
              <w:rPr>
                <w:rFonts w:ascii="Times New Roman" w:hAnsi="Times New Roman"/>
                <w:noProof/>
                <w:webHidden/>
                <w:sz w:val="24"/>
              </w:rPr>
              <w:fldChar w:fldCharType="separate"/>
            </w:r>
            <w:r w:rsidR="0039716A">
              <w:rPr>
                <w:rFonts w:ascii="Times New Roman" w:hAnsi="Times New Roman"/>
                <w:noProof/>
                <w:webHidden/>
                <w:sz w:val="24"/>
              </w:rPr>
              <w:t>25</w:t>
            </w:r>
            <w:r w:rsidR="00CE4B48" w:rsidRPr="00D93E09">
              <w:rPr>
                <w:rFonts w:ascii="Times New Roman" w:hAnsi="Times New Roman"/>
                <w:noProof/>
                <w:webHidden/>
                <w:sz w:val="24"/>
              </w:rPr>
              <w:fldChar w:fldCharType="end"/>
            </w:r>
          </w:hyperlink>
        </w:p>
        <w:p w14:paraId="6072E4BB" w14:textId="62B38606" w:rsidR="00CE4B48" w:rsidRPr="00D93E09" w:rsidRDefault="00116664">
          <w:pPr>
            <w:pStyle w:val="TOC3"/>
            <w:tabs>
              <w:tab w:val="right" w:leader="dot" w:pos="9350"/>
            </w:tabs>
            <w:rPr>
              <w:rFonts w:ascii="Times New Roman" w:hAnsi="Times New Roman" w:cstheme="minorBidi"/>
              <w:noProof/>
              <w:sz w:val="24"/>
              <w:lang w:val="en-CA" w:eastAsia="en-CA"/>
            </w:rPr>
          </w:pPr>
          <w:hyperlink w:anchor="_Toc62334922" w:history="1">
            <w:r w:rsidR="00CE4B48" w:rsidRPr="00D93E09">
              <w:rPr>
                <w:rStyle w:val="Hyperlink"/>
                <w:rFonts w:ascii="Times New Roman" w:hAnsi="Times New Roman"/>
                <w:noProof/>
                <w:sz w:val="24"/>
              </w:rPr>
              <w:t>B.2.</w:t>
            </w:r>
            <w:r w:rsidR="00B75BF1">
              <w:rPr>
                <w:rStyle w:val="Hyperlink"/>
                <w:rFonts w:ascii="Times New Roman" w:hAnsi="Times New Roman"/>
                <w:noProof/>
                <w:sz w:val="24"/>
              </w:rPr>
              <w:t>3</w:t>
            </w:r>
            <w:r w:rsidR="00CE4B48" w:rsidRPr="00D93E09">
              <w:rPr>
                <w:rStyle w:val="Hyperlink"/>
                <w:rFonts w:ascii="Times New Roman" w:hAnsi="Times New Roman"/>
                <w:noProof/>
                <w:sz w:val="24"/>
              </w:rPr>
              <w:t xml:space="preserve"> Government Assistance</w:t>
            </w:r>
            <w:r w:rsidR="00CE4B48" w:rsidRPr="00D93E09">
              <w:rPr>
                <w:rFonts w:ascii="Times New Roman" w:hAnsi="Times New Roman"/>
                <w:noProof/>
                <w:webHidden/>
                <w:sz w:val="24"/>
              </w:rPr>
              <w:tab/>
            </w:r>
            <w:r w:rsidR="00CE4B48" w:rsidRPr="00D93E09">
              <w:rPr>
                <w:rFonts w:ascii="Times New Roman" w:hAnsi="Times New Roman"/>
                <w:noProof/>
                <w:webHidden/>
                <w:sz w:val="24"/>
              </w:rPr>
              <w:fldChar w:fldCharType="begin"/>
            </w:r>
            <w:r w:rsidR="00CE4B48" w:rsidRPr="00D93E09">
              <w:rPr>
                <w:rFonts w:ascii="Times New Roman" w:hAnsi="Times New Roman"/>
                <w:noProof/>
                <w:webHidden/>
                <w:sz w:val="24"/>
              </w:rPr>
              <w:instrText xml:space="preserve"> PAGEREF _Toc62334922 \h </w:instrText>
            </w:r>
            <w:r w:rsidR="00CE4B48" w:rsidRPr="00D93E09">
              <w:rPr>
                <w:rFonts w:ascii="Times New Roman" w:hAnsi="Times New Roman"/>
                <w:noProof/>
                <w:webHidden/>
                <w:sz w:val="24"/>
              </w:rPr>
            </w:r>
            <w:r w:rsidR="00CE4B48" w:rsidRPr="00D93E09">
              <w:rPr>
                <w:rFonts w:ascii="Times New Roman" w:hAnsi="Times New Roman"/>
                <w:noProof/>
                <w:webHidden/>
                <w:sz w:val="24"/>
              </w:rPr>
              <w:fldChar w:fldCharType="separate"/>
            </w:r>
            <w:r w:rsidR="0039716A">
              <w:rPr>
                <w:rFonts w:ascii="Times New Roman" w:hAnsi="Times New Roman"/>
                <w:noProof/>
                <w:webHidden/>
                <w:sz w:val="24"/>
              </w:rPr>
              <w:t>26</w:t>
            </w:r>
            <w:r w:rsidR="00CE4B48" w:rsidRPr="00D93E09">
              <w:rPr>
                <w:rFonts w:ascii="Times New Roman" w:hAnsi="Times New Roman"/>
                <w:noProof/>
                <w:webHidden/>
                <w:sz w:val="24"/>
              </w:rPr>
              <w:fldChar w:fldCharType="end"/>
            </w:r>
          </w:hyperlink>
        </w:p>
        <w:p w14:paraId="32BDC0E3" w14:textId="7EC46C96" w:rsidR="00CE4B48" w:rsidRPr="00D93E09" w:rsidRDefault="00116664">
          <w:pPr>
            <w:pStyle w:val="TOC2"/>
            <w:tabs>
              <w:tab w:val="right" w:leader="dot" w:pos="9350"/>
            </w:tabs>
            <w:rPr>
              <w:rFonts w:eastAsiaTheme="minorEastAsia" w:cstheme="minorBidi"/>
              <w:noProof/>
              <w:szCs w:val="22"/>
              <w:lang w:eastAsia="en-CA"/>
            </w:rPr>
          </w:pPr>
          <w:hyperlink w:anchor="_Toc62334923" w:history="1">
            <w:r w:rsidR="00CE4B48" w:rsidRPr="00D93E09">
              <w:rPr>
                <w:rStyle w:val="Hyperlink"/>
                <w:noProof/>
              </w:rPr>
              <w:t>B.3 Other Regulatory Matters Examples</w:t>
            </w:r>
            <w:r w:rsidR="00CE4B48" w:rsidRPr="006401FD">
              <w:rPr>
                <w:noProof/>
                <w:webHidden/>
              </w:rPr>
              <w:tab/>
            </w:r>
            <w:r w:rsidR="00CE4B48" w:rsidRPr="001F50A2">
              <w:rPr>
                <w:noProof/>
                <w:webHidden/>
              </w:rPr>
              <w:fldChar w:fldCharType="begin"/>
            </w:r>
            <w:r w:rsidR="00CE4B48" w:rsidRPr="006401FD">
              <w:rPr>
                <w:noProof/>
                <w:webHidden/>
              </w:rPr>
              <w:instrText xml:space="preserve"> PAGEREF _Toc62334923 \h </w:instrText>
            </w:r>
            <w:r w:rsidR="00CE4B48" w:rsidRPr="001F50A2">
              <w:rPr>
                <w:noProof/>
                <w:webHidden/>
              </w:rPr>
            </w:r>
            <w:r w:rsidR="00CE4B48" w:rsidRPr="001F50A2">
              <w:rPr>
                <w:noProof/>
                <w:webHidden/>
              </w:rPr>
              <w:fldChar w:fldCharType="separate"/>
            </w:r>
            <w:r w:rsidR="0039716A">
              <w:rPr>
                <w:noProof/>
                <w:webHidden/>
              </w:rPr>
              <w:t>27</w:t>
            </w:r>
            <w:r w:rsidR="00CE4B48" w:rsidRPr="001F50A2">
              <w:rPr>
                <w:noProof/>
                <w:webHidden/>
              </w:rPr>
              <w:fldChar w:fldCharType="end"/>
            </w:r>
          </w:hyperlink>
        </w:p>
        <w:p w14:paraId="349DA4F9" w14:textId="591073F2" w:rsidR="00CE4B48" w:rsidRPr="00D93E09" w:rsidRDefault="00116664">
          <w:pPr>
            <w:pStyle w:val="TOC3"/>
            <w:tabs>
              <w:tab w:val="right" w:leader="dot" w:pos="9350"/>
            </w:tabs>
            <w:rPr>
              <w:rFonts w:ascii="Times New Roman" w:hAnsi="Times New Roman" w:cstheme="minorBidi"/>
              <w:noProof/>
              <w:sz w:val="24"/>
              <w:lang w:val="en-CA" w:eastAsia="en-CA"/>
            </w:rPr>
          </w:pPr>
          <w:hyperlink w:anchor="_Toc62334924" w:history="1">
            <w:r w:rsidR="00CE4B48" w:rsidRPr="00D93E09">
              <w:rPr>
                <w:rStyle w:val="Hyperlink"/>
                <w:rFonts w:ascii="Times New Roman" w:hAnsi="Times New Roman"/>
                <w:noProof/>
                <w:sz w:val="24"/>
              </w:rPr>
              <w:t>B.3.1 N</w:t>
            </w:r>
            <w:r w:rsidR="00242C03">
              <w:rPr>
                <w:rStyle w:val="Hyperlink"/>
                <w:rFonts w:ascii="Times New Roman" w:hAnsi="Times New Roman"/>
                <w:noProof/>
                <w:sz w:val="24"/>
              </w:rPr>
              <w:t>on</w:t>
            </w:r>
            <w:r w:rsidR="00CE4B48" w:rsidRPr="00D93E09">
              <w:rPr>
                <w:rStyle w:val="Hyperlink"/>
                <w:rFonts w:ascii="Times New Roman" w:hAnsi="Times New Roman"/>
                <w:noProof/>
                <w:sz w:val="24"/>
              </w:rPr>
              <w:t>-GAAP Financial Measures</w:t>
            </w:r>
            <w:r w:rsidR="00CE4B48" w:rsidRPr="00D93E09">
              <w:rPr>
                <w:rFonts w:ascii="Times New Roman" w:hAnsi="Times New Roman"/>
                <w:noProof/>
                <w:webHidden/>
                <w:sz w:val="24"/>
              </w:rPr>
              <w:tab/>
            </w:r>
            <w:r w:rsidR="00CE4B48" w:rsidRPr="00D93E09">
              <w:rPr>
                <w:rFonts w:ascii="Times New Roman" w:hAnsi="Times New Roman"/>
                <w:noProof/>
                <w:webHidden/>
                <w:sz w:val="24"/>
              </w:rPr>
              <w:fldChar w:fldCharType="begin"/>
            </w:r>
            <w:r w:rsidR="00CE4B48" w:rsidRPr="00D93E09">
              <w:rPr>
                <w:rFonts w:ascii="Times New Roman" w:hAnsi="Times New Roman"/>
                <w:noProof/>
                <w:webHidden/>
                <w:sz w:val="24"/>
              </w:rPr>
              <w:instrText xml:space="preserve"> PAGEREF _Toc62334924 \h </w:instrText>
            </w:r>
            <w:r w:rsidR="00CE4B48" w:rsidRPr="00D93E09">
              <w:rPr>
                <w:rFonts w:ascii="Times New Roman" w:hAnsi="Times New Roman"/>
                <w:noProof/>
                <w:webHidden/>
                <w:sz w:val="24"/>
              </w:rPr>
            </w:r>
            <w:r w:rsidR="00CE4B48" w:rsidRPr="00D93E09">
              <w:rPr>
                <w:rFonts w:ascii="Times New Roman" w:hAnsi="Times New Roman"/>
                <w:noProof/>
                <w:webHidden/>
                <w:sz w:val="24"/>
              </w:rPr>
              <w:fldChar w:fldCharType="separate"/>
            </w:r>
            <w:r w:rsidR="0039716A">
              <w:rPr>
                <w:rFonts w:ascii="Times New Roman" w:hAnsi="Times New Roman"/>
                <w:noProof/>
                <w:webHidden/>
                <w:sz w:val="24"/>
              </w:rPr>
              <w:t>27</w:t>
            </w:r>
            <w:r w:rsidR="00CE4B48" w:rsidRPr="00D93E09">
              <w:rPr>
                <w:rFonts w:ascii="Times New Roman" w:hAnsi="Times New Roman"/>
                <w:noProof/>
                <w:webHidden/>
                <w:sz w:val="24"/>
              </w:rPr>
              <w:fldChar w:fldCharType="end"/>
            </w:r>
          </w:hyperlink>
        </w:p>
        <w:p w14:paraId="1ECEBC80" w14:textId="4BA8A57B" w:rsidR="00AA510E" w:rsidRPr="00D93E09" w:rsidRDefault="00AA510E" w:rsidP="00AA510E">
          <w:pPr>
            <w:rPr>
              <w:noProof/>
            </w:rPr>
          </w:pPr>
          <w:r w:rsidRPr="001F50A2">
            <w:rPr>
              <w:noProof/>
              <w:szCs w:val="24"/>
            </w:rPr>
            <w:fldChar w:fldCharType="end"/>
          </w:r>
        </w:p>
      </w:sdtContent>
    </w:sdt>
    <w:bookmarkEnd w:id="2" w:displacedByCustomXml="prev"/>
    <w:p w14:paraId="7C223E62" w14:textId="77777777" w:rsidR="00AA510E" w:rsidRDefault="00AA510E" w:rsidP="00947F30">
      <w:pPr>
        <w:spacing w:after="240"/>
        <w:jc w:val="both"/>
        <w:rPr>
          <w:sz w:val="22"/>
          <w:szCs w:val="22"/>
        </w:rPr>
      </w:pPr>
    </w:p>
    <w:p w14:paraId="48C0252B" w14:textId="77777777" w:rsidR="000A22BC" w:rsidRDefault="000A22BC" w:rsidP="00947F30">
      <w:pPr>
        <w:spacing w:after="240"/>
        <w:jc w:val="both"/>
        <w:rPr>
          <w:sz w:val="22"/>
          <w:szCs w:val="22"/>
        </w:rPr>
      </w:pPr>
    </w:p>
    <w:p w14:paraId="0E5ECE4C" w14:textId="77777777" w:rsidR="00AA510E" w:rsidRPr="00947F30" w:rsidRDefault="00AA510E" w:rsidP="00947F30">
      <w:pPr>
        <w:spacing w:after="240"/>
        <w:jc w:val="both"/>
        <w:rPr>
          <w:sz w:val="22"/>
          <w:szCs w:val="22"/>
        </w:rPr>
      </w:pPr>
    </w:p>
    <w:p w14:paraId="661CEDC2" w14:textId="77777777" w:rsidR="003F5478" w:rsidRDefault="003F5478" w:rsidP="00C426F5">
      <w:pPr>
        <w:pStyle w:val="Heading1"/>
        <w:numPr>
          <w:ilvl w:val="0"/>
          <w:numId w:val="0"/>
        </w:numPr>
        <w:rPr>
          <w:color w:val="1F497D" w:themeColor="text2"/>
          <w:sz w:val="32"/>
          <w:szCs w:val="24"/>
        </w:rPr>
      </w:pPr>
    </w:p>
    <w:p w14:paraId="7EDA157F" w14:textId="77777777" w:rsidR="003F5478" w:rsidRDefault="003F5478" w:rsidP="00C426F5">
      <w:pPr>
        <w:pStyle w:val="Heading1"/>
        <w:numPr>
          <w:ilvl w:val="0"/>
          <w:numId w:val="0"/>
        </w:numPr>
        <w:rPr>
          <w:color w:val="1F497D" w:themeColor="text2"/>
          <w:sz w:val="32"/>
          <w:szCs w:val="24"/>
        </w:rPr>
      </w:pPr>
    </w:p>
    <w:p w14:paraId="0F77AA2B" w14:textId="77777777" w:rsidR="003F5478" w:rsidRDefault="003F5478" w:rsidP="00C426F5">
      <w:pPr>
        <w:pStyle w:val="Heading1"/>
        <w:numPr>
          <w:ilvl w:val="0"/>
          <w:numId w:val="0"/>
        </w:numPr>
        <w:rPr>
          <w:color w:val="1F497D" w:themeColor="text2"/>
          <w:sz w:val="32"/>
          <w:szCs w:val="24"/>
        </w:rPr>
      </w:pPr>
    </w:p>
    <w:p w14:paraId="7CC7DF00" w14:textId="5A7E0680" w:rsidR="003F5478" w:rsidRDefault="003F5478" w:rsidP="00C426F5">
      <w:pPr>
        <w:pStyle w:val="Heading1"/>
        <w:numPr>
          <w:ilvl w:val="0"/>
          <w:numId w:val="0"/>
        </w:numPr>
        <w:rPr>
          <w:color w:val="1F497D" w:themeColor="text2"/>
          <w:sz w:val="32"/>
          <w:szCs w:val="24"/>
        </w:rPr>
      </w:pPr>
    </w:p>
    <w:p w14:paraId="2FCC4ADF" w14:textId="77777777" w:rsidR="002C79DB" w:rsidRDefault="002C79DB" w:rsidP="00C426F5">
      <w:pPr>
        <w:pStyle w:val="Heading1"/>
        <w:numPr>
          <w:ilvl w:val="0"/>
          <w:numId w:val="0"/>
        </w:numPr>
        <w:rPr>
          <w:color w:val="1F497D" w:themeColor="text2"/>
          <w:sz w:val="32"/>
          <w:szCs w:val="24"/>
        </w:rPr>
      </w:pPr>
    </w:p>
    <w:p w14:paraId="1AC309B9" w14:textId="77777777" w:rsidR="00C665E4" w:rsidRPr="005D7778" w:rsidRDefault="00674CB5" w:rsidP="00C426F5">
      <w:pPr>
        <w:pStyle w:val="Heading1"/>
        <w:numPr>
          <w:ilvl w:val="0"/>
          <w:numId w:val="0"/>
        </w:numPr>
        <w:rPr>
          <w:b w:val="0"/>
          <w:color w:val="1F497D" w:themeColor="text2"/>
          <w:sz w:val="22"/>
          <w:szCs w:val="22"/>
          <w:shd w:val="clear" w:color="auto" w:fill="FFFFFF"/>
        </w:rPr>
      </w:pPr>
      <w:bookmarkStart w:id="3" w:name="_Toc62334905"/>
      <w:r w:rsidRPr="005D7778">
        <w:rPr>
          <w:color w:val="1F497D" w:themeColor="text2"/>
          <w:sz w:val="32"/>
          <w:szCs w:val="24"/>
        </w:rPr>
        <w:lastRenderedPageBreak/>
        <w:t xml:space="preserve">Part </w:t>
      </w:r>
      <w:r w:rsidR="00F51752">
        <w:rPr>
          <w:color w:val="1F497D" w:themeColor="text2"/>
          <w:sz w:val="32"/>
          <w:szCs w:val="24"/>
        </w:rPr>
        <w:t>1</w:t>
      </w:r>
      <w:r w:rsidRPr="005D7778">
        <w:rPr>
          <w:color w:val="1F497D" w:themeColor="text2"/>
          <w:sz w:val="32"/>
          <w:szCs w:val="24"/>
        </w:rPr>
        <w:t xml:space="preserve"> - </w:t>
      </w:r>
      <w:r w:rsidR="00C665E4" w:rsidRPr="005D7778">
        <w:rPr>
          <w:color w:val="1F497D" w:themeColor="text2"/>
          <w:sz w:val="32"/>
          <w:szCs w:val="24"/>
        </w:rPr>
        <w:t>Executive Summary</w:t>
      </w:r>
      <w:bookmarkEnd w:id="3"/>
    </w:p>
    <w:p w14:paraId="4758C876" w14:textId="43246D7A" w:rsidR="00617F99" w:rsidRPr="00617F99" w:rsidRDefault="00617F99" w:rsidP="00617F99">
      <w:pPr>
        <w:jc w:val="both"/>
        <w:rPr>
          <w:color w:val="000000"/>
          <w:sz w:val="22"/>
          <w:szCs w:val="22"/>
          <w:shd w:val="clear" w:color="auto" w:fill="FFFFFF"/>
        </w:rPr>
      </w:pPr>
      <w:r w:rsidRPr="00617F99">
        <w:rPr>
          <w:color w:val="000000"/>
          <w:sz w:val="22"/>
          <w:szCs w:val="22"/>
          <w:shd w:val="clear" w:color="auto" w:fill="FFFFFF"/>
        </w:rPr>
        <w:t xml:space="preserve">The COVID-19 pandemic has significantly impacted the financial condition, financial performance, operations and cash flows of reporting issuers of varying sizes and industries. This has specific financial reporting implications for </w:t>
      </w:r>
      <w:r w:rsidR="007B545E">
        <w:rPr>
          <w:color w:val="000000"/>
          <w:sz w:val="22"/>
          <w:szCs w:val="22"/>
          <w:shd w:val="clear" w:color="auto" w:fill="FFFFFF"/>
        </w:rPr>
        <w:t>issuers</w:t>
      </w:r>
      <w:r w:rsidRPr="00617F99">
        <w:rPr>
          <w:color w:val="000000"/>
          <w:sz w:val="22"/>
          <w:szCs w:val="22"/>
          <w:shd w:val="clear" w:color="auto" w:fill="FFFFFF"/>
        </w:rPr>
        <w:t xml:space="preserve">. </w:t>
      </w:r>
    </w:p>
    <w:p w14:paraId="340F30EF" w14:textId="77777777" w:rsidR="00617F99" w:rsidRPr="00617F99" w:rsidRDefault="00617F99" w:rsidP="00617F99">
      <w:pPr>
        <w:jc w:val="both"/>
        <w:rPr>
          <w:color w:val="000000"/>
          <w:sz w:val="22"/>
          <w:szCs w:val="22"/>
          <w:shd w:val="clear" w:color="auto" w:fill="FFFFFF"/>
        </w:rPr>
      </w:pPr>
    </w:p>
    <w:p w14:paraId="45D5010A" w14:textId="4CDA7C5F" w:rsidR="00617F99" w:rsidRPr="00617F99" w:rsidRDefault="00617F99" w:rsidP="00617F99">
      <w:pPr>
        <w:jc w:val="both"/>
        <w:rPr>
          <w:color w:val="000000"/>
          <w:sz w:val="22"/>
          <w:szCs w:val="22"/>
          <w:shd w:val="clear" w:color="auto" w:fill="FFFFFF"/>
        </w:rPr>
      </w:pPr>
      <w:r w:rsidRPr="00617F99">
        <w:rPr>
          <w:color w:val="000000"/>
          <w:sz w:val="22"/>
          <w:szCs w:val="22"/>
          <w:shd w:val="clear" w:color="auto" w:fill="FFFFFF"/>
        </w:rPr>
        <w:t xml:space="preserve">We were encouraged by the quality of disclosures provided by many issuers significantly impacted by COVID-19. However, we noted certain areas where boiler-plate disclosure was provided regarding the current and expected impact of COVID-19 on an issuer’s business with insufficient detail of </w:t>
      </w:r>
      <w:r w:rsidR="00BE57AE">
        <w:rPr>
          <w:color w:val="000000"/>
          <w:sz w:val="22"/>
          <w:szCs w:val="22"/>
          <w:shd w:val="clear" w:color="auto" w:fill="FFFFFF"/>
        </w:rPr>
        <w:t>entity</w:t>
      </w:r>
      <w:r w:rsidRPr="00617F99">
        <w:rPr>
          <w:color w:val="000000"/>
          <w:sz w:val="22"/>
          <w:szCs w:val="22"/>
          <w:shd w:val="clear" w:color="auto" w:fill="FFFFFF"/>
        </w:rPr>
        <w:t xml:space="preserve">-specific COVID-19 related risks, including but not limited to, the nature and extent of credit risks and liquidity uncertainties. We also observed instances of unbalanced or overly promotional disclosure and isolated non-compliance </w:t>
      </w:r>
      <w:r w:rsidR="00775254">
        <w:rPr>
          <w:color w:val="000000"/>
          <w:sz w:val="22"/>
          <w:szCs w:val="22"/>
          <w:shd w:val="clear" w:color="auto" w:fill="FFFFFF"/>
        </w:rPr>
        <w:t>for</w:t>
      </w:r>
      <w:r w:rsidRPr="00617F99">
        <w:rPr>
          <w:color w:val="000000"/>
          <w:sz w:val="22"/>
          <w:szCs w:val="22"/>
          <w:shd w:val="clear" w:color="auto" w:fill="FFFFFF"/>
        </w:rPr>
        <w:t xml:space="preserve"> non-GAAP</w:t>
      </w:r>
      <w:r w:rsidR="001D39AD">
        <w:rPr>
          <w:color w:val="000000"/>
          <w:sz w:val="22"/>
          <w:szCs w:val="22"/>
          <w:shd w:val="clear" w:color="auto" w:fill="FFFFFF"/>
        </w:rPr>
        <w:t xml:space="preserve"> financial</w:t>
      </w:r>
      <w:r w:rsidRPr="00617F99">
        <w:rPr>
          <w:color w:val="000000"/>
          <w:sz w:val="22"/>
          <w:szCs w:val="22"/>
          <w:shd w:val="clear" w:color="auto" w:fill="FFFFFF"/>
        </w:rPr>
        <w:t xml:space="preserve"> measures (</w:t>
      </w:r>
      <w:r w:rsidRPr="00DD2F0A">
        <w:rPr>
          <w:b/>
          <w:bCs/>
          <w:color w:val="000000"/>
          <w:sz w:val="22"/>
          <w:szCs w:val="22"/>
          <w:shd w:val="clear" w:color="auto" w:fill="FFFFFF"/>
        </w:rPr>
        <w:t>NGM</w:t>
      </w:r>
      <w:r w:rsidRPr="00617F99">
        <w:rPr>
          <w:color w:val="000000"/>
          <w:sz w:val="22"/>
          <w:szCs w:val="22"/>
          <w:shd w:val="clear" w:color="auto" w:fill="FFFFFF"/>
        </w:rPr>
        <w:t>s) and forward-looking information (</w:t>
      </w:r>
      <w:r w:rsidRPr="00DD2F0A">
        <w:rPr>
          <w:b/>
          <w:bCs/>
          <w:color w:val="000000"/>
          <w:sz w:val="22"/>
          <w:szCs w:val="22"/>
          <w:shd w:val="clear" w:color="auto" w:fill="FFFFFF"/>
        </w:rPr>
        <w:t>FLI</w:t>
      </w:r>
      <w:r w:rsidRPr="00617F99">
        <w:rPr>
          <w:color w:val="000000"/>
          <w:sz w:val="22"/>
          <w:szCs w:val="22"/>
          <w:shd w:val="clear" w:color="auto" w:fill="FFFFFF"/>
        </w:rPr>
        <w:t>). It is important for issuers to tailor their disclosures to provide investors with an entity-specific level of insight to understand the operational challenges, financial impacts, risk profile and the issuer’s operational responses related to the COVID-19 pandemic. Such information is necessary to meet securities requirements and to help foster investor confidence in the current environment.</w:t>
      </w:r>
    </w:p>
    <w:p w14:paraId="1795A9A9" w14:textId="77777777" w:rsidR="00617F99" w:rsidRPr="00617F99" w:rsidRDefault="00617F99" w:rsidP="00617F99">
      <w:pPr>
        <w:jc w:val="both"/>
        <w:rPr>
          <w:color w:val="000000"/>
          <w:sz w:val="22"/>
          <w:szCs w:val="22"/>
          <w:shd w:val="clear" w:color="auto" w:fill="FFFFFF"/>
        </w:rPr>
      </w:pPr>
    </w:p>
    <w:p w14:paraId="639A87BE" w14:textId="77777777" w:rsidR="00617F99" w:rsidRPr="00617F99" w:rsidRDefault="00617F99" w:rsidP="00617F99">
      <w:pPr>
        <w:jc w:val="both"/>
        <w:rPr>
          <w:color w:val="000000"/>
          <w:sz w:val="22"/>
          <w:szCs w:val="22"/>
          <w:shd w:val="clear" w:color="auto" w:fill="FFFFFF"/>
        </w:rPr>
      </w:pPr>
      <w:r w:rsidRPr="00617F99">
        <w:rPr>
          <w:color w:val="000000"/>
          <w:sz w:val="22"/>
          <w:szCs w:val="22"/>
          <w:shd w:val="clear" w:color="auto" w:fill="FFFFFF"/>
        </w:rPr>
        <w:t>The reviews have resulted in outcomes where no action was required, requests for prospective disclosure enhancements were made, or communication is ongoing to resolve the identified issues.</w:t>
      </w:r>
    </w:p>
    <w:p w14:paraId="3A566B93" w14:textId="77777777" w:rsidR="00617F99" w:rsidRPr="00617F99" w:rsidRDefault="00617F99" w:rsidP="00617F99">
      <w:pPr>
        <w:jc w:val="both"/>
        <w:rPr>
          <w:color w:val="000000"/>
          <w:sz w:val="22"/>
          <w:szCs w:val="22"/>
          <w:shd w:val="clear" w:color="auto" w:fill="FFFFFF"/>
        </w:rPr>
      </w:pPr>
    </w:p>
    <w:p w14:paraId="2069C14B" w14:textId="77777777" w:rsidR="00623287" w:rsidRDefault="00617F99" w:rsidP="00617F99">
      <w:pPr>
        <w:jc w:val="both"/>
        <w:rPr>
          <w:color w:val="333333"/>
          <w:sz w:val="22"/>
          <w:szCs w:val="22"/>
          <w:lang w:eastAsia="en-CA"/>
        </w:rPr>
      </w:pPr>
      <w:r w:rsidRPr="00617F99">
        <w:rPr>
          <w:color w:val="000000"/>
          <w:sz w:val="22"/>
          <w:szCs w:val="22"/>
          <w:shd w:val="clear" w:color="auto" w:fill="FFFFFF"/>
        </w:rPr>
        <w:t>At a high level, we emphasize the following for issuers to consider in their upcoming CD filings:</w:t>
      </w:r>
    </w:p>
    <w:p w14:paraId="14291A63" w14:textId="77777777" w:rsidR="00A41AC7" w:rsidRDefault="00A41AC7" w:rsidP="00947F30">
      <w:pPr>
        <w:jc w:val="both"/>
        <w:rPr>
          <w:color w:val="000000"/>
          <w:sz w:val="22"/>
          <w:szCs w:val="22"/>
          <w:shd w:val="clear" w:color="auto" w:fill="FFFFFF"/>
        </w:rPr>
      </w:pPr>
    </w:p>
    <w:tbl>
      <w:tblPr>
        <w:tblW w:w="0" w:type="auto"/>
        <w:tblInd w:w="108" w:type="dxa"/>
        <w:tblBorders>
          <w:top w:val="single" w:sz="18" w:space="0" w:color="1F497D" w:themeColor="text2"/>
          <w:left w:val="single" w:sz="18" w:space="0" w:color="1F497D" w:themeColor="text2"/>
          <w:bottom w:val="single" w:sz="18" w:space="0" w:color="1F497D" w:themeColor="text2"/>
          <w:right w:val="single" w:sz="18" w:space="0" w:color="1F497D" w:themeColor="text2"/>
          <w:insideH w:val="single" w:sz="18" w:space="0" w:color="1F497D" w:themeColor="text2"/>
          <w:insideV w:val="single" w:sz="18" w:space="0" w:color="1F497D" w:themeColor="text2"/>
        </w:tblBorders>
        <w:shd w:val="clear" w:color="auto" w:fill="EEECE1" w:themeFill="background2"/>
        <w:tblLook w:val="04A0" w:firstRow="1" w:lastRow="0" w:firstColumn="1" w:lastColumn="0" w:noHBand="0" w:noVBand="1"/>
      </w:tblPr>
      <w:tblGrid>
        <w:gridCol w:w="9206"/>
      </w:tblGrid>
      <w:tr w:rsidR="00C665E4" w:rsidRPr="00947F30" w14:paraId="4A427F42" w14:textId="77777777" w:rsidTr="00617F99">
        <w:trPr>
          <w:trHeight w:val="1665"/>
        </w:trPr>
        <w:tc>
          <w:tcPr>
            <w:tcW w:w="9206" w:type="dxa"/>
            <w:shd w:val="clear" w:color="auto" w:fill="EEECE1" w:themeFill="background2"/>
          </w:tcPr>
          <w:p w14:paraId="07E60E07" w14:textId="77777777" w:rsidR="009845A2" w:rsidRPr="00D93E09" w:rsidRDefault="00A41AC7" w:rsidP="00761BD8">
            <w:pPr>
              <w:pStyle w:val="ListParagraph"/>
              <w:numPr>
                <w:ilvl w:val="0"/>
                <w:numId w:val="52"/>
              </w:numPr>
              <w:ind w:left="327"/>
              <w:jc w:val="both"/>
              <w:rPr>
                <w:sz w:val="22"/>
                <w:szCs w:val="22"/>
              </w:rPr>
            </w:pPr>
            <w:r>
              <w:rPr>
                <w:color w:val="000000"/>
                <w:sz w:val="22"/>
                <w:szCs w:val="22"/>
                <w:shd w:val="clear" w:color="auto" w:fill="FFFFFF"/>
              </w:rPr>
              <w:br w:type="page"/>
            </w:r>
            <w:r w:rsidR="00C665E4" w:rsidRPr="00D93E09">
              <w:rPr>
                <w:sz w:val="22"/>
                <w:szCs w:val="22"/>
              </w:rPr>
              <w:t>There is no “one size fits all” model for issuers to follow when assessing the disclosure implications of COVID-19.</w:t>
            </w:r>
          </w:p>
          <w:p w14:paraId="1FB4CFA7" w14:textId="77777777" w:rsidR="003E22B7" w:rsidRDefault="003E22B7" w:rsidP="009845A2">
            <w:pPr>
              <w:pStyle w:val="ListParagraph"/>
              <w:numPr>
                <w:ilvl w:val="0"/>
                <w:numId w:val="4"/>
              </w:numPr>
              <w:spacing w:before="240"/>
              <w:jc w:val="both"/>
              <w:rPr>
                <w:sz w:val="22"/>
                <w:szCs w:val="22"/>
              </w:rPr>
            </w:pPr>
            <w:r w:rsidRPr="00D93E09">
              <w:rPr>
                <w:sz w:val="22"/>
                <w:szCs w:val="22"/>
              </w:rPr>
              <w:t>Disclosures are expected to be transparent and balanced.</w:t>
            </w:r>
          </w:p>
          <w:p w14:paraId="768EFA7A" w14:textId="77777777" w:rsidR="003266EC" w:rsidRPr="00D93E09" w:rsidRDefault="00AE71C3" w:rsidP="00D93E09">
            <w:pPr>
              <w:pStyle w:val="ListParagraph"/>
              <w:numPr>
                <w:ilvl w:val="0"/>
                <w:numId w:val="4"/>
              </w:numPr>
              <w:jc w:val="both"/>
              <w:rPr>
                <w:b/>
                <w:bCs/>
                <w:sz w:val="22"/>
                <w:szCs w:val="22"/>
                <w:u w:val="single"/>
              </w:rPr>
            </w:pPr>
            <w:r w:rsidRPr="000731E2">
              <w:rPr>
                <w:sz w:val="22"/>
                <w:szCs w:val="22"/>
              </w:rPr>
              <w:t>P</w:t>
            </w:r>
            <w:r w:rsidR="00C665E4" w:rsidRPr="000731E2">
              <w:rPr>
                <w:sz w:val="22"/>
                <w:szCs w:val="22"/>
              </w:rPr>
              <w:t>rovide disclosures on COVID-19 that</w:t>
            </w:r>
            <w:r w:rsidRPr="000731E2">
              <w:rPr>
                <w:sz w:val="22"/>
                <w:szCs w:val="22"/>
              </w:rPr>
              <w:t xml:space="preserve"> </w:t>
            </w:r>
            <w:r w:rsidR="0090017D" w:rsidRPr="000731E2">
              <w:rPr>
                <w:sz w:val="22"/>
                <w:szCs w:val="22"/>
              </w:rPr>
              <w:t>facilitates an understanding of:</w:t>
            </w:r>
          </w:p>
          <w:p w14:paraId="662C1F17" w14:textId="77777777" w:rsidR="00C665E4" w:rsidRPr="00947F30" w:rsidRDefault="00AE71C3" w:rsidP="008D0666">
            <w:pPr>
              <w:pStyle w:val="ListParagraph"/>
              <w:numPr>
                <w:ilvl w:val="1"/>
                <w:numId w:val="4"/>
              </w:numPr>
              <w:jc w:val="both"/>
              <w:rPr>
                <w:sz w:val="22"/>
                <w:szCs w:val="22"/>
              </w:rPr>
            </w:pPr>
            <w:r>
              <w:rPr>
                <w:sz w:val="22"/>
                <w:szCs w:val="22"/>
              </w:rPr>
              <w:t>T</w:t>
            </w:r>
            <w:r w:rsidR="00C665E4" w:rsidRPr="00947F30">
              <w:rPr>
                <w:sz w:val="22"/>
                <w:szCs w:val="22"/>
              </w:rPr>
              <w:t xml:space="preserve">he current and expected impact of COVID-19 on the </w:t>
            </w:r>
            <w:r w:rsidR="00587607">
              <w:rPr>
                <w:sz w:val="22"/>
                <w:szCs w:val="22"/>
              </w:rPr>
              <w:t>issuer</w:t>
            </w:r>
            <w:r w:rsidR="00C665E4" w:rsidRPr="00947F30">
              <w:rPr>
                <w:sz w:val="22"/>
                <w:szCs w:val="22"/>
              </w:rPr>
              <w:t>’s operations and financial condition, including liquidity and capital resources.</w:t>
            </w:r>
          </w:p>
          <w:p w14:paraId="4CCB896A" w14:textId="6FC6C992" w:rsidR="00C665E4" w:rsidRPr="00947F30" w:rsidRDefault="00AE71C3" w:rsidP="008D0666">
            <w:pPr>
              <w:pStyle w:val="ListParagraph"/>
              <w:numPr>
                <w:ilvl w:val="1"/>
                <w:numId w:val="4"/>
              </w:numPr>
              <w:jc w:val="both"/>
              <w:rPr>
                <w:sz w:val="22"/>
                <w:szCs w:val="22"/>
              </w:rPr>
            </w:pPr>
            <w:r>
              <w:rPr>
                <w:sz w:val="22"/>
                <w:szCs w:val="22"/>
              </w:rPr>
              <w:t>The</w:t>
            </w:r>
            <w:r w:rsidR="00C665E4" w:rsidRPr="00947F30">
              <w:rPr>
                <w:sz w:val="22"/>
                <w:szCs w:val="22"/>
              </w:rPr>
              <w:t xml:space="preserve"> key risks that the COVID-19 pandemic presents to the issuer</w:t>
            </w:r>
            <w:r w:rsidR="0014029C">
              <w:rPr>
                <w:sz w:val="22"/>
                <w:szCs w:val="22"/>
              </w:rPr>
              <w:t>.</w:t>
            </w:r>
          </w:p>
          <w:p w14:paraId="37638C96" w14:textId="77777777" w:rsidR="00C665E4" w:rsidRPr="00947F30" w:rsidRDefault="00AE71C3" w:rsidP="008D0666">
            <w:pPr>
              <w:pStyle w:val="ListParagraph"/>
              <w:numPr>
                <w:ilvl w:val="1"/>
                <w:numId w:val="4"/>
              </w:numPr>
              <w:jc w:val="both"/>
              <w:rPr>
                <w:sz w:val="22"/>
                <w:szCs w:val="22"/>
              </w:rPr>
            </w:pPr>
            <w:r>
              <w:rPr>
                <w:sz w:val="22"/>
                <w:szCs w:val="22"/>
              </w:rPr>
              <w:t>K</w:t>
            </w:r>
            <w:r w:rsidR="00C665E4" w:rsidRPr="00947F30">
              <w:rPr>
                <w:sz w:val="22"/>
                <w:szCs w:val="22"/>
              </w:rPr>
              <w:t>nown trends</w:t>
            </w:r>
            <w:r w:rsidR="00CD556B">
              <w:rPr>
                <w:sz w:val="22"/>
                <w:szCs w:val="22"/>
              </w:rPr>
              <w:t>,</w:t>
            </w:r>
            <w:r w:rsidR="00C665E4" w:rsidRPr="00947F30">
              <w:rPr>
                <w:sz w:val="22"/>
                <w:szCs w:val="22"/>
              </w:rPr>
              <w:t xml:space="preserve"> demands, events or uncertainties related to COVID-19 that management reasonably believes will materially affect </w:t>
            </w:r>
            <w:r>
              <w:rPr>
                <w:sz w:val="22"/>
                <w:szCs w:val="22"/>
              </w:rPr>
              <w:t>the issuer’s</w:t>
            </w:r>
            <w:r w:rsidR="00C665E4" w:rsidRPr="00947F30">
              <w:rPr>
                <w:sz w:val="22"/>
                <w:szCs w:val="22"/>
              </w:rPr>
              <w:t xml:space="preserve"> future revenues, expenses or projects.</w:t>
            </w:r>
          </w:p>
          <w:p w14:paraId="0115319C" w14:textId="77777777" w:rsidR="00C665E4" w:rsidRPr="00947F30" w:rsidRDefault="00AE71C3" w:rsidP="008D0666">
            <w:pPr>
              <w:pStyle w:val="ListParagraph"/>
              <w:numPr>
                <w:ilvl w:val="1"/>
                <w:numId w:val="4"/>
              </w:numPr>
              <w:jc w:val="both"/>
              <w:rPr>
                <w:sz w:val="22"/>
                <w:szCs w:val="22"/>
              </w:rPr>
            </w:pPr>
            <w:r>
              <w:rPr>
                <w:sz w:val="22"/>
                <w:szCs w:val="22"/>
              </w:rPr>
              <w:t xml:space="preserve">The </w:t>
            </w:r>
            <w:r w:rsidR="00D4497C">
              <w:rPr>
                <w:sz w:val="22"/>
                <w:szCs w:val="22"/>
              </w:rPr>
              <w:t xml:space="preserve">operational changes </w:t>
            </w:r>
            <w:r w:rsidR="00864C75">
              <w:rPr>
                <w:sz w:val="22"/>
                <w:szCs w:val="22"/>
              </w:rPr>
              <w:t xml:space="preserve">and other measures taken by management in response to COVID-19. </w:t>
            </w:r>
          </w:p>
          <w:p w14:paraId="251CDC5B" w14:textId="77777777" w:rsidR="00C665E4" w:rsidRDefault="00AE71C3" w:rsidP="008D0666">
            <w:pPr>
              <w:pStyle w:val="ListParagraph"/>
              <w:numPr>
                <w:ilvl w:val="1"/>
                <w:numId w:val="4"/>
              </w:numPr>
              <w:jc w:val="both"/>
              <w:rPr>
                <w:sz w:val="22"/>
                <w:szCs w:val="22"/>
              </w:rPr>
            </w:pPr>
            <w:r>
              <w:rPr>
                <w:sz w:val="22"/>
                <w:szCs w:val="22"/>
              </w:rPr>
              <w:t>H</w:t>
            </w:r>
            <w:r w:rsidR="00C665E4" w:rsidRPr="00947F30">
              <w:rPr>
                <w:sz w:val="22"/>
                <w:szCs w:val="22"/>
              </w:rPr>
              <w:t>ow COVID-19 has impacted the issuer’s capacity to meet working capital requirements, debt covenants, planned growth or funding of future development activities and capital expenditures.</w:t>
            </w:r>
          </w:p>
          <w:p w14:paraId="5F3E48C1" w14:textId="77777777" w:rsidR="00ED22AC" w:rsidRPr="00D93E09" w:rsidRDefault="00AE71C3">
            <w:pPr>
              <w:pStyle w:val="ListParagraph"/>
              <w:numPr>
                <w:ilvl w:val="1"/>
                <w:numId w:val="4"/>
              </w:numPr>
              <w:jc w:val="both"/>
              <w:rPr>
                <w:sz w:val="22"/>
                <w:szCs w:val="22"/>
              </w:rPr>
            </w:pPr>
            <w:r w:rsidRPr="00D93E09">
              <w:rPr>
                <w:sz w:val="22"/>
                <w:szCs w:val="22"/>
              </w:rPr>
              <w:t>H</w:t>
            </w:r>
            <w:r w:rsidR="00C665E4" w:rsidRPr="00D93E09">
              <w:rPr>
                <w:sz w:val="22"/>
                <w:szCs w:val="22"/>
              </w:rPr>
              <w:t>ow the COVID-19 pandemic has impacted areas of financial reporting subject to significant judgement and measurement uncertainty in the current environment</w:t>
            </w:r>
            <w:r w:rsidR="00A80EBD" w:rsidRPr="00D93E09">
              <w:rPr>
                <w:sz w:val="22"/>
                <w:szCs w:val="22"/>
              </w:rPr>
              <w:t>.</w:t>
            </w:r>
            <w:r w:rsidR="00ED22AC" w:rsidRPr="00D93E09">
              <w:rPr>
                <w:sz w:val="22"/>
                <w:szCs w:val="22"/>
              </w:rPr>
              <w:t xml:space="preserve"> </w:t>
            </w:r>
          </w:p>
          <w:p w14:paraId="7379F435" w14:textId="5F36FCE6" w:rsidR="00B10A49" w:rsidRPr="000273CB" w:rsidRDefault="00AE71C3" w:rsidP="008D0666">
            <w:pPr>
              <w:pStyle w:val="ListParagraph"/>
              <w:numPr>
                <w:ilvl w:val="1"/>
                <w:numId w:val="4"/>
              </w:numPr>
              <w:jc w:val="both"/>
              <w:rPr>
                <w:sz w:val="22"/>
                <w:szCs w:val="22"/>
              </w:rPr>
            </w:pPr>
            <w:r w:rsidRPr="000273CB">
              <w:rPr>
                <w:sz w:val="22"/>
                <w:szCs w:val="22"/>
              </w:rPr>
              <w:t>H</w:t>
            </w:r>
            <w:r w:rsidR="00ED22AC" w:rsidRPr="000273CB">
              <w:rPr>
                <w:sz w:val="22"/>
                <w:szCs w:val="22"/>
              </w:rPr>
              <w:t xml:space="preserve">ow the issuer has assessed impairment of non-financial assets given the extended impact of the COVID-19 pandemic.  </w:t>
            </w:r>
            <w:r w:rsidR="0051208B">
              <w:rPr>
                <w:sz w:val="22"/>
                <w:szCs w:val="22"/>
              </w:rPr>
              <w:t xml:space="preserve">Where applicable, sensitivity analysis and disclosures relating to key assumptions will be especially important and </w:t>
            </w:r>
            <w:r w:rsidR="006E31F7">
              <w:rPr>
                <w:sz w:val="22"/>
                <w:szCs w:val="22"/>
              </w:rPr>
              <w:t>should</w:t>
            </w:r>
            <w:r w:rsidR="0051208B">
              <w:rPr>
                <w:sz w:val="22"/>
                <w:szCs w:val="22"/>
              </w:rPr>
              <w:t xml:space="preserve"> be both realistic and supportable.</w:t>
            </w:r>
          </w:p>
          <w:p w14:paraId="289A808E" w14:textId="6A085F22" w:rsidR="00CB0DD0" w:rsidRPr="00D93E09" w:rsidRDefault="00AE71C3" w:rsidP="00761BD8">
            <w:pPr>
              <w:pStyle w:val="ListParagraph"/>
              <w:numPr>
                <w:ilvl w:val="1"/>
                <w:numId w:val="50"/>
              </w:numPr>
              <w:jc w:val="both"/>
            </w:pPr>
            <w:r w:rsidRPr="00D93E09">
              <w:rPr>
                <w:sz w:val="22"/>
                <w:szCs w:val="22"/>
              </w:rPr>
              <w:t>T</w:t>
            </w:r>
            <w:r w:rsidR="00A020D1" w:rsidRPr="00D93E09">
              <w:rPr>
                <w:sz w:val="22"/>
                <w:szCs w:val="22"/>
              </w:rPr>
              <w:t xml:space="preserve">he </w:t>
            </w:r>
            <w:r w:rsidR="00F131C6">
              <w:rPr>
                <w:sz w:val="22"/>
                <w:szCs w:val="22"/>
              </w:rPr>
              <w:t>accounting policy</w:t>
            </w:r>
            <w:r w:rsidR="0065364C">
              <w:rPr>
                <w:sz w:val="22"/>
                <w:szCs w:val="22"/>
              </w:rPr>
              <w:t xml:space="preserve"> for</w:t>
            </w:r>
            <w:r w:rsidR="00F131C6">
              <w:rPr>
                <w:sz w:val="22"/>
                <w:szCs w:val="22"/>
              </w:rPr>
              <w:t>,</w:t>
            </w:r>
            <w:r w:rsidR="0065364C">
              <w:rPr>
                <w:sz w:val="22"/>
                <w:szCs w:val="22"/>
              </w:rPr>
              <w:t xml:space="preserve"> and</w:t>
            </w:r>
            <w:r w:rsidR="00F131C6">
              <w:rPr>
                <w:sz w:val="22"/>
                <w:szCs w:val="22"/>
              </w:rPr>
              <w:t xml:space="preserve"> nature and extent of</w:t>
            </w:r>
            <w:r w:rsidR="00F60388">
              <w:rPr>
                <w:sz w:val="22"/>
                <w:szCs w:val="22"/>
              </w:rPr>
              <w:t xml:space="preserve"> </w:t>
            </w:r>
            <w:r w:rsidR="00F131C6">
              <w:rPr>
                <w:sz w:val="22"/>
                <w:szCs w:val="22"/>
              </w:rPr>
              <w:t xml:space="preserve">government grants recognized in the financial statements. </w:t>
            </w:r>
          </w:p>
        </w:tc>
      </w:tr>
    </w:tbl>
    <w:p w14:paraId="7418DF3D" w14:textId="77777777" w:rsidR="00C665E4" w:rsidRDefault="00C665E4" w:rsidP="00A24CF2">
      <w:pPr>
        <w:jc w:val="both"/>
        <w:rPr>
          <w:b/>
        </w:rPr>
      </w:pPr>
    </w:p>
    <w:p w14:paraId="5D50335E" w14:textId="77777777" w:rsidR="00C665E4" w:rsidRPr="005D7778" w:rsidRDefault="00674CB5" w:rsidP="00F02518">
      <w:pPr>
        <w:pStyle w:val="Heading1"/>
        <w:numPr>
          <w:ilvl w:val="0"/>
          <w:numId w:val="0"/>
        </w:numPr>
        <w:rPr>
          <w:color w:val="1F497D" w:themeColor="text2"/>
          <w:sz w:val="32"/>
          <w:szCs w:val="24"/>
        </w:rPr>
      </w:pPr>
      <w:bookmarkStart w:id="4" w:name="_Toc62334906"/>
      <w:r w:rsidRPr="005D7778">
        <w:rPr>
          <w:color w:val="1F497D" w:themeColor="text2"/>
          <w:sz w:val="32"/>
          <w:szCs w:val="24"/>
        </w:rPr>
        <w:t xml:space="preserve">Part </w:t>
      </w:r>
      <w:r w:rsidR="00F51752">
        <w:rPr>
          <w:color w:val="1F497D" w:themeColor="text2"/>
          <w:sz w:val="32"/>
          <w:szCs w:val="24"/>
        </w:rPr>
        <w:t>2</w:t>
      </w:r>
      <w:r w:rsidRPr="005D7778">
        <w:rPr>
          <w:color w:val="1F497D" w:themeColor="text2"/>
          <w:sz w:val="32"/>
          <w:szCs w:val="24"/>
        </w:rPr>
        <w:t xml:space="preserve"> - </w:t>
      </w:r>
      <w:r w:rsidR="00C665E4" w:rsidRPr="005D7778">
        <w:rPr>
          <w:color w:val="1F497D" w:themeColor="text2"/>
          <w:sz w:val="32"/>
          <w:szCs w:val="24"/>
        </w:rPr>
        <w:t>Scope and Methodology</w:t>
      </w:r>
      <w:bookmarkEnd w:id="4"/>
      <w:r w:rsidR="00C665E4" w:rsidRPr="005D7778">
        <w:rPr>
          <w:color w:val="1F497D" w:themeColor="text2"/>
          <w:sz w:val="32"/>
          <w:szCs w:val="24"/>
        </w:rPr>
        <w:t xml:space="preserve">  </w:t>
      </w:r>
    </w:p>
    <w:p w14:paraId="68CF8F56" w14:textId="77777777" w:rsidR="00C665E4" w:rsidRPr="00947F30" w:rsidRDefault="0090017D" w:rsidP="00C665E4">
      <w:pPr>
        <w:spacing w:after="240"/>
        <w:jc w:val="both"/>
        <w:rPr>
          <w:sz w:val="22"/>
          <w:szCs w:val="22"/>
        </w:rPr>
      </w:pPr>
      <w:r>
        <w:rPr>
          <w:bCs/>
          <w:sz w:val="22"/>
          <w:szCs w:val="22"/>
        </w:rPr>
        <w:t>S</w:t>
      </w:r>
      <w:r w:rsidR="00C665E4" w:rsidRPr="00947F30">
        <w:rPr>
          <w:bCs/>
          <w:sz w:val="22"/>
          <w:szCs w:val="22"/>
        </w:rPr>
        <w:t xml:space="preserve">taff </w:t>
      </w:r>
      <w:r w:rsidR="000D3AFE">
        <w:rPr>
          <w:bCs/>
          <w:sz w:val="22"/>
          <w:szCs w:val="22"/>
        </w:rPr>
        <w:t>took a risk-based approach</w:t>
      </w:r>
      <w:r w:rsidR="004F40C8">
        <w:rPr>
          <w:bCs/>
          <w:sz w:val="22"/>
          <w:szCs w:val="22"/>
        </w:rPr>
        <w:t xml:space="preserve"> </w:t>
      </w:r>
      <w:r w:rsidR="000D3AFE">
        <w:rPr>
          <w:bCs/>
          <w:sz w:val="22"/>
          <w:szCs w:val="22"/>
        </w:rPr>
        <w:t xml:space="preserve">in the </w:t>
      </w:r>
      <w:r w:rsidR="00C665E4" w:rsidRPr="00947F30">
        <w:rPr>
          <w:bCs/>
          <w:sz w:val="22"/>
          <w:szCs w:val="22"/>
        </w:rPr>
        <w:t>select</w:t>
      </w:r>
      <w:r w:rsidR="000D3AFE">
        <w:rPr>
          <w:bCs/>
          <w:sz w:val="22"/>
          <w:szCs w:val="22"/>
        </w:rPr>
        <w:t xml:space="preserve">ion </w:t>
      </w:r>
      <w:r w:rsidR="004F40C8">
        <w:rPr>
          <w:bCs/>
          <w:sz w:val="22"/>
          <w:szCs w:val="22"/>
        </w:rPr>
        <w:t xml:space="preserve">of </w:t>
      </w:r>
      <w:r w:rsidR="00C665E4" w:rsidRPr="00947F30">
        <w:rPr>
          <w:bCs/>
          <w:sz w:val="22"/>
          <w:szCs w:val="22"/>
        </w:rPr>
        <w:t xml:space="preserve">issuers by considering </w:t>
      </w:r>
      <w:r w:rsidR="00C665E4" w:rsidRPr="00947F30">
        <w:rPr>
          <w:sz w:val="22"/>
          <w:szCs w:val="22"/>
        </w:rPr>
        <w:t>both qualitative and quantitative criteria. Issuers selected for review included</w:t>
      </w:r>
      <w:r w:rsidR="00C665E4" w:rsidRPr="00947F30">
        <w:rPr>
          <w:bCs/>
          <w:sz w:val="22"/>
          <w:szCs w:val="22"/>
        </w:rPr>
        <w:t xml:space="preserve"> those identified as being materially impacted (both positively and adversely) by the COVID-19 pandemic in terms of their operations and financial performance, as well as issuers that appear</w:t>
      </w:r>
      <w:r w:rsidR="00626A8E">
        <w:rPr>
          <w:bCs/>
          <w:sz w:val="22"/>
          <w:szCs w:val="22"/>
        </w:rPr>
        <w:t>ed</w:t>
      </w:r>
      <w:r w:rsidR="00C665E4" w:rsidRPr="00947F30">
        <w:rPr>
          <w:bCs/>
          <w:sz w:val="22"/>
          <w:szCs w:val="22"/>
        </w:rPr>
        <w:t xml:space="preserve"> to have a higher risk of impairment and/or financial distre</w:t>
      </w:r>
      <w:r w:rsidR="00640686">
        <w:rPr>
          <w:bCs/>
          <w:sz w:val="22"/>
          <w:szCs w:val="22"/>
        </w:rPr>
        <w:t>ss.</w:t>
      </w:r>
    </w:p>
    <w:p w14:paraId="7DBACF8C" w14:textId="77777777" w:rsidR="00640686" w:rsidRPr="00626A8E" w:rsidRDefault="000D3AFE" w:rsidP="00C665E4">
      <w:pPr>
        <w:spacing w:after="240"/>
        <w:jc w:val="both"/>
        <w:rPr>
          <w:sz w:val="22"/>
          <w:szCs w:val="22"/>
        </w:rPr>
      </w:pPr>
      <w:r>
        <w:rPr>
          <w:sz w:val="22"/>
          <w:szCs w:val="22"/>
        </w:rPr>
        <w:t>S</w:t>
      </w:r>
      <w:r w:rsidR="00C665E4" w:rsidRPr="00947F30">
        <w:rPr>
          <w:sz w:val="22"/>
          <w:szCs w:val="22"/>
        </w:rPr>
        <w:t xml:space="preserve">taff examined the </w:t>
      </w:r>
      <w:r w:rsidR="00180231">
        <w:rPr>
          <w:sz w:val="22"/>
          <w:szCs w:val="22"/>
        </w:rPr>
        <w:t>CD</w:t>
      </w:r>
      <w:r w:rsidR="00C665E4" w:rsidRPr="00947F30">
        <w:rPr>
          <w:sz w:val="22"/>
          <w:szCs w:val="22"/>
        </w:rPr>
        <w:t xml:space="preserve"> </w:t>
      </w:r>
      <w:r w:rsidR="37FB255F" w:rsidRPr="0E5121C1">
        <w:rPr>
          <w:sz w:val="22"/>
          <w:szCs w:val="22"/>
        </w:rPr>
        <w:t>filings</w:t>
      </w:r>
      <w:r w:rsidR="00C665E4" w:rsidRPr="0E5121C1">
        <w:rPr>
          <w:sz w:val="22"/>
          <w:szCs w:val="22"/>
        </w:rPr>
        <w:t xml:space="preserve"> </w:t>
      </w:r>
      <w:r w:rsidR="00C665E4" w:rsidRPr="00947F30">
        <w:rPr>
          <w:sz w:val="22"/>
          <w:szCs w:val="22"/>
        </w:rPr>
        <w:t xml:space="preserve">of </w:t>
      </w:r>
      <w:r>
        <w:rPr>
          <w:sz w:val="22"/>
          <w:szCs w:val="22"/>
        </w:rPr>
        <w:t xml:space="preserve">approximately </w:t>
      </w:r>
      <w:r w:rsidR="00C665E4" w:rsidRPr="00947F30">
        <w:rPr>
          <w:sz w:val="22"/>
          <w:szCs w:val="22"/>
        </w:rPr>
        <w:t>90 issuers, focusing on the disclosures of the most recent</w:t>
      </w:r>
      <w:r w:rsidR="008453CB">
        <w:rPr>
          <w:sz w:val="22"/>
          <w:szCs w:val="22"/>
        </w:rPr>
        <w:t xml:space="preserve"> interim</w:t>
      </w:r>
      <w:r w:rsidR="00C665E4" w:rsidRPr="00947F30">
        <w:rPr>
          <w:sz w:val="22"/>
          <w:szCs w:val="22"/>
        </w:rPr>
        <w:t xml:space="preserve"> reporting period</w:t>
      </w:r>
      <w:r w:rsidR="00ED22AC">
        <w:rPr>
          <w:sz w:val="22"/>
          <w:szCs w:val="22"/>
        </w:rPr>
        <w:t xml:space="preserve"> </w:t>
      </w:r>
      <w:r w:rsidR="00DB3A00">
        <w:rPr>
          <w:sz w:val="22"/>
          <w:szCs w:val="22"/>
        </w:rPr>
        <w:t>ending</w:t>
      </w:r>
      <w:r w:rsidR="00626A8E">
        <w:rPr>
          <w:sz w:val="22"/>
          <w:szCs w:val="22"/>
        </w:rPr>
        <w:t xml:space="preserve"> </w:t>
      </w:r>
      <w:r w:rsidR="00ED22AC">
        <w:rPr>
          <w:sz w:val="22"/>
          <w:szCs w:val="22"/>
        </w:rPr>
        <w:t xml:space="preserve">September 30, 2020 for issuers with a calendar </w:t>
      </w:r>
      <w:r w:rsidR="00A458F6">
        <w:rPr>
          <w:sz w:val="22"/>
          <w:szCs w:val="22"/>
        </w:rPr>
        <w:t xml:space="preserve">financial </w:t>
      </w:r>
      <w:r w:rsidR="00ED22AC">
        <w:rPr>
          <w:sz w:val="22"/>
          <w:szCs w:val="22"/>
        </w:rPr>
        <w:t>year end</w:t>
      </w:r>
      <w:r w:rsidR="00C665E4" w:rsidRPr="00947F30">
        <w:rPr>
          <w:sz w:val="22"/>
          <w:szCs w:val="22"/>
        </w:rPr>
        <w:t>. The issuers selected for review varied by size and by industry as illustrated in the charts below</w:t>
      </w:r>
      <w:r w:rsidR="006A0596">
        <w:rPr>
          <w:sz w:val="22"/>
          <w:szCs w:val="22"/>
        </w:rPr>
        <w:t>:</w:t>
      </w:r>
    </w:p>
    <w:p w14:paraId="02B930FD" w14:textId="77777777" w:rsidR="005546AB" w:rsidRDefault="00ED22AC" w:rsidP="00C665E4">
      <w:pPr>
        <w:spacing w:after="240"/>
        <w:jc w:val="both"/>
        <w:rPr>
          <w:b/>
          <w:bCs/>
          <w:sz w:val="20"/>
          <w:szCs w:val="16"/>
        </w:rPr>
      </w:pPr>
      <w:r w:rsidRPr="00ED22AC">
        <w:rPr>
          <w:b/>
          <w:bCs/>
          <w:sz w:val="20"/>
          <w:szCs w:val="16"/>
        </w:rPr>
        <w:t>Figure #1</w:t>
      </w:r>
    </w:p>
    <w:p w14:paraId="15990898" w14:textId="77777777" w:rsidR="00F00451" w:rsidRDefault="003744CD" w:rsidP="00C665E4">
      <w:pPr>
        <w:spacing w:after="240"/>
        <w:jc w:val="both"/>
        <w:rPr>
          <w:sz w:val="22"/>
          <w:szCs w:val="22"/>
        </w:rPr>
      </w:pPr>
      <w:r>
        <w:rPr>
          <w:noProof/>
          <w:lang w:val="en-US"/>
        </w:rPr>
        <w:drawing>
          <wp:inline distT="0" distB="0" distL="0" distR="0" wp14:anchorId="36CA5D84" wp14:editId="0C7268C6">
            <wp:extent cx="5943600" cy="21278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2">
                      <a:extLst>
                        <a:ext uri="{28A0092B-C50C-407E-A947-70E740481C1C}">
                          <a14:useLocalDpi xmlns:a14="http://schemas.microsoft.com/office/drawing/2010/main" val="0"/>
                        </a:ext>
                      </a:extLst>
                    </a:blip>
                    <a:stretch>
                      <a:fillRect/>
                    </a:stretch>
                  </pic:blipFill>
                  <pic:spPr>
                    <a:xfrm>
                      <a:off x="0" y="0"/>
                      <a:ext cx="5943600" cy="2127885"/>
                    </a:xfrm>
                    <a:prstGeom prst="rect">
                      <a:avLst/>
                    </a:prstGeom>
                  </pic:spPr>
                </pic:pic>
              </a:graphicData>
            </a:graphic>
          </wp:inline>
        </w:drawing>
      </w:r>
      <w:r w:rsidR="00864286" w:rsidRPr="00864286">
        <w:rPr>
          <w:noProof/>
        </w:rPr>
        <w:t xml:space="preserve"> </w:t>
      </w:r>
    </w:p>
    <w:p w14:paraId="2AEB68EB" w14:textId="77777777" w:rsidR="00CB38C5" w:rsidRPr="00CB38C5" w:rsidRDefault="000D3AFE" w:rsidP="00CB38C5">
      <w:pPr>
        <w:spacing w:after="240"/>
        <w:jc w:val="both"/>
        <w:rPr>
          <w:sz w:val="22"/>
          <w:szCs w:val="22"/>
        </w:rPr>
      </w:pPr>
      <w:r>
        <w:rPr>
          <w:sz w:val="22"/>
          <w:szCs w:val="22"/>
        </w:rPr>
        <w:t>Our</w:t>
      </w:r>
      <w:r w:rsidR="00623287">
        <w:rPr>
          <w:sz w:val="22"/>
          <w:szCs w:val="22"/>
        </w:rPr>
        <w:t xml:space="preserve"> </w:t>
      </w:r>
      <w:r w:rsidR="310F5A94" w:rsidRPr="00947F30">
        <w:rPr>
          <w:sz w:val="22"/>
          <w:szCs w:val="22"/>
        </w:rPr>
        <w:t>r</w:t>
      </w:r>
      <w:r w:rsidR="00C665E4" w:rsidRPr="00947F30">
        <w:rPr>
          <w:sz w:val="22"/>
          <w:szCs w:val="22"/>
        </w:rPr>
        <w:t xml:space="preserve">eviews primarily focused on </w:t>
      </w:r>
      <w:r w:rsidR="008B6F3A">
        <w:rPr>
          <w:sz w:val="22"/>
          <w:szCs w:val="22"/>
        </w:rPr>
        <w:t xml:space="preserve">issuers’ </w:t>
      </w:r>
      <w:r w:rsidR="00C665E4" w:rsidRPr="00947F30">
        <w:rPr>
          <w:sz w:val="22"/>
          <w:szCs w:val="22"/>
        </w:rPr>
        <w:t xml:space="preserve">disclosure obligations under National Instrument 51-102 </w:t>
      </w:r>
      <w:r w:rsidR="00C665E4" w:rsidRPr="00947F30">
        <w:rPr>
          <w:i/>
          <w:iCs/>
          <w:sz w:val="22"/>
          <w:szCs w:val="22"/>
        </w:rPr>
        <w:t>Continuous Disclosure Obligations</w:t>
      </w:r>
      <w:r w:rsidR="000C4993">
        <w:rPr>
          <w:sz w:val="22"/>
          <w:szCs w:val="22"/>
        </w:rPr>
        <w:t xml:space="preserve"> (</w:t>
      </w:r>
      <w:r w:rsidR="000C4993" w:rsidRPr="000C4993">
        <w:rPr>
          <w:b/>
          <w:bCs/>
          <w:sz w:val="22"/>
          <w:szCs w:val="22"/>
        </w:rPr>
        <w:t>NI 51-102</w:t>
      </w:r>
      <w:r w:rsidR="000C4993">
        <w:rPr>
          <w:sz w:val="22"/>
          <w:szCs w:val="22"/>
        </w:rPr>
        <w:t>)</w:t>
      </w:r>
      <w:r w:rsidR="00C665E4" w:rsidRPr="00947F30">
        <w:rPr>
          <w:sz w:val="22"/>
          <w:szCs w:val="22"/>
        </w:rPr>
        <w:t>. We also assessed compliance with certain recognition, measurement and disclosure requirements in International Financial Reporting Standards (</w:t>
      </w:r>
      <w:r w:rsidR="00C665E4" w:rsidRPr="00947F30">
        <w:rPr>
          <w:b/>
          <w:bCs/>
          <w:sz w:val="22"/>
          <w:szCs w:val="22"/>
        </w:rPr>
        <w:t>IFRS</w:t>
      </w:r>
      <w:r w:rsidR="00C665E4" w:rsidRPr="00947F30">
        <w:rPr>
          <w:sz w:val="22"/>
          <w:szCs w:val="22"/>
        </w:rPr>
        <w:t xml:space="preserve">) and compliance with </w:t>
      </w:r>
      <w:r w:rsidR="00B727B3">
        <w:rPr>
          <w:sz w:val="22"/>
          <w:szCs w:val="22"/>
        </w:rPr>
        <w:t>CSA Staff Notice</w:t>
      </w:r>
      <w:r w:rsidR="00C665E4" w:rsidRPr="00947F30">
        <w:rPr>
          <w:sz w:val="22"/>
          <w:szCs w:val="22"/>
        </w:rPr>
        <w:t xml:space="preserve"> 52-306 </w:t>
      </w:r>
      <w:r w:rsidR="00C665E4" w:rsidRPr="00947F30">
        <w:rPr>
          <w:i/>
          <w:iCs/>
          <w:sz w:val="22"/>
          <w:szCs w:val="22"/>
        </w:rPr>
        <w:t xml:space="preserve">(Revised) – Non-GAAP Financial Measures </w:t>
      </w:r>
      <w:r w:rsidR="00C665E4" w:rsidRPr="00947F30">
        <w:rPr>
          <w:sz w:val="22"/>
          <w:szCs w:val="22"/>
        </w:rPr>
        <w:t>(</w:t>
      </w:r>
      <w:r w:rsidR="00714031">
        <w:rPr>
          <w:b/>
          <w:bCs/>
          <w:sz w:val="22"/>
          <w:szCs w:val="22"/>
        </w:rPr>
        <w:t>SN</w:t>
      </w:r>
      <w:r w:rsidR="00C665E4" w:rsidRPr="00947F30">
        <w:rPr>
          <w:b/>
          <w:bCs/>
          <w:sz w:val="22"/>
          <w:szCs w:val="22"/>
        </w:rPr>
        <w:t xml:space="preserve"> 52-306</w:t>
      </w:r>
      <w:r w:rsidR="00C665E4" w:rsidRPr="00947F30">
        <w:rPr>
          <w:sz w:val="22"/>
          <w:szCs w:val="22"/>
        </w:rPr>
        <w:t xml:space="preserve">). The </w:t>
      </w:r>
      <w:r w:rsidR="008B6F3A" w:rsidRPr="00947F30">
        <w:rPr>
          <w:sz w:val="22"/>
          <w:szCs w:val="22"/>
        </w:rPr>
        <w:t>following outlines</w:t>
      </w:r>
      <w:r w:rsidR="00C665E4" w:rsidRPr="00947F30">
        <w:rPr>
          <w:sz w:val="22"/>
          <w:szCs w:val="22"/>
        </w:rPr>
        <w:t xml:space="preserve"> the focus areas of the reviews conducted</w:t>
      </w:r>
      <w:r w:rsidR="00A24CF2">
        <w:rPr>
          <w:sz w:val="22"/>
          <w:szCs w:val="22"/>
        </w:rPr>
        <w:t>:</w:t>
      </w:r>
    </w:p>
    <w:p w14:paraId="2424C49B" w14:textId="77777777" w:rsidR="00D407C6" w:rsidRPr="00947F30" w:rsidRDefault="00ED22AC" w:rsidP="00C665E4">
      <w:pPr>
        <w:spacing w:after="240"/>
        <w:jc w:val="both"/>
        <w:rPr>
          <w:sz w:val="22"/>
          <w:szCs w:val="22"/>
        </w:rPr>
      </w:pPr>
      <w:r w:rsidRPr="00947F30">
        <w:rPr>
          <w:noProof/>
          <w:sz w:val="22"/>
          <w:szCs w:val="22"/>
          <w:lang w:val="en-US"/>
        </w:rPr>
        <mc:AlternateContent>
          <mc:Choice Requires="wps">
            <w:drawing>
              <wp:anchor distT="0" distB="0" distL="114300" distR="114300" simplePos="0" relativeHeight="251658242" behindDoc="0" locked="0" layoutInCell="1" allowOverlap="1" wp14:anchorId="1C2A22EA" wp14:editId="178A1A37">
                <wp:simplePos x="0" y="0"/>
                <wp:positionH relativeFrom="margin">
                  <wp:posOffset>-60960</wp:posOffset>
                </wp:positionH>
                <wp:positionV relativeFrom="paragraph">
                  <wp:posOffset>5080</wp:posOffset>
                </wp:positionV>
                <wp:extent cx="1250950" cy="1043940"/>
                <wp:effectExtent l="0" t="0" r="25400" b="22860"/>
                <wp:wrapNone/>
                <wp:docPr id="1" name="Rectangle: Rounded Corners 1"/>
                <wp:cNvGraphicFramePr/>
                <a:graphic xmlns:a="http://schemas.openxmlformats.org/drawingml/2006/main">
                  <a:graphicData uri="http://schemas.microsoft.com/office/word/2010/wordprocessingShape">
                    <wps:wsp>
                      <wps:cNvSpPr/>
                      <wps:spPr>
                        <a:xfrm>
                          <a:off x="0" y="0"/>
                          <a:ext cx="1250950" cy="1043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2AE01D" w14:textId="77777777" w:rsidR="00D21FC5" w:rsidRPr="00947F30" w:rsidRDefault="00D21FC5" w:rsidP="00C56E17">
                            <w:pPr>
                              <w:jc w:val="center"/>
                              <w:rPr>
                                <w:b/>
                                <w:bCs/>
                                <w:sz w:val="22"/>
                                <w:szCs w:val="22"/>
                              </w:rPr>
                            </w:pPr>
                            <w:r w:rsidRPr="00947F30">
                              <w:rPr>
                                <w:b/>
                                <w:bCs/>
                                <w:sz w:val="22"/>
                                <w:szCs w:val="22"/>
                              </w:rPr>
                              <w:t>M</w:t>
                            </w:r>
                            <w:r>
                              <w:rPr>
                                <w:b/>
                                <w:bCs/>
                                <w:sz w:val="22"/>
                                <w:szCs w:val="22"/>
                              </w:rPr>
                              <w:t>D&amp;A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C2A22EA" id="Rectangle: Rounded Corners 1" o:spid="_x0000_s1026" style="position:absolute;left:0;text-align:left;margin-left:-4.8pt;margin-top:.4pt;width:98.5pt;height:82.2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" fillcolor="#4f81bd [3204]" strokecolor="#243f60 [1604]" strokeweight="2pt">
                <v:textbox>
                  <w:txbxContent>
                    <w:p w14:paraId="7F2AE01D" w14:textId="77777777" w:rsidR="00D21FC5" w:rsidRPr="00947F30" w:rsidRDefault="00D21FC5" w:rsidP="00C56E17">
                      <w:pPr>
                        <w:jc w:val="center"/>
                        <w:rPr>
                          <w:b/>
                          <w:bCs/>
                          <w:sz w:val="22"/>
                          <w:szCs w:val="22"/>
                        </w:rPr>
                      </w:pPr>
                      <w:r w:rsidRPr="00947F30">
                        <w:rPr>
                          <w:b/>
                          <w:bCs/>
                          <w:sz w:val="22"/>
                          <w:szCs w:val="22"/>
                        </w:rPr>
                        <w:t>M</w:t>
                      </w:r>
                      <w:r>
                        <w:rPr>
                          <w:b/>
                          <w:bCs/>
                          <w:sz w:val="22"/>
                          <w:szCs w:val="22"/>
                        </w:rPr>
                        <w:t>D&amp;A</w:t>
                      </w:r>
                    </w:p>
                  </w:txbxContent>
                </v:textbox>
                <w10:wrap anchorx="margin"/>
              </v:roundrect>
            </w:pict>
          </mc:Fallback>
        </mc:AlternateContent>
      </w:r>
      <w:r w:rsidR="00676A54" w:rsidRPr="00947F30">
        <w:rPr>
          <w:noProof/>
          <w:sz w:val="22"/>
          <w:szCs w:val="22"/>
          <w:lang w:val="en-US"/>
        </w:rPr>
        <mc:AlternateContent>
          <mc:Choice Requires="wps">
            <w:drawing>
              <wp:anchor distT="0" distB="0" distL="114300" distR="114300" simplePos="0" relativeHeight="251658241" behindDoc="0" locked="0" layoutInCell="1" allowOverlap="1" wp14:anchorId="281C7418" wp14:editId="669E7477">
                <wp:simplePos x="0" y="0"/>
                <wp:positionH relativeFrom="margin">
                  <wp:posOffset>1043940</wp:posOffset>
                </wp:positionH>
                <wp:positionV relativeFrom="paragraph">
                  <wp:posOffset>30480</wp:posOffset>
                </wp:positionV>
                <wp:extent cx="4554220" cy="982980"/>
                <wp:effectExtent l="0" t="0" r="17780" b="26670"/>
                <wp:wrapNone/>
                <wp:docPr id="3" name="Rectangle 3"/>
                <wp:cNvGraphicFramePr/>
                <a:graphic xmlns:a="http://schemas.openxmlformats.org/drawingml/2006/main">
                  <a:graphicData uri="http://schemas.microsoft.com/office/word/2010/wordprocessingShape">
                    <wps:wsp>
                      <wps:cNvSpPr/>
                      <wps:spPr>
                        <a:xfrm>
                          <a:off x="0" y="0"/>
                          <a:ext cx="4554220" cy="98298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8705DA"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Overall performance and discussion of operations</w:t>
                            </w:r>
                          </w:p>
                          <w:p w14:paraId="47F844E0"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 xml:space="preserve">Known trends, events and uncertainties </w:t>
                            </w:r>
                          </w:p>
                          <w:p w14:paraId="1A77268F"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 xml:space="preserve">Liquidity and capital resources </w:t>
                            </w:r>
                          </w:p>
                          <w:p w14:paraId="680F05FA"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 xml:space="preserve">Debt </w:t>
                            </w:r>
                            <w:r>
                              <w:rPr>
                                <w:color w:val="1F497D" w:themeColor="text2"/>
                                <w:sz w:val="22"/>
                                <w:szCs w:val="22"/>
                              </w:rPr>
                              <w:t>c</w:t>
                            </w:r>
                            <w:r w:rsidRPr="00947F30">
                              <w:rPr>
                                <w:color w:val="1F497D" w:themeColor="text2"/>
                                <w:sz w:val="22"/>
                                <w:szCs w:val="22"/>
                              </w:rPr>
                              <w:t>ovenants</w:t>
                            </w:r>
                          </w:p>
                          <w:p w14:paraId="23653358"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Risk factor disclosure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81C7418" id="Rectangle 3" o:spid="_x0000_s1027" style="position:absolute;left:0;text-align:left;margin-left:82.2pt;margin-top:2.4pt;width:358.6pt;height:77.4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" fillcolor="#eeece1 [3214]" strokecolor="#243f60 [1604]" strokeweight="2pt">
                <v:textbox>
                  <w:txbxContent>
                    <w:p w14:paraId="258705DA"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Overall performance and discussion of operations</w:t>
                      </w:r>
                    </w:p>
                    <w:p w14:paraId="47F844E0"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 xml:space="preserve">Known trends, events and uncertainties </w:t>
                      </w:r>
                    </w:p>
                    <w:p w14:paraId="1A77268F"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 xml:space="preserve">Liquidity and capital resources </w:t>
                      </w:r>
                    </w:p>
                    <w:p w14:paraId="680F05FA"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 xml:space="preserve">Debt </w:t>
                      </w:r>
                      <w:r>
                        <w:rPr>
                          <w:color w:val="1F497D" w:themeColor="text2"/>
                          <w:sz w:val="22"/>
                          <w:szCs w:val="22"/>
                        </w:rPr>
                        <w:t>c</w:t>
                      </w:r>
                      <w:r w:rsidRPr="00947F30">
                        <w:rPr>
                          <w:color w:val="1F497D" w:themeColor="text2"/>
                          <w:sz w:val="22"/>
                          <w:szCs w:val="22"/>
                        </w:rPr>
                        <w:t>ovenants</w:t>
                      </w:r>
                    </w:p>
                    <w:p w14:paraId="23653358"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Risk factor disclosure</w:t>
                      </w:r>
                    </w:p>
                  </w:txbxContent>
                </v:textbox>
                <w10:wrap anchorx="margin"/>
              </v:rect>
            </w:pict>
          </mc:Fallback>
        </mc:AlternateContent>
      </w:r>
    </w:p>
    <w:p w14:paraId="319741DB" w14:textId="77777777" w:rsidR="00D407C6" w:rsidRPr="00947F30" w:rsidRDefault="00D407C6" w:rsidP="00C665E4">
      <w:pPr>
        <w:spacing w:after="240"/>
        <w:jc w:val="both"/>
        <w:rPr>
          <w:sz w:val="22"/>
          <w:szCs w:val="22"/>
        </w:rPr>
      </w:pPr>
    </w:p>
    <w:p w14:paraId="12C63658" w14:textId="77777777" w:rsidR="00C665E4" w:rsidRPr="00947F30" w:rsidRDefault="00C665E4" w:rsidP="00C665E4">
      <w:pPr>
        <w:pStyle w:val="ListParagraph"/>
      </w:pPr>
    </w:p>
    <w:p w14:paraId="591F81E5" w14:textId="77777777" w:rsidR="00C665E4" w:rsidRPr="00947F30" w:rsidRDefault="00C665E4" w:rsidP="00C665E4">
      <w:pPr>
        <w:pStyle w:val="ListParagraph"/>
      </w:pPr>
    </w:p>
    <w:p w14:paraId="28C70350" w14:textId="77777777" w:rsidR="00C665E4" w:rsidRPr="00947F30" w:rsidRDefault="00C665E4" w:rsidP="00C665E4">
      <w:pPr>
        <w:pStyle w:val="ListParagraph"/>
      </w:pPr>
    </w:p>
    <w:p w14:paraId="75D6D4B9" w14:textId="77777777" w:rsidR="00C665E4" w:rsidRPr="00947F30" w:rsidRDefault="00676A54" w:rsidP="00C665E4">
      <w:pPr>
        <w:pStyle w:val="ListParagraph"/>
      </w:pPr>
      <w:r w:rsidRPr="00947F30">
        <w:rPr>
          <w:noProof/>
          <w:lang w:val="en-US"/>
        </w:rPr>
        <mc:AlternateContent>
          <mc:Choice Requires="wps">
            <w:drawing>
              <wp:anchor distT="0" distB="0" distL="114300" distR="114300" simplePos="0" relativeHeight="251658244" behindDoc="0" locked="0" layoutInCell="1" allowOverlap="1" wp14:anchorId="67E6D876" wp14:editId="1E0B21E7">
                <wp:simplePos x="0" y="0"/>
                <wp:positionH relativeFrom="margin">
                  <wp:posOffset>-63500</wp:posOffset>
                </wp:positionH>
                <wp:positionV relativeFrom="paragraph">
                  <wp:posOffset>96520</wp:posOffset>
                </wp:positionV>
                <wp:extent cx="1253490" cy="1760220"/>
                <wp:effectExtent l="0" t="0" r="22860" b="11430"/>
                <wp:wrapNone/>
                <wp:docPr id="12" name="Rectangle: Rounded Corners 12"/>
                <wp:cNvGraphicFramePr/>
                <a:graphic xmlns:a="http://schemas.openxmlformats.org/drawingml/2006/main">
                  <a:graphicData uri="http://schemas.microsoft.com/office/word/2010/wordprocessingShape">
                    <wps:wsp>
                      <wps:cNvSpPr/>
                      <wps:spPr>
                        <a:xfrm>
                          <a:off x="0" y="0"/>
                          <a:ext cx="1253490" cy="1760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65DC3" w14:textId="77777777" w:rsidR="00D21FC5" w:rsidRPr="00947F30" w:rsidRDefault="00D21FC5" w:rsidP="00C665E4">
                            <w:pPr>
                              <w:jc w:val="center"/>
                              <w:rPr>
                                <w:b/>
                                <w:bCs/>
                                <w:sz w:val="22"/>
                                <w:szCs w:val="22"/>
                              </w:rPr>
                            </w:pPr>
                            <w:r w:rsidRPr="00947F30">
                              <w:rPr>
                                <w:b/>
                                <w:bCs/>
                                <w:sz w:val="22"/>
                                <w:szCs w:val="22"/>
                              </w:rPr>
                              <w:t>Financial Statements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7E6D876" id="Rectangle: Rounded Corners 12" o:spid="_x0000_s1028" style="position:absolute;left:0;text-align:left;margin-left:-5pt;margin-top:7.6pt;width:98.7pt;height:138.6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" fillcolor="#4f81bd [3204]" strokecolor="#243f60 [1604]" strokeweight="2pt">
                <v:textbox>
                  <w:txbxContent>
                    <w:p w14:paraId="5D165DC3" w14:textId="77777777" w:rsidR="00D21FC5" w:rsidRPr="00947F30" w:rsidRDefault="00D21FC5" w:rsidP="00C665E4">
                      <w:pPr>
                        <w:jc w:val="center"/>
                        <w:rPr>
                          <w:b/>
                          <w:bCs/>
                          <w:sz w:val="22"/>
                          <w:szCs w:val="22"/>
                        </w:rPr>
                      </w:pPr>
                      <w:r w:rsidRPr="00947F30">
                        <w:rPr>
                          <w:b/>
                          <w:bCs/>
                          <w:sz w:val="22"/>
                          <w:szCs w:val="22"/>
                        </w:rPr>
                        <w:t>Financial Statements</w:t>
                      </w:r>
                    </w:p>
                  </w:txbxContent>
                </v:textbox>
                <w10:wrap anchorx="margin"/>
              </v:roundrect>
            </w:pict>
          </mc:Fallback>
        </mc:AlternateContent>
      </w:r>
    </w:p>
    <w:p w14:paraId="4DABB40B" w14:textId="77777777" w:rsidR="00C665E4" w:rsidRPr="00947F30" w:rsidRDefault="00455C7F" w:rsidP="00C665E4">
      <w:pPr>
        <w:pStyle w:val="ListParagraph"/>
      </w:pPr>
      <w:r w:rsidRPr="00947F30">
        <w:rPr>
          <w:noProof/>
          <w:lang w:val="en-US"/>
        </w:rPr>
        <mc:AlternateContent>
          <mc:Choice Requires="wps">
            <w:drawing>
              <wp:anchor distT="0" distB="0" distL="114300" distR="114300" simplePos="0" relativeHeight="251658243" behindDoc="0" locked="0" layoutInCell="1" allowOverlap="1" wp14:anchorId="2C205823" wp14:editId="6FE1F98C">
                <wp:simplePos x="0" y="0"/>
                <wp:positionH relativeFrom="margin">
                  <wp:posOffset>1043940</wp:posOffset>
                </wp:positionH>
                <wp:positionV relativeFrom="paragraph">
                  <wp:posOffset>14605</wp:posOffset>
                </wp:positionV>
                <wp:extent cx="4554220" cy="1653540"/>
                <wp:effectExtent l="0" t="0" r="17780" b="22860"/>
                <wp:wrapNone/>
                <wp:docPr id="11" name="Rectangle 11"/>
                <wp:cNvGraphicFramePr/>
                <a:graphic xmlns:a="http://schemas.openxmlformats.org/drawingml/2006/main">
                  <a:graphicData uri="http://schemas.microsoft.com/office/word/2010/wordprocessingShape">
                    <wps:wsp>
                      <wps:cNvSpPr/>
                      <wps:spPr>
                        <a:xfrm>
                          <a:off x="0" y="0"/>
                          <a:ext cx="4554220" cy="165354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5933A0"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Impairment of non-financial assets</w:t>
                            </w:r>
                          </w:p>
                          <w:p w14:paraId="5D1E5245"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Going concern</w:t>
                            </w:r>
                          </w:p>
                          <w:p w14:paraId="6F471667" w14:textId="07E78857" w:rsidR="00D21FC5" w:rsidRPr="00947F30" w:rsidRDefault="00D21FC5" w:rsidP="00275D8A">
                            <w:pPr>
                              <w:pStyle w:val="ListParagraph"/>
                              <w:numPr>
                                <w:ilvl w:val="0"/>
                                <w:numId w:val="30"/>
                              </w:numPr>
                              <w:ind w:left="540"/>
                              <w:rPr>
                                <w:color w:val="1F497D" w:themeColor="text2"/>
                                <w:sz w:val="22"/>
                                <w:szCs w:val="22"/>
                              </w:rPr>
                            </w:pPr>
                            <w:r>
                              <w:rPr>
                                <w:color w:val="1F497D" w:themeColor="text2"/>
                                <w:sz w:val="22"/>
                                <w:szCs w:val="22"/>
                              </w:rPr>
                              <w:t>Significant judgements and measurement uncertainties</w:t>
                            </w:r>
                          </w:p>
                          <w:p w14:paraId="1533587E"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Expected credit losses</w:t>
                            </w:r>
                          </w:p>
                          <w:p w14:paraId="6DD6A2FA" w14:textId="72A3462E"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Fair</w:t>
                            </w:r>
                            <w:r>
                              <w:rPr>
                                <w:color w:val="1F497D" w:themeColor="text2"/>
                                <w:sz w:val="22"/>
                                <w:szCs w:val="22"/>
                              </w:rPr>
                              <w:t xml:space="preserve"> </w:t>
                            </w:r>
                            <w:r w:rsidRPr="00947F30">
                              <w:rPr>
                                <w:color w:val="1F497D" w:themeColor="text2"/>
                                <w:sz w:val="22"/>
                                <w:szCs w:val="22"/>
                              </w:rPr>
                              <w:t>value changes</w:t>
                            </w:r>
                            <w:r w:rsidRPr="00C64D5A">
                              <w:rPr>
                                <w:color w:val="1F497D" w:themeColor="text2"/>
                                <w:sz w:val="22"/>
                                <w:szCs w:val="22"/>
                              </w:rPr>
                              <w:t xml:space="preserve"> </w:t>
                            </w:r>
                            <w:r>
                              <w:rPr>
                                <w:color w:val="1F497D" w:themeColor="text2"/>
                                <w:sz w:val="22"/>
                                <w:szCs w:val="22"/>
                              </w:rPr>
                              <w:t>for the real estate industry</w:t>
                            </w:r>
                          </w:p>
                          <w:p w14:paraId="5E373C6A" w14:textId="69EF17AD" w:rsidR="00D21FC5" w:rsidRPr="00947F30" w:rsidRDefault="00D21FC5" w:rsidP="00275D8A">
                            <w:pPr>
                              <w:pStyle w:val="ListParagraph"/>
                              <w:numPr>
                                <w:ilvl w:val="0"/>
                                <w:numId w:val="30"/>
                              </w:numPr>
                              <w:ind w:left="540"/>
                              <w:rPr>
                                <w:color w:val="1F497D" w:themeColor="text2"/>
                                <w:sz w:val="22"/>
                                <w:szCs w:val="22"/>
                              </w:rPr>
                            </w:pPr>
                            <w:r>
                              <w:rPr>
                                <w:color w:val="1F497D" w:themeColor="text2"/>
                                <w:sz w:val="22"/>
                                <w:szCs w:val="22"/>
                              </w:rPr>
                              <w:t>Financial instrument</w:t>
                            </w:r>
                            <w:r w:rsidRPr="00947F30">
                              <w:rPr>
                                <w:color w:val="1F497D" w:themeColor="text2"/>
                                <w:sz w:val="22"/>
                                <w:szCs w:val="22"/>
                              </w:rPr>
                              <w:t xml:space="preserve"> risk disclosures</w:t>
                            </w:r>
                          </w:p>
                          <w:p w14:paraId="0815A86B"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Government assistance</w:t>
                            </w:r>
                          </w:p>
                          <w:p w14:paraId="698658F4" w14:textId="4BE405F5" w:rsidR="00D21FC5" w:rsidRPr="00947F30" w:rsidRDefault="004C5B3E" w:rsidP="00CB2F18">
                            <w:pPr>
                              <w:pStyle w:val="ListParagraph"/>
                              <w:numPr>
                                <w:ilvl w:val="0"/>
                                <w:numId w:val="30"/>
                              </w:numPr>
                              <w:ind w:left="540"/>
                              <w:rPr>
                                <w:color w:val="1F497D" w:themeColor="text2"/>
                                <w:sz w:val="22"/>
                                <w:szCs w:val="22"/>
                              </w:rPr>
                            </w:pPr>
                            <w:r w:rsidRPr="00DB659F">
                              <w:rPr>
                                <w:color w:val="1F497D" w:themeColor="text2"/>
                                <w:sz w:val="22"/>
                                <w:szCs w:val="22"/>
                              </w:rPr>
                              <w:t>COVID-19 related a</w:t>
                            </w:r>
                            <w:r w:rsidR="00D21FC5" w:rsidRPr="00DB659F">
                              <w:rPr>
                                <w:color w:val="1F497D" w:themeColor="text2"/>
                                <w:sz w:val="22"/>
                                <w:szCs w:val="22"/>
                              </w:rPr>
                              <w:t xml:space="preserve">mendments to IFRS 16 </w:t>
                            </w:r>
                            <w:r w:rsidR="00DB659F" w:rsidRPr="00870450">
                              <w:rPr>
                                <w:i/>
                                <w:iCs/>
                                <w:color w:val="1F497D" w:themeColor="text2"/>
                                <w:sz w:val="22"/>
                                <w:szCs w:val="22"/>
                              </w:rPr>
                              <w:t>L</w:t>
                            </w:r>
                            <w:r w:rsidR="00D21FC5" w:rsidRPr="00870450">
                              <w:rPr>
                                <w:i/>
                                <w:iCs/>
                                <w:color w:val="1F497D" w:themeColor="text2"/>
                                <w:sz w:val="22"/>
                                <w:szCs w:val="22"/>
                              </w:rPr>
                              <w:t>eases</w:t>
                            </w:r>
                            <w:r w:rsidR="00D21FC5" w:rsidRPr="00DB659F">
                              <w:rPr>
                                <w:color w:val="1F497D" w:themeColor="text2"/>
                                <w:sz w:val="22"/>
                                <w:szCs w:val="22"/>
                              </w:rPr>
                              <w:t xml:space="preserve"> for lessees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205823" id="Rectangle 11" o:spid="_x0000_s1029" style="position:absolute;left:0;text-align:left;margin-left:82.2pt;margin-top:1.15pt;width:358.6pt;height:130.2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" fillcolor="#eeece1 [3214]" strokecolor="#243f60 [1604]" strokeweight="2pt">
                <v:textbox>
                  <w:txbxContent>
                    <w:p w14:paraId="345933A0"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Impairment of non-financial assets</w:t>
                      </w:r>
                    </w:p>
                    <w:p w14:paraId="5D1E5245"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Going concern</w:t>
                      </w:r>
                    </w:p>
                    <w:p w14:paraId="6F471667" w14:textId="07E78857" w:rsidR="00D21FC5" w:rsidRPr="00947F30" w:rsidRDefault="00D21FC5" w:rsidP="00275D8A">
                      <w:pPr>
                        <w:pStyle w:val="ListParagraph"/>
                        <w:numPr>
                          <w:ilvl w:val="0"/>
                          <w:numId w:val="30"/>
                        </w:numPr>
                        <w:ind w:left="540"/>
                        <w:rPr>
                          <w:color w:val="1F497D" w:themeColor="text2"/>
                          <w:sz w:val="22"/>
                          <w:szCs w:val="22"/>
                        </w:rPr>
                      </w:pPr>
                      <w:r>
                        <w:rPr>
                          <w:color w:val="1F497D" w:themeColor="text2"/>
                          <w:sz w:val="22"/>
                          <w:szCs w:val="22"/>
                        </w:rPr>
                        <w:t>Significant judgements and measurement uncertainties</w:t>
                      </w:r>
                    </w:p>
                    <w:p w14:paraId="1533587E"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Expected credit losses</w:t>
                      </w:r>
                    </w:p>
                    <w:p w14:paraId="6DD6A2FA" w14:textId="72A3462E"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Fair</w:t>
                      </w:r>
                      <w:r>
                        <w:rPr>
                          <w:color w:val="1F497D" w:themeColor="text2"/>
                          <w:sz w:val="22"/>
                          <w:szCs w:val="22"/>
                        </w:rPr>
                        <w:t xml:space="preserve"> </w:t>
                      </w:r>
                      <w:r w:rsidRPr="00947F30">
                        <w:rPr>
                          <w:color w:val="1F497D" w:themeColor="text2"/>
                          <w:sz w:val="22"/>
                          <w:szCs w:val="22"/>
                        </w:rPr>
                        <w:t>value changes</w:t>
                      </w:r>
                      <w:r w:rsidRPr="00C64D5A">
                        <w:rPr>
                          <w:color w:val="1F497D" w:themeColor="text2"/>
                          <w:sz w:val="22"/>
                          <w:szCs w:val="22"/>
                        </w:rPr>
                        <w:t xml:space="preserve"> </w:t>
                      </w:r>
                      <w:r>
                        <w:rPr>
                          <w:color w:val="1F497D" w:themeColor="text2"/>
                          <w:sz w:val="22"/>
                          <w:szCs w:val="22"/>
                        </w:rPr>
                        <w:t>for the real estate industry</w:t>
                      </w:r>
                    </w:p>
                    <w:p w14:paraId="5E373C6A" w14:textId="69EF17AD" w:rsidR="00D21FC5" w:rsidRPr="00947F30" w:rsidRDefault="00D21FC5" w:rsidP="00275D8A">
                      <w:pPr>
                        <w:pStyle w:val="ListParagraph"/>
                        <w:numPr>
                          <w:ilvl w:val="0"/>
                          <w:numId w:val="30"/>
                        </w:numPr>
                        <w:ind w:left="540"/>
                        <w:rPr>
                          <w:color w:val="1F497D" w:themeColor="text2"/>
                          <w:sz w:val="22"/>
                          <w:szCs w:val="22"/>
                        </w:rPr>
                      </w:pPr>
                      <w:r>
                        <w:rPr>
                          <w:color w:val="1F497D" w:themeColor="text2"/>
                          <w:sz w:val="22"/>
                          <w:szCs w:val="22"/>
                        </w:rPr>
                        <w:t>Financial instrument</w:t>
                      </w:r>
                      <w:r w:rsidRPr="00947F30">
                        <w:rPr>
                          <w:color w:val="1F497D" w:themeColor="text2"/>
                          <w:sz w:val="22"/>
                          <w:szCs w:val="22"/>
                        </w:rPr>
                        <w:t xml:space="preserve"> risk disclosures</w:t>
                      </w:r>
                    </w:p>
                    <w:p w14:paraId="0815A86B"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Government assistance</w:t>
                      </w:r>
                    </w:p>
                    <w:p w14:paraId="698658F4" w14:textId="4BE405F5" w:rsidR="00D21FC5" w:rsidRPr="00947F30" w:rsidRDefault="004C5B3E" w:rsidP="00CB2F18">
                      <w:pPr>
                        <w:pStyle w:val="ListParagraph"/>
                        <w:numPr>
                          <w:ilvl w:val="0"/>
                          <w:numId w:val="30"/>
                        </w:numPr>
                        <w:ind w:left="540"/>
                        <w:rPr>
                          <w:color w:val="1F497D" w:themeColor="text2"/>
                          <w:sz w:val="22"/>
                          <w:szCs w:val="22"/>
                        </w:rPr>
                      </w:pPr>
                      <w:r w:rsidRPr="00DB659F">
                        <w:rPr>
                          <w:color w:val="1F497D" w:themeColor="text2"/>
                          <w:sz w:val="22"/>
                          <w:szCs w:val="22"/>
                        </w:rPr>
                        <w:t>COVID-19 related a</w:t>
                      </w:r>
                      <w:r w:rsidR="00D21FC5" w:rsidRPr="00DB659F">
                        <w:rPr>
                          <w:color w:val="1F497D" w:themeColor="text2"/>
                          <w:sz w:val="22"/>
                          <w:szCs w:val="22"/>
                        </w:rPr>
                        <w:t xml:space="preserve">mendments to IFRS 16 </w:t>
                      </w:r>
                      <w:r w:rsidR="00DB659F" w:rsidRPr="00870450">
                        <w:rPr>
                          <w:i/>
                          <w:iCs/>
                          <w:color w:val="1F497D" w:themeColor="text2"/>
                          <w:sz w:val="22"/>
                          <w:szCs w:val="22"/>
                        </w:rPr>
                        <w:t>L</w:t>
                      </w:r>
                      <w:r w:rsidR="00D21FC5" w:rsidRPr="00870450">
                        <w:rPr>
                          <w:i/>
                          <w:iCs/>
                          <w:color w:val="1F497D" w:themeColor="text2"/>
                          <w:sz w:val="22"/>
                          <w:szCs w:val="22"/>
                        </w:rPr>
                        <w:t>eases</w:t>
                      </w:r>
                      <w:r w:rsidR="00D21FC5" w:rsidRPr="00DB659F">
                        <w:rPr>
                          <w:color w:val="1F497D" w:themeColor="text2"/>
                          <w:sz w:val="22"/>
                          <w:szCs w:val="22"/>
                        </w:rPr>
                        <w:t xml:space="preserve"> for lessees</w:t>
                      </w:r>
                    </w:p>
                  </w:txbxContent>
                </v:textbox>
                <w10:wrap anchorx="margin"/>
              </v:rect>
            </w:pict>
          </mc:Fallback>
        </mc:AlternateContent>
      </w:r>
    </w:p>
    <w:p w14:paraId="4F26E722" w14:textId="77777777" w:rsidR="00C665E4" w:rsidRPr="00947F30" w:rsidRDefault="00C665E4" w:rsidP="00C665E4">
      <w:pPr>
        <w:pStyle w:val="ListParagraph"/>
      </w:pPr>
    </w:p>
    <w:p w14:paraId="227DD4BA" w14:textId="77777777" w:rsidR="00C665E4" w:rsidRPr="00947F30" w:rsidRDefault="00C665E4" w:rsidP="00C665E4">
      <w:pPr>
        <w:pStyle w:val="ListParagraph"/>
      </w:pPr>
    </w:p>
    <w:p w14:paraId="5056A116" w14:textId="77777777" w:rsidR="00C665E4" w:rsidRPr="00947F30" w:rsidRDefault="00C665E4" w:rsidP="00C665E4">
      <w:pPr>
        <w:pStyle w:val="ListParagraph"/>
      </w:pPr>
    </w:p>
    <w:p w14:paraId="266EA7B4" w14:textId="77777777" w:rsidR="00C665E4" w:rsidRPr="00947F30" w:rsidRDefault="00C665E4" w:rsidP="00C665E4">
      <w:pPr>
        <w:pStyle w:val="ListParagraph"/>
      </w:pPr>
    </w:p>
    <w:p w14:paraId="7E246EA4" w14:textId="77777777" w:rsidR="00C665E4" w:rsidRPr="00947F30" w:rsidRDefault="00C665E4" w:rsidP="00C665E4">
      <w:pPr>
        <w:pStyle w:val="ListParagraph"/>
      </w:pPr>
    </w:p>
    <w:p w14:paraId="56B58A01" w14:textId="77777777" w:rsidR="00C665E4" w:rsidRPr="00947F30" w:rsidRDefault="00C665E4" w:rsidP="00C665E4">
      <w:pPr>
        <w:pStyle w:val="ListParagraph"/>
      </w:pPr>
    </w:p>
    <w:p w14:paraId="0D7C2F18" w14:textId="77777777" w:rsidR="00C665E4" w:rsidRPr="00947F30" w:rsidRDefault="00C665E4" w:rsidP="00C665E4">
      <w:pPr>
        <w:pStyle w:val="ListParagraph"/>
      </w:pPr>
    </w:p>
    <w:p w14:paraId="70276051" w14:textId="77777777" w:rsidR="002B6E85" w:rsidRDefault="002B6E85" w:rsidP="00FF6C77">
      <w:pPr>
        <w:pStyle w:val="ListParagraph"/>
        <w:rPr>
          <w:color w:val="1F497D" w:themeColor="text2"/>
          <w:sz w:val="32"/>
          <w:szCs w:val="24"/>
        </w:rPr>
      </w:pPr>
    </w:p>
    <w:p w14:paraId="31A6F0E6" w14:textId="77777777" w:rsidR="002B6E85" w:rsidRDefault="002B6E85" w:rsidP="00FF6C77">
      <w:pPr>
        <w:pStyle w:val="ListParagraph"/>
        <w:rPr>
          <w:color w:val="1F497D" w:themeColor="text2"/>
          <w:sz w:val="32"/>
          <w:szCs w:val="24"/>
        </w:rPr>
      </w:pPr>
    </w:p>
    <w:p w14:paraId="6C746990" w14:textId="5FC23FC1" w:rsidR="003F5478" w:rsidRDefault="00A41AC7" w:rsidP="00FF6C77">
      <w:pPr>
        <w:pStyle w:val="ListParagraph"/>
        <w:rPr>
          <w:color w:val="1F497D" w:themeColor="text2"/>
          <w:sz w:val="32"/>
          <w:szCs w:val="24"/>
        </w:rPr>
      </w:pPr>
      <w:r w:rsidRPr="00947F30">
        <w:rPr>
          <w:noProof/>
          <w:lang w:val="en-US"/>
        </w:rPr>
        <mc:AlternateContent>
          <mc:Choice Requires="wps">
            <w:drawing>
              <wp:anchor distT="0" distB="0" distL="114300" distR="114300" simplePos="0" relativeHeight="251658246" behindDoc="0" locked="0" layoutInCell="1" allowOverlap="1" wp14:anchorId="4B2F70F6" wp14:editId="760D6601">
                <wp:simplePos x="0" y="0"/>
                <wp:positionH relativeFrom="margin">
                  <wp:posOffset>-69850</wp:posOffset>
                </wp:positionH>
                <wp:positionV relativeFrom="paragraph">
                  <wp:posOffset>32385</wp:posOffset>
                </wp:positionV>
                <wp:extent cx="1259840" cy="891540"/>
                <wp:effectExtent l="0" t="0" r="16510" b="22860"/>
                <wp:wrapNone/>
                <wp:docPr id="19" name="Rectangle: Rounded Corners 19"/>
                <wp:cNvGraphicFramePr/>
                <a:graphic xmlns:a="http://schemas.openxmlformats.org/drawingml/2006/main">
                  <a:graphicData uri="http://schemas.microsoft.com/office/word/2010/wordprocessingShape">
                    <wps:wsp>
                      <wps:cNvSpPr/>
                      <wps:spPr>
                        <a:xfrm>
                          <a:off x="0" y="0"/>
                          <a:ext cx="1259840" cy="8915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4C804B" w14:textId="77777777" w:rsidR="00D21FC5" w:rsidRPr="00947F30" w:rsidRDefault="00D21FC5" w:rsidP="00C665E4">
                            <w:pPr>
                              <w:jc w:val="center"/>
                              <w:rPr>
                                <w:b/>
                                <w:bCs/>
                                <w:sz w:val="22"/>
                                <w:szCs w:val="22"/>
                              </w:rPr>
                            </w:pPr>
                            <w:r w:rsidRPr="00947F30">
                              <w:rPr>
                                <w:b/>
                                <w:bCs/>
                                <w:sz w:val="22"/>
                                <w:szCs w:val="22"/>
                              </w:rPr>
                              <w:t>Other Regulatory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B2F70F6" id="Rectangle: Rounded Corners 19" o:spid="_x0000_s1030" style="position:absolute;left:0;text-align:left;margin-left:-5.5pt;margin-top:2.55pt;width:99.2pt;height:70.2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" fillcolor="#4f81bd [3204]" strokecolor="#243f60 [1604]" strokeweight="2pt">
                <v:textbox>
                  <w:txbxContent>
                    <w:p w14:paraId="084C804B" w14:textId="77777777" w:rsidR="00D21FC5" w:rsidRPr="00947F30" w:rsidRDefault="00D21FC5" w:rsidP="00C665E4">
                      <w:pPr>
                        <w:jc w:val="center"/>
                        <w:rPr>
                          <w:b/>
                          <w:bCs/>
                          <w:sz w:val="22"/>
                          <w:szCs w:val="22"/>
                        </w:rPr>
                      </w:pPr>
                      <w:r w:rsidRPr="00947F30">
                        <w:rPr>
                          <w:b/>
                          <w:bCs/>
                          <w:sz w:val="22"/>
                          <w:szCs w:val="22"/>
                        </w:rPr>
                        <w:t>Other Regulatory Requirements</w:t>
                      </w:r>
                    </w:p>
                  </w:txbxContent>
                </v:textbox>
                <w10:wrap anchorx="margin"/>
              </v:roundrect>
            </w:pict>
          </mc:Fallback>
        </mc:AlternateContent>
      </w:r>
      <w:r w:rsidRPr="00947F30">
        <w:rPr>
          <w:noProof/>
          <w:lang w:val="en-US"/>
        </w:rPr>
        <mc:AlternateContent>
          <mc:Choice Requires="wps">
            <w:drawing>
              <wp:anchor distT="0" distB="0" distL="114300" distR="114300" simplePos="0" relativeHeight="251658245" behindDoc="0" locked="0" layoutInCell="1" allowOverlap="1" wp14:anchorId="7B0F2FFE" wp14:editId="10B11864">
                <wp:simplePos x="0" y="0"/>
                <wp:positionH relativeFrom="margin">
                  <wp:posOffset>1051560</wp:posOffset>
                </wp:positionH>
                <wp:positionV relativeFrom="paragraph">
                  <wp:posOffset>73025</wp:posOffset>
                </wp:positionV>
                <wp:extent cx="4554220" cy="822960"/>
                <wp:effectExtent l="0" t="0" r="17780" b="15240"/>
                <wp:wrapNone/>
                <wp:docPr id="18" name="Rectangle 18"/>
                <wp:cNvGraphicFramePr/>
                <a:graphic xmlns:a="http://schemas.openxmlformats.org/drawingml/2006/main">
                  <a:graphicData uri="http://schemas.microsoft.com/office/word/2010/wordprocessingShape">
                    <wps:wsp>
                      <wps:cNvSpPr/>
                      <wps:spPr>
                        <a:xfrm>
                          <a:off x="0" y="0"/>
                          <a:ext cx="4554220" cy="82296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A3EB0B"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N</w:t>
                            </w:r>
                            <w:r>
                              <w:rPr>
                                <w:color w:val="1F497D" w:themeColor="text2"/>
                                <w:sz w:val="22"/>
                                <w:szCs w:val="22"/>
                              </w:rPr>
                              <w:t>GMs</w:t>
                            </w:r>
                          </w:p>
                          <w:p w14:paraId="147CEEDF"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F</w:t>
                            </w:r>
                            <w:r>
                              <w:rPr>
                                <w:color w:val="1F497D" w:themeColor="text2"/>
                                <w:sz w:val="22"/>
                                <w:szCs w:val="22"/>
                              </w:rPr>
                              <w:t>LI</w:t>
                            </w:r>
                          </w:p>
                          <w:p w14:paraId="17E4ADD1"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Material change reporting</w:t>
                            </w:r>
                          </w:p>
                          <w:p w14:paraId="3AECE55F"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Promotional disclosures</w:t>
                            </w:r>
                          </w:p>
                          <w:p w14:paraId="2D283B10" w14:textId="77777777" w:rsidR="00D21FC5" w:rsidRPr="00EF5AC0" w:rsidRDefault="00D21FC5" w:rsidP="00C665E4">
                            <w:pPr>
                              <w:rPr>
                                <w:rFonts w:ascii="Arial" w:hAnsi="Arial" w:cs="Arial"/>
                                <w:color w:val="1F497D" w:themeColor="text2"/>
                                <w:sz w:val="20"/>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B0F2FFE" id="Rectangle 18" o:spid="_x0000_s1031" style="position:absolute;left:0;text-align:left;margin-left:82.8pt;margin-top:5.75pt;width:358.6pt;height:64.8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" fillcolor="#eeece1 [3214]" strokecolor="#243f60 [1604]" strokeweight="2pt">
                <v:textbox>
                  <w:txbxContent>
                    <w:p w14:paraId="7DA3EB0B"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N</w:t>
                      </w:r>
                      <w:r>
                        <w:rPr>
                          <w:color w:val="1F497D" w:themeColor="text2"/>
                          <w:sz w:val="22"/>
                          <w:szCs w:val="22"/>
                        </w:rPr>
                        <w:t>GMs</w:t>
                      </w:r>
                    </w:p>
                    <w:p w14:paraId="147CEEDF"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F</w:t>
                      </w:r>
                      <w:r>
                        <w:rPr>
                          <w:color w:val="1F497D" w:themeColor="text2"/>
                          <w:sz w:val="22"/>
                          <w:szCs w:val="22"/>
                        </w:rPr>
                        <w:t>LI</w:t>
                      </w:r>
                    </w:p>
                    <w:p w14:paraId="17E4ADD1"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Material change reporting</w:t>
                      </w:r>
                    </w:p>
                    <w:p w14:paraId="3AECE55F" w14:textId="77777777" w:rsidR="00D21FC5" w:rsidRPr="00947F30" w:rsidRDefault="00D21FC5" w:rsidP="00275D8A">
                      <w:pPr>
                        <w:pStyle w:val="ListParagraph"/>
                        <w:numPr>
                          <w:ilvl w:val="0"/>
                          <w:numId w:val="30"/>
                        </w:numPr>
                        <w:ind w:left="540"/>
                        <w:rPr>
                          <w:color w:val="1F497D" w:themeColor="text2"/>
                          <w:sz w:val="22"/>
                          <w:szCs w:val="22"/>
                        </w:rPr>
                      </w:pPr>
                      <w:r w:rsidRPr="00947F30">
                        <w:rPr>
                          <w:color w:val="1F497D" w:themeColor="text2"/>
                          <w:sz w:val="22"/>
                          <w:szCs w:val="22"/>
                        </w:rPr>
                        <w:t>Promotional disclosures</w:t>
                      </w:r>
                    </w:p>
                    <w:p w14:paraId="2D283B10" w14:textId="77777777" w:rsidR="00D21FC5" w:rsidRPr="00EF5AC0" w:rsidRDefault="00D21FC5" w:rsidP="00C665E4">
                      <w:pPr>
                        <w:rPr>
                          <w:rFonts w:ascii="Arial" w:hAnsi="Arial" w:cs="Arial"/>
                          <w:color w:val="1F497D" w:themeColor="text2"/>
                          <w:sz w:val="20"/>
                          <w:szCs w:val="16"/>
                        </w:rPr>
                      </w:pPr>
                    </w:p>
                  </w:txbxContent>
                </v:textbox>
                <w10:wrap anchorx="margin"/>
              </v:rect>
            </w:pict>
          </mc:Fallback>
        </mc:AlternateContent>
      </w:r>
    </w:p>
    <w:p w14:paraId="0582C5B7" w14:textId="77777777" w:rsidR="002C79DB" w:rsidRDefault="002C79DB" w:rsidP="00FF6C77">
      <w:pPr>
        <w:pStyle w:val="Heading1"/>
        <w:numPr>
          <w:ilvl w:val="0"/>
          <w:numId w:val="0"/>
        </w:numPr>
        <w:rPr>
          <w:color w:val="1F497D" w:themeColor="text2"/>
          <w:sz w:val="32"/>
          <w:szCs w:val="24"/>
        </w:rPr>
      </w:pPr>
      <w:bookmarkStart w:id="5" w:name="_Toc62334907"/>
    </w:p>
    <w:p w14:paraId="455D311E" w14:textId="77777777" w:rsidR="002C79DB" w:rsidRDefault="002C79DB" w:rsidP="00FF6C77">
      <w:pPr>
        <w:pStyle w:val="Heading1"/>
        <w:numPr>
          <w:ilvl w:val="0"/>
          <w:numId w:val="0"/>
        </w:numPr>
        <w:rPr>
          <w:color w:val="1F497D" w:themeColor="text2"/>
          <w:sz w:val="32"/>
          <w:szCs w:val="24"/>
        </w:rPr>
      </w:pPr>
    </w:p>
    <w:p w14:paraId="55742838" w14:textId="233230E7" w:rsidR="003F5478" w:rsidRDefault="003F5478" w:rsidP="00FF6C77">
      <w:pPr>
        <w:pStyle w:val="Heading1"/>
        <w:numPr>
          <w:ilvl w:val="0"/>
          <w:numId w:val="0"/>
        </w:numPr>
        <w:rPr>
          <w:color w:val="1F497D" w:themeColor="text2"/>
          <w:sz w:val="32"/>
          <w:szCs w:val="24"/>
        </w:rPr>
      </w:pPr>
      <w:r w:rsidRPr="005D7778">
        <w:rPr>
          <w:color w:val="1F497D" w:themeColor="text2"/>
          <w:sz w:val="32"/>
          <w:szCs w:val="24"/>
        </w:rPr>
        <w:t xml:space="preserve">Part </w:t>
      </w:r>
      <w:r>
        <w:rPr>
          <w:color w:val="1F497D" w:themeColor="text2"/>
          <w:sz w:val="32"/>
          <w:szCs w:val="24"/>
        </w:rPr>
        <w:t xml:space="preserve">3 </w:t>
      </w:r>
      <w:r w:rsidRPr="005D7778">
        <w:rPr>
          <w:color w:val="1F497D" w:themeColor="text2"/>
          <w:sz w:val="32"/>
          <w:szCs w:val="24"/>
        </w:rPr>
        <w:t>- Summary of Results and Key</w:t>
      </w:r>
      <w:r>
        <w:rPr>
          <w:color w:val="1F497D" w:themeColor="text2"/>
          <w:sz w:val="32"/>
          <w:szCs w:val="24"/>
        </w:rPr>
        <w:t xml:space="preserve"> Themes</w:t>
      </w:r>
      <w:bookmarkEnd w:id="5"/>
      <w:r w:rsidRPr="005D7778">
        <w:rPr>
          <w:color w:val="1F497D" w:themeColor="text2"/>
          <w:sz w:val="32"/>
          <w:szCs w:val="24"/>
        </w:rPr>
        <w:t xml:space="preserve"> </w:t>
      </w:r>
    </w:p>
    <w:p w14:paraId="6437C91A" w14:textId="5B90ECFA" w:rsidR="00C665E4" w:rsidRPr="00947F30" w:rsidRDefault="000D3AFE" w:rsidP="00C665E4">
      <w:pPr>
        <w:rPr>
          <w:sz w:val="22"/>
          <w:szCs w:val="22"/>
        </w:rPr>
      </w:pPr>
      <w:r>
        <w:rPr>
          <w:sz w:val="22"/>
          <w:szCs w:val="22"/>
        </w:rPr>
        <w:t>O</w:t>
      </w:r>
      <w:r w:rsidR="00C665E4" w:rsidRPr="00947F30">
        <w:rPr>
          <w:sz w:val="22"/>
          <w:szCs w:val="22"/>
        </w:rPr>
        <w:t>ur review</w:t>
      </w:r>
      <w:r w:rsidR="00FD55A8">
        <w:rPr>
          <w:sz w:val="22"/>
          <w:szCs w:val="22"/>
        </w:rPr>
        <w:t>s</w:t>
      </w:r>
      <w:r w:rsidR="00C665E4" w:rsidRPr="00947F30">
        <w:rPr>
          <w:sz w:val="22"/>
          <w:szCs w:val="22"/>
        </w:rPr>
        <w:t xml:space="preserve"> covered a variety of industries</w:t>
      </w:r>
      <w:r>
        <w:rPr>
          <w:sz w:val="22"/>
          <w:szCs w:val="22"/>
        </w:rPr>
        <w:t xml:space="preserve"> and</w:t>
      </w:r>
      <w:r w:rsidR="00C665E4" w:rsidRPr="00947F30">
        <w:rPr>
          <w:sz w:val="22"/>
          <w:szCs w:val="22"/>
        </w:rPr>
        <w:t xml:space="preserve"> highlighted the diverse impact</w:t>
      </w:r>
      <w:r w:rsidR="006E31F7">
        <w:rPr>
          <w:sz w:val="22"/>
          <w:szCs w:val="22"/>
        </w:rPr>
        <w:t>s</w:t>
      </w:r>
      <w:r w:rsidR="00C665E4" w:rsidRPr="00947F30">
        <w:rPr>
          <w:sz w:val="22"/>
          <w:szCs w:val="22"/>
        </w:rPr>
        <w:t xml:space="preserve"> of the COVID-19 pandemic on issuers</w:t>
      </w:r>
      <w:r w:rsidR="00995887">
        <w:rPr>
          <w:sz w:val="22"/>
          <w:szCs w:val="22"/>
        </w:rPr>
        <w:t>’</w:t>
      </w:r>
      <w:r w:rsidR="00C665E4" w:rsidRPr="00947F30">
        <w:rPr>
          <w:sz w:val="22"/>
          <w:szCs w:val="22"/>
        </w:rPr>
        <w:t xml:space="preserve"> operations and businesses. </w:t>
      </w:r>
      <w:r>
        <w:rPr>
          <w:sz w:val="22"/>
          <w:szCs w:val="22"/>
        </w:rPr>
        <w:t xml:space="preserve">Some of these impacts included: </w:t>
      </w:r>
    </w:p>
    <w:p w14:paraId="4B2AE5B4" w14:textId="77777777" w:rsidR="00C665E4" w:rsidRPr="00947F30" w:rsidRDefault="00C665E4" w:rsidP="00C665E4"/>
    <w:p w14:paraId="47BAFC83" w14:textId="77777777" w:rsidR="00C665E4" w:rsidRPr="00947F30" w:rsidRDefault="00ED22AC" w:rsidP="00C665E4">
      <w:r w:rsidRPr="00947F30">
        <w:rPr>
          <w:noProof/>
          <w:lang w:val="en-US"/>
        </w:rPr>
        <mc:AlternateContent>
          <mc:Choice Requires="wps">
            <w:drawing>
              <wp:anchor distT="0" distB="0" distL="114300" distR="114300" simplePos="0" relativeHeight="251658252" behindDoc="0" locked="0" layoutInCell="1" allowOverlap="1" wp14:anchorId="75016434" wp14:editId="516E21B7">
                <wp:simplePos x="0" y="0"/>
                <wp:positionH relativeFrom="margin">
                  <wp:posOffset>3025140</wp:posOffset>
                </wp:positionH>
                <wp:positionV relativeFrom="paragraph">
                  <wp:posOffset>62865</wp:posOffset>
                </wp:positionV>
                <wp:extent cx="2811780" cy="502920"/>
                <wp:effectExtent l="0" t="0" r="26670" b="11430"/>
                <wp:wrapNone/>
                <wp:docPr id="8" name="Rectangle: Rounded Corners 8"/>
                <wp:cNvGraphicFramePr/>
                <a:graphic xmlns:a="http://schemas.openxmlformats.org/drawingml/2006/main">
                  <a:graphicData uri="http://schemas.microsoft.com/office/word/2010/wordprocessingShape">
                    <wps:wsp>
                      <wps:cNvSpPr/>
                      <wps:spPr>
                        <a:xfrm>
                          <a:off x="0" y="0"/>
                          <a:ext cx="2811780" cy="502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2C2E78" w14:textId="77777777" w:rsidR="00D21FC5" w:rsidRPr="00995887" w:rsidRDefault="00D21FC5" w:rsidP="00ED22AC">
                            <w:pPr>
                              <w:jc w:val="center"/>
                              <w:rPr>
                                <w:b/>
                                <w:bCs/>
                                <w:sz w:val="22"/>
                                <w:szCs w:val="18"/>
                              </w:rPr>
                            </w:pPr>
                            <w:r>
                              <w:rPr>
                                <w:b/>
                                <w:bCs/>
                                <w:sz w:val="22"/>
                                <w:szCs w:val="18"/>
                              </w:rPr>
                              <w:t>Fina</w:t>
                            </w:r>
                            <w:r w:rsidRPr="00995887">
                              <w:rPr>
                                <w:b/>
                                <w:bCs/>
                                <w:sz w:val="22"/>
                                <w:szCs w:val="18"/>
                              </w:rPr>
                              <w:t>n</w:t>
                            </w:r>
                            <w:r>
                              <w:rPr>
                                <w:b/>
                                <w:bCs/>
                                <w:sz w:val="22"/>
                                <w:szCs w:val="18"/>
                              </w:rPr>
                              <w:t>ci</w:t>
                            </w:r>
                            <w:r w:rsidRPr="00995887">
                              <w:rPr>
                                <w:b/>
                                <w:bCs/>
                                <w:sz w:val="22"/>
                                <w:szCs w:val="18"/>
                              </w:rPr>
                              <w:t>al Impacts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5016434" id="Rectangle: Rounded Corners 8" o:spid="_x0000_s1032" style="position:absolute;margin-left:238.2pt;margin-top:4.95pt;width:221.4pt;height:39.6pt;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" fillcolor="#4f81bd [3204]" strokecolor="#243f60 [1604]" strokeweight="2pt">
                <v:textbox>
                  <w:txbxContent>
                    <w:p w14:paraId="602C2E78" w14:textId="77777777" w:rsidR="00D21FC5" w:rsidRPr="00995887" w:rsidRDefault="00D21FC5" w:rsidP="00ED22AC">
                      <w:pPr>
                        <w:jc w:val="center"/>
                        <w:rPr>
                          <w:b/>
                          <w:bCs/>
                          <w:sz w:val="22"/>
                          <w:szCs w:val="18"/>
                        </w:rPr>
                      </w:pPr>
                      <w:r>
                        <w:rPr>
                          <w:b/>
                          <w:bCs/>
                          <w:sz w:val="22"/>
                          <w:szCs w:val="18"/>
                        </w:rPr>
                        <w:t>Fina</w:t>
                      </w:r>
                      <w:r w:rsidRPr="00995887">
                        <w:rPr>
                          <w:b/>
                          <w:bCs/>
                          <w:sz w:val="22"/>
                          <w:szCs w:val="18"/>
                        </w:rPr>
                        <w:t>n</w:t>
                      </w:r>
                      <w:r>
                        <w:rPr>
                          <w:b/>
                          <w:bCs/>
                          <w:sz w:val="22"/>
                          <w:szCs w:val="18"/>
                        </w:rPr>
                        <w:t>ci</w:t>
                      </w:r>
                      <w:r w:rsidRPr="00995887">
                        <w:rPr>
                          <w:b/>
                          <w:bCs/>
                          <w:sz w:val="22"/>
                          <w:szCs w:val="18"/>
                        </w:rPr>
                        <w:t>al Impacts</w:t>
                      </w:r>
                    </w:p>
                  </w:txbxContent>
                </v:textbox>
                <w10:wrap anchorx="margin"/>
              </v:roundrect>
            </w:pict>
          </mc:Fallback>
        </mc:AlternateContent>
      </w:r>
      <w:r w:rsidRPr="00947F30">
        <w:rPr>
          <w:noProof/>
          <w:lang w:val="en-US"/>
        </w:rPr>
        <mc:AlternateContent>
          <mc:Choice Requires="wps">
            <w:drawing>
              <wp:anchor distT="0" distB="0" distL="114300" distR="114300" simplePos="0" relativeHeight="251658248" behindDoc="0" locked="0" layoutInCell="1" allowOverlap="1" wp14:anchorId="09104905" wp14:editId="50CDE8A2">
                <wp:simplePos x="0" y="0"/>
                <wp:positionH relativeFrom="margin">
                  <wp:posOffset>22860</wp:posOffset>
                </wp:positionH>
                <wp:positionV relativeFrom="paragraph">
                  <wp:posOffset>55245</wp:posOffset>
                </wp:positionV>
                <wp:extent cx="2811780" cy="502920"/>
                <wp:effectExtent l="0" t="0" r="26670" b="11430"/>
                <wp:wrapNone/>
                <wp:docPr id="21" name="Rectangle: Rounded Corners 21"/>
                <wp:cNvGraphicFramePr/>
                <a:graphic xmlns:a="http://schemas.openxmlformats.org/drawingml/2006/main">
                  <a:graphicData uri="http://schemas.microsoft.com/office/word/2010/wordprocessingShape">
                    <wps:wsp>
                      <wps:cNvSpPr/>
                      <wps:spPr>
                        <a:xfrm>
                          <a:off x="0" y="0"/>
                          <a:ext cx="2811780" cy="502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24AC87" w14:textId="77777777" w:rsidR="00D21FC5" w:rsidRPr="00995887" w:rsidRDefault="00D21FC5" w:rsidP="00C665E4">
                            <w:pPr>
                              <w:jc w:val="center"/>
                              <w:rPr>
                                <w:b/>
                                <w:bCs/>
                                <w:sz w:val="22"/>
                                <w:szCs w:val="18"/>
                              </w:rPr>
                            </w:pPr>
                            <w:r w:rsidRPr="00995887">
                              <w:rPr>
                                <w:b/>
                                <w:bCs/>
                                <w:sz w:val="22"/>
                                <w:szCs w:val="18"/>
                              </w:rPr>
                              <w:t>Operational Impacts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9104905" id="Rectangle: Rounded Corners 21" o:spid="_x0000_s1033" style="position:absolute;margin-left:1.8pt;margin-top:4.35pt;width:221.4pt;height:39.6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" fillcolor="#4f81bd [3204]" strokecolor="#243f60 [1604]" strokeweight="2pt">
                <v:textbox>
                  <w:txbxContent>
                    <w:p w14:paraId="7C24AC87" w14:textId="77777777" w:rsidR="00D21FC5" w:rsidRPr="00995887" w:rsidRDefault="00D21FC5" w:rsidP="00C665E4">
                      <w:pPr>
                        <w:jc w:val="center"/>
                        <w:rPr>
                          <w:b/>
                          <w:bCs/>
                          <w:sz w:val="22"/>
                          <w:szCs w:val="18"/>
                        </w:rPr>
                      </w:pPr>
                      <w:r w:rsidRPr="00995887">
                        <w:rPr>
                          <w:b/>
                          <w:bCs/>
                          <w:sz w:val="22"/>
                          <w:szCs w:val="18"/>
                        </w:rPr>
                        <w:t>Operational Impacts</w:t>
                      </w:r>
                    </w:p>
                  </w:txbxContent>
                </v:textbox>
                <w10:wrap anchorx="margin"/>
              </v:roundrect>
            </w:pict>
          </mc:Fallback>
        </mc:AlternateContent>
      </w:r>
    </w:p>
    <w:p w14:paraId="6B760A6C" w14:textId="77777777" w:rsidR="00C665E4" w:rsidRPr="00947F30" w:rsidRDefault="00C665E4" w:rsidP="00C665E4"/>
    <w:p w14:paraId="2A7AD376" w14:textId="77777777" w:rsidR="00C665E4" w:rsidRPr="00947F30" w:rsidRDefault="00C665E4" w:rsidP="00C665E4"/>
    <w:p w14:paraId="450F2404" w14:textId="77777777" w:rsidR="00C665E4" w:rsidRPr="00947F30" w:rsidRDefault="00A624A7" w:rsidP="00C665E4">
      <w:r w:rsidRPr="00947F30">
        <w:rPr>
          <w:noProof/>
          <w:lang w:val="en-US"/>
        </w:rPr>
        <mc:AlternateContent>
          <mc:Choice Requires="wps">
            <w:drawing>
              <wp:anchor distT="0" distB="0" distL="114300" distR="114300" simplePos="0" relativeHeight="251658251" behindDoc="0" locked="0" layoutInCell="1" allowOverlap="1" wp14:anchorId="066261F3" wp14:editId="07546B9E">
                <wp:simplePos x="0" y="0"/>
                <wp:positionH relativeFrom="margin">
                  <wp:posOffset>3055620</wp:posOffset>
                </wp:positionH>
                <wp:positionV relativeFrom="paragraph">
                  <wp:posOffset>5080</wp:posOffset>
                </wp:positionV>
                <wp:extent cx="2727960" cy="23393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2727960" cy="233934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7E56FB" w14:textId="77777777" w:rsidR="00D21FC5" w:rsidRPr="00C16780" w:rsidRDefault="00D21FC5" w:rsidP="00275D8A">
                            <w:pPr>
                              <w:pStyle w:val="ListParagraph"/>
                              <w:numPr>
                                <w:ilvl w:val="0"/>
                                <w:numId w:val="30"/>
                              </w:numPr>
                              <w:rPr>
                                <w:color w:val="1F497D" w:themeColor="text2"/>
                                <w:sz w:val="22"/>
                                <w:szCs w:val="18"/>
                              </w:rPr>
                            </w:pPr>
                            <w:r w:rsidRPr="00C16780">
                              <w:rPr>
                                <w:color w:val="1F497D" w:themeColor="text2"/>
                                <w:sz w:val="22"/>
                                <w:szCs w:val="18"/>
                              </w:rPr>
                              <w:t xml:space="preserve">Decrease or increase in </w:t>
                            </w:r>
                            <w:r>
                              <w:rPr>
                                <w:color w:val="1F497D" w:themeColor="text2"/>
                                <w:sz w:val="22"/>
                                <w:szCs w:val="18"/>
                              </w:rPr>
                              <w:t>revenues</w:t>
                            </w:r>
                          </w:p>
                          <w:p w14:paraId="03DBBDA5" w14:textId="77777777" w:rsidR="00D21FC5" w:rsidRDefault="00D21FC5" w:rsidP="00275D8A">
                            <w:pPr>
                              <w:pStyle w:val="ListParagraph"/>
                              <w:numPr>
                                <w:ilvl w:val="0"/>
                                <w:numId w:val="30"/>
                              </w:numPr>
                              <w:rPr>
                                <w:color w:val="1F497D" w:themeColor="text2"/>
                                <w:sz w:val="22"/>
                                <w:szCs w:val="18"/>
                              </w:rPr>
                            </w:pPr>
                            <w:r>
                              <w:rPr>
                                <w:color w:val="1F497D" w:themeColor="text2"/>
                                <w:sz w:val="22"/>
                                <w:szCs w:val="18"/>
                              </w:rPr>
                              <w:t>Restructuring charges</w:t>
                            </w:r>
                          </w:p>
                          <w:p w14:paraId="200709FB" w14:textId="77777777" w:rsidR="00D21FC5" w:rsidRDefault="00D21FC5" w:rsidP="00275D8A">
                            <w:pPr>
                              <w:pStyle w:val="ListParagraph"/>
                              <w:numPr>
                                <w:ilvl w:val="0"/>
                                <w:numId w:val="30"/>
                              </w:numPr>
                              <w:rPr>
                                <w:color w:val="1F497D" w:themeColor="text2"/>
                                <w:sz w:val="22"/>
                                <w:szCs w:val="18"/>
                              </w:rPr>
                            </w:pPr>
                            <w:r>
                              <w:rPr>
                                <w:color w:val="1F497D" w:themeColor="text2"/>
                                <w:sz w:val="22"/>
                                <w:szCs w:val="18"/>
                              </w:rPr>
                              <w:t>Asset impairments</w:t>
                            </w:r>
                          </w:p>
                          <w:p w14:paraId="4916AE03" w14:textId="77777777" w:rsidR="00D21FC5" w:rsidRDefault="00D21FC5" w:rsidP="00275D8A">
                            <w:pPr>
                              <w:pStyle w:val="ListParagraph"/>
                              <w:numPr>
                                <w:ilvl w:val="0"/>
                                <w:numId w:val="30"/>
                              </w:numPr>
                              <w:rPr>
                                <w:color w:val="1F497D" w:themeColor="text2"/>
                                <w:sz w:val="22"/>
                                <w:szCs w:val="18"/>
                              </w:rPr>
                            </w:pPr>
                            <w:r>
                              <w:rPr>
                                <w:color w:val="1F497D" w:themeColor="text2"/>
                                <w:sz w:val="22"/>
                                <w:szCs w:val="18"/>
                              </w:rPr>
                              <w:t>Credit losses</w:t>
                            </w:r>
                          </w:p>
                          <w:p w14:paraId="061E7C0A" w14:textId="2370A8E4" w:rsidR="00D21FC5" w:rsidRPr="00890FE6" w:rsidRDefault="00D21FC5" w:rsidP="00275D8A">
                            <w:pPr>
                              <w:pStyle w:val="ListParagraph"/>
                              <w:numPr>
                                <w:ilvl w:val="0"/>
                                <w:numId w:val="30"/>
                              </w:numPr>
                              <w:rPr>
                                <w:color w:val="1F497D" w:themeColor="text2"/>
                                <w:sz w:val="22"/>
                                <w:szCs w:val="18"/>
                              </w:rPr>
                            </w:pPr>
                            <w:r w:rsidRPr="00890FE6">
                              <w:rPr>
                                <w:color w:val="1F497D" w:themeColor="text2"/>
                                <w:sz w:val="22"/>
                                <w:szCs w:val="18"/>
                              </w:rPr>
                              <w:t xml:space="preserve">Loan </w:t>
                            </w:r>
                            <w:r w:rsidR="00E32E37">
                              <w:rPr>
                                <w:color w:val="1F497D" w:themeColor="text2"/>
                                <w:sz w:val="22"/>
                                <w:szCs w:val="18"/>
                              </w:rPr>
                              <w:t xml:space="preserve">loss </w:t>
                            </w:r>
                            <w:r w:rsidRPr="00890FE6">
                              <w:rPr>
                                <w:color w:val="1F497D" w:themeColor="text2"/>
                                <w:sz w:val="22"/>
                                <w:szCs w:val="18"/>
                              </w:rPr>
                              <w:t>and receivable provisioning</w:t>
                            </w:r>
                          </w:p>
                          <w:p w14:paraId="5A894208" w14:textId="602109D6" w:rsidR="00D21FC5" w:rsidRDefault="00D21FC5" w:rsidP="00275D8A">
                            <w:pPr>
                              <w:pStyle w:val="ListParagraph"/>
                              <w:numPr>
                                <w:ilvl w:val="0"/>
                                <w:numId w:val="30"/>
                              </w:numPr>
                              <w:rPr>
                                <w:color w:val="1F497D" w:themeColor="text2"/>
                                <w:sz w:val="22"/>
                                <w:szCs w:val="18"/>
                              </w:rPr>
                            </w:pPr>
                            <w:r>
                              <w:rPr>
                                <w:color w:val="1F497D" w:themeColor="text2"/>
                                <w:sz w:val="22"/>
                                <w:szCs w:val="18"/>
                              </w:rPr>
                              <w:t>Fair value changes</w:t>
                            </w:r>
                          </w:p>
                          <w:p w14:paraId="5EB701CC" w14:textId="77777777" w:rsidR="00D21FC5" w:rsidRDefault="00D21FC5" w:rsidP="00275D8A">
                            <w:pPr>
                              <w:pStyle w:val="ListParagraph"/>
                              <w:numPr>
                                <w:ilvl w:val="0"/>
                                <w:numId w:val="30"/>
                              </w:numPr>
                              <w:rPr>
                                <w:color w:val="1F497D" w:themeColor="text2"/>
                                <w:sz w:val="22"/>
                                <w:szCs w:val="18"/>
                              </w:rPr>
                            </w:pPr>
                            <w:r>
                              <w:rPr>
                                <w:color w:val="1F497D" w:themeColor="text2"/>
                                <w:sz w:val="22"/>
                                <w:szCs w:val="18"/>
                              </w:rPr>
                              <w:t>Increase or decrease in other expenses</w:t>
                            </w:r>
                          </w:p>
                          <w:p w14:paraId="2DCCE798" w14:textId="77777777" w:rsidR="00D21FC5" w:rsidRDefault="00D21FC5" w:rsidP="00275D8A">
                            <w:pPr>
                              <w:pStyle w:val="ListParagraph"/>
                              <w:numPr>
                                <w:ilvl w:val="0"/>
                                <w:numId w:val="30"/>
                              </w:numPr>
                              <w:rPr>
                                <w:color w:val="1F497D" w:themeColor="text2"/>
                                <w:sz w:val="22"/>
                                <w:szCs w:val="18"/>
                              </w:rPr>
                            </w:pPr>
                            <w:r>
                              <w:rPr>
                                <w:color w:val="1F497D" w:themeColor="text2"/>
                                <w:sz w:val="22"/>
                                <w:szCs w:val="18"/>
                              </w:rPr>
                              <w:t>Negative working capital</w:t>
                            </w:r>
                          </w:p>
                          <w:p w14:paraId="28DD8F0F" w14:textId="77777777" w:rsidR="00D21FC5" w:rsidRDefault="00D21FC5" w:rsidP="00275D8A">
                            <w:pPr>
                              <w:pStyle w:val="ListParagraph"/>
                              <w:numPr>
                                <w:ilvl w:val="0"/>
                                <w:numId w:val="30"/>
                              </w:numPr>
                              <w:rPr>
                                <w:color w:val="1F497D" w:themeColor="text2"/>
                                <w:sz w:val="22"/>
                                <w:szCs w:val="18"/>
                              </w:rPr>
                            </w:pPr>
                            <w:r>
                              <w:rPr>
                                <w:color w:val="1F497D" w:themeColor="text2"/>
                                <w:sz w:val="22"/>
                                <w:szCs w:val="18"/>
                              </w:rPr>
                              <w:t>Negative cash flow from operations</w:t>
                            </w:r>
                          </w:p>
                          <w:p w14:paraId="56C5E7F2" w14:textId="77777777" w:rsidR="00D21FC5" w:rsidRDefault="00D21FC5" w:rsidP="00275D8A">
                            <w:pPr>
                              <w:pStyle w:val="ListParagraph"/>
                              <w:numPr>
                                <w:ilvl w:val="0"/>
                                <w:numId w:val="30"/>
                              </w:numPr>
                              <w:rPr>
                                <w:color w:val="1F497D" w:themeColor="text2"/>
                                <w:sz w:val="22"/>
                                <w:szCs w:val="18"/>
                              </w:rPr>
                            </w:pPr>
                            <w:r>
                              <w:rPr>
                                <w:color w:val="1F497D" w:themeColor="text2"/>
                                <w:sz w:val="22"/>
                                <w:szCs w:val="18"/>
                              </w:rPr>
                              <w:t xml:space="preserve">Material uncertainties regarding going concern </w:t>
                            </w:r>
                          </w:p>
                          <w:p w14:paraId="01602348" w14:textId="77777777" w:rsidR="00D21FC5" w:rsidRDefault="00D21FC5" w:rsidP="00275D8A">
                            <w:pPr>
                              <w:pStyle w:val="ListParagraph"/>
                              <w:numPr>
                                <w:ilvl w:val="0"/>
                                <w:numId w:val="30"/>
                              </w:numPr>
                              <w:rPr>
                                <w:color w:val="1F497D" w:themeColor="text2"/>
                                <w:sz w:val="22"/>
                                <w:szCs w:val="18"/>
                              </w:rPr>
                            </w:pPr>
                            <w:r>
                              <w:rPr>
                                <w:color w:val="1F497D" w:themeColor="text2"/>
                                <w:sz w:val="22"/>
                                <w:szCs w:val="18"/>
                              </w:rPr>
                              <w:t xml:space="preserve">Measurement uncertainty </w:t>
                            </w:r>
                          </w:p>
                          <w:p w14:paraId="60363801" w14:textId="77777777" w:rsidR="00D21FC5" w:rsidRPr="00ED22AC" w:rsidRDefault="00D21FC5" w:rsidP="00A624A7">
                            <w:pPr>
                              <w:pStyle w:val="ListParagraph"/>
                              <w:rPr>
                                <w:color w:val="1F497D" w:themeColor="text2"/>
                                <w:sz w:val="22"/>
                                <w:szCs w:val="18"/>
                              </w:rPr>
                            </w:pPr>
                          </w:p>
                          <w:p w14:paraId="1B0F56B5" w14:textId="77777777" w:rsidR="00D21FC5" w:rsidRPr="00124061" w:rsidRDefault="00D21FC5" w:rsidP="00ED22AC">
                            <w:pPr>
                              <w:ind w:left="360"/>
                              <w:rPr>
                                <w:rFonts w:ascii="Arial" w:hAnsi="Arial" w:cs="Arial"/>
                                <w:color w:val="1F497D" w:themeColor="text2"/>
                                <w:sz w:val="20"/>
                                <w:szCs w:val="16"/>
                              </w:rPr>
                            </w:pPr>
                          </w:p>
                          <w:p w14:paraId="367E229D" w14:textId="77777777" w:rsidR="00D21FC5" w:rsidRPr="00EF5AC0" w:rsidRDefault="00D21FC5" w:rsidP="00ED22AC">
                            <w:pPr>
                              <w:rPr>
                                <w:rFonts w:ascii="Arial" w:hAnsi="Arial" w:cs="Arial"/>
                                <w:color w:val="1F497D" w:themeColor="text2"/>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66261F3" id="Rectangle 6" o:spid="_x0000_s1034" style="position:absolute;margin-left:240.6pt;margin-top:.4pt;width:214.8pt;height:184.2pt;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" fillcolor="#eeece1 [3214]" strokecolor="#243f60 [1604]" strokeweight="2pt">
                <v:textbox>
                  <w:txbxContent>
                    <w:p w14:paraId="427E56FB" w14:textId="77777777" w:rsidR="00D21FC5" w:rsidRPr="00C16780" w:rsidRDefault="00D21FC5" w:rsidP="00275D8A">
                      <w:pPr>
                        <w:pStyle w:val="ListParagraph"/>
                        <w:numPr>
                          <w:ilvl w:val="0"/>
                          <w:numId w:val="30"/>
                        </w:numPr>
                        <w:rPr>
                          <w:color w:val="1F497D" w:themeColor="text2"/>
                          <w:sz w:val="22"/>
                          <w:szCs w:val="18"/>
                        </w:rPr>
                      </w:pPr>
                      <w:r w:rsidRPr="00C16780">
                        <w:rPr>
                          <w:color w:val="1F497D" w:themeColor="text2"/>
                          <w:sz w:val="22"/>
                          <w:szCs w:val="18"/>
                        </w:rPr>
                        <w:t xml:space="preserve">Decrease or increase in </w:t>
                      </w:r>
                      <w:r>
                        <w:rPr>
                          <w:color w:val="1F497D" w:themeColor="text2"/>
                          <w:sz w:val="22"/>
                          <w:szCs w:val="18"/>
                        </w:rPr>
                        <w:t>revenues</w:t>
                      </w:r>
                    </w:p>
                    <w:p w14:paraId="03DBBDA5" w14:textId="77777777" w:rsidR="00D21FC5" w:rsidRDefault="00D21FC5" w:rsidP="00275D8A">
                      <w:pPr>
                        <w:pStyle w:val="ListParagraph"/>
                        <w:numPr>
                          <w:ilvl w:val="0"/>
                          <w:numId w:val="30"/>
                        </w:numPr>
                        <w:rPr>
                          <w:color w:val="1F497D" w:themeColor="text2"/>
                          <w:sz w:val="22"/>
                          <w:szCs w:val="18"/>
                        </w:rPr>
                      </w:pPr>
                      <w:r>
                        <w:rPr>
                          <w:color w:val="1F497D" w:themeColor="text2"/>
                          <w:sz w:val="22"/>
                          <w:szCs w:val="18"/>
                        </w:rPr>
                        <w:t>Restructuring charges</w:t>
                      </w:r>
                    </w:p>
                    <w:p w14:paraId="200709FB" w14:textId="77777777" w:rsidR="00D21FC5" w:rsidRDefault="00D21FC5" w:rsidP="00275D8A">
                      <w:pPr>
                        <w:pStyle w:val="ListParagraph"/>
                        <w:numPr>
                          <w:ilvl w:val="0"/>
                          <w:numId w:val="30"/>
                        </w:numPr>
                        <w:rPr>
                          <w:color w:val="1F497D" w:themeColor="text2"/>
                          <w:sz w:val="22"/>
                          <w:szCs w:val="18"/>
                        </w:rPr>
                      </w:pPr>
                      <w:r>
                        <w:rPr>
                          <w:color w:val="1F497D" w:themeColor="text2"/>
                          <w:sz w:val="22"/>
                          <w:szCs w:val="18"/>
                        </w:rPr>
                        <w:t>Asset impairments</w:t>
                      </w:r>
                    </w:p>
                    <w:p w14:paraId="4916AE03" w14:textId="77777777" w:rsidR="00D21FC5" w:rsidRDefault="00D21FC5" w:rsidP="00275D8A">
                      <w:pPr>
                        <w:pStyle w:val="ListParagraph"/>
                        <w:numPr>
                          <w:ilvl w:val="0"/>
                          <w:numId w:val="30"/>
                        </w:numPr>
                        <w:rPr>
                          <w:color w:val="1F497D" w:themeColor="text2"/>
                          <w:sz w:val="22"/>
                          <w:szCs w:val="18"/>
                        </w:rPr>
                      </w:pPr>
                      <w:r>
                        <w:rPr>
                          <w:color w:val="1F497D" w:themeColor="text2"/>
                          <w:sz w:val="22"/>
                          <w:szCs w:val="18"/>
                        </w:rPr>
                        <w:t>Credit losses</w:t>
                      </w:r>
                    </w:p>
                    <w:p w14:paraId="061E7C0A" w14:textId="2370A8E4" w:rsidR="00D21FC5" w:rsidRPr="00890FE6" w:rsidRDefault="00D21FC5" w:rsidP="00275D8A">
                      <w:pPr>
                        <w:pStyle w:val="ListParagraph"/>
                        <w:numPr>
                          <w:ilvl w:val="0"/>
                          <w:numId w:val="30"/>
                        </w:numPr>
                        <w:rPr>
                          <w:color w:val="1F497D" w:themeColor="text2"/>
                          <w:sz w:val="22"/>
                          <w:szCs w:val="18"/>
                        </w:rPr>
                      </w:pPr>
                      <w:r w:rsidRPr="00890FE6">
                        <w:rPr>
                          <w:color w:val="1F497D" w:themeColor="text2"/>
                          <w:sz w:val="22"/>
                          <w:szCs w:val="18"/>
                        </w:rPr>
                        <w:t xml:space="preserve">Loan </w:t>
                      </w:r>
                      <w:r w:rsidR="00E32E37">
                        <w:rPr>
                          <w:color w:val="1F497D" w:themeColor="text2"/>
                          <w:sz w:val="22"/>
                          <w:szCs w:val="18"/>
                        </w:rPr>
                        <w:t xml:space="preserve">loss </w:t>
                      </w:r>
                      <w:r w:rsidRPr="00890FE6">
                        <w:rPr>
                          <w:color w:val="1F497D" w:themeColor="text2"/>
                          <w:sz w:val="22"/>
                          <w:szCs w:val="18"/>
                        </w:rPr>
                        <w:t>and receivable provisioning</w:t>
                      </w:r>
                    </w:p>
                    <w:p w14:paraId="5A894208" w14:textId="602109D6" w:rsidR="00D21FC5" w:rsidRDefault="00D21FC5" w:rsidP="00275D8A">
                      <w:pPr>
                        <w:pStyle w:val="ListParagraph"/>
                        <w:numPr>
                          <w:ilvl w:val="0"/>
                          <w:numId w:val="30"/>
                        </w:numPr>
                        <w:rPr>
                          <w:color w:val="1F497D" w:themeColor="text2"/>
                          <w:sz w:val="22"/>
                          <w:szCs w:val="18"/>
                        </w:rPr>
                      </w:pPr>
                      <w:r>
                        <w:rPr>
                          <w:color w:val="1F497D" w:themeColor="text2"/>
                          <w:sz w:val="22"/>
                          <w:szCs w:val="18"/>
                        </w:rPr>
                        <w:t>Fair value changes</w:t>
                      </w:r>
                    </w:p>
                    <w:p w14:paraId="5EB701CC" w14:textId="77777777" w:rsidR="00D21FC5" w:rsidRDefault="00D21FC5" w:rsidP="00275D8A">
                      <w:pPr>
                        <w:pStyle w:val="ListParagraph"/>
                        <w:numPr>
                          <w:ilvl w:val="0"/>
                          <w:numId w:val="30"/>
                        </w:numPr>
                        <w:rPr>
                          <w:color w:val="1F497D" w:themeColor="text2"/>
                          <w:sz w:val="22"/>
                          <w:szCs w:val="18"/>
                        </w:rPr>
                      </w:pPr>
                      <w:r>
                        <w:rPr>
                          <w:color w:val="1F497D" w:themeColor="text2"/>
                          <w:sz w:val="22"/>
                          <w:szCs w:val="18"/>
                        </w:rPr>
                        <w:t>Increase or decrease in other expenses</w:t>
                      </w:r>
                    </w:p>
                    <w:p w14:paraId="2DCCE798" w14:textId="77777777" w:rsidR="00D21FC5" w:rsidRDefault="00D21FC5" w:rsidP="00275D8A">
                      <w:pPr>
                        <w:pStyle w:val="ListParagraph"/>
                        <w:numPr>
                          <w:ilvl w:val="0"/>
                          <w:numId w:val="30"/>
                        </w:numPr>
                        <w:rPr>
                          <w:color w:val="1F497D" w:themeColor="text2"/>
                          <w:sz w:val="22"/>
                          <w:szCs w:val="18"/>
                        </w:rPr>
                      </w:pPr>
                      <w:r>
                        <w:rPr>
                          <w:color w:val="1F497D" w:themeColor="text2"/>
                          <w:sz w:val="22"/>
                          <w:szCs w:val="18"/>
                        </w:rPr>
                        <w:t>Negative working capital</w:t>
                      </w:r>
                    </w:p>
                    <w:p w14:paraId="28DD8F0F" w14:textId="77777777" w:rsidR="00D21FC5" w:rsidRDefault="00D21FC5" w:rsidP="00275D8A">
                      <w:pPr>
                        <w:pStyle w:val="ListParagraph"/>
                        <w:numPr>
                          <w:ilvl w:val="0"/>
                          <w:numId w:val="30"/>
                        </w:numPr>
                        <w:rPr>
                          <w:color w:val="1F497D" w:themeColor="text2"/>
                          <w:sz w:val="22"/>
                          <w:szCs w:val="18"/>
                        </w:rPr>
                      </w:pPr>
                      <w:r>
                        <w:rPr>
                          <w:color w:val="1F497D" w:themeColor="text2"/>
                          <w:sz w:val="22"/>
                          <w:szCs w:val="18"/>
                        </w:rPr>
                        <w:t>Negative cash flow from operations</w:t>
                      </w:r>
                    </w:p>
                    <w:p w14:paraId="56C5E7F2" w14:textId="77777777" w:rsidR="00D21FC5" w:rsidRDefault="00D21FC5" w:rsidP="00275D8A">
                      <w:pPr>
                        <w:pStyle w:val="ListParagraph"/>
                        <w:numPr>
                          <w:ilvl w:val="0"/>
                          <w:numId w:val="30"/>
                        </w:numPr>
                        <w:rPr>
                          <w:color w:val="1F497D" w:themeColor="text2"/>
                          <w:sz w:val="22"/>
                          <w:szCs w:val="18"/>
                        </w:rPr>
                      </w:pPr>
                      <w:r>
                        <w:rPr>
                          <w:color w:val="1F497D" w:themeColor="text2"/>
                          <w:sz w:val="22"/>
                          <w:szCs w:val="18"/>
                        </w:rPr>
                        <w:t xml:space="preserve">Material uncertainties regarding going concern </w:t>
                      </w:r>
                    </w:p>
                    <w:p w14:paraId="01602348" w14:textId="77777777" w:rsidR="00D21FC5" w:rsidRDefault="00D21FC5" w:rsidP="00275D8A">
                      <w:pPr>
                        <w:pStyle w:val="ListParagraph"/>
                        <w:numPr>
                          <w:ilvl w:val="0"/>
                          <w:numId w:val="30"/>
                        </w:numPr>
                        <w:rPr>
                          <w:color w:val="1F497D" w:themeColor="text2"/>
                          <w:sz w:val="22"/>
                          <w:szCs w:val="18"/>
                        </w:rPr>
                      </w:pPr>
                      <w:r>
                        <w:rPr>
                          <w:color w:val="1F497D" w:themeColor="text2"/>
                          <w:sz w:val="22"/>
                          <w:szCs w:val="18"/>
                        </w:rPr>
                        <w:t xml:space="preserve">Measurement uncertainty </w:t>
                      </w:r>
                    </w:p>
                    <w:p w14:paraId="60363801" w14:textId="77777777" w:rsidR="00D21FC5" w:rsidRPr="00ED22AC" w:rsidRDefault="00D21FC5" w:rsidP="00A624A7">
                      <w:pPr>
                        <w:pStyle w:val="ListParagraph"/>
                        <w:rPr>
                          <w:color w:val="1F497D" w:themeColor="text2"/>
                          <w:sz w:val="22"/>
                          <w:szCs w:val="18"/>
                        </w:rPr>
                      </w:pPr>
                    </w:p>
                    <w:p w14:paraId="1B0F56B5" w14:textId="77777777" w:rsidR="00D21FC5" w:rsidRPr="00124061" w:rsidRDefault="00D21FC5" w:rsidP="00ED22AC">
                      <w:pPr>
                        <w:ind w:left="360"/>
                        <w:rPr>
                          <w:rFonts w:ascii="Arial" w:hAnsi="Arial" w:cs="Arial"/>
                          <w:color w:val="1F497D" w:themeColor="text2"/>
                          <w:sz w:val="20"/>
                          <w:szCs w:val="16"/>
                        </w:rPr>
                      </w:pPr>
                    </w:p>
                    <w:p w14:paraId="367E229D" w14:textId="77777777" w:rsidR="00D21FC5" w:rsidRPr="00EF5AC0" w:rsidRDefault="00D21FC5" w:rsidP="00ED22AC">
                      <w:pPr>
                        <w:rPr>
                          <w:rFonts w:ascii="Arial" w:hAnsi="Arial" w:cs="Arial"/>
                          <w:color w:val="1F497D" w:themeColor="text2"/>
                          <w:sz w:val="20"/>
                          <w:szCs w:val="16"/>
                        </w:rPr>
                      </w:pPr>
                    </w:p>
                  </w:txbxContent>
                </v:textbox>
                <w10:wrap anchorx="margin"/>
              </v:rect>
            </w:pict>
          </mc:Fallback>
        </mc:AlternateContent>
      </w:r>
      <w:r w:rsidR="00ED22AC" w:rsidRPr="00947F30">
        <w:rPr>
          <w:noProof/>
          <w:lang w:val="en-US"/>
        </w:rPr>
        <mc:AlternateContent>
          <mc:Choice Requires="wps">
            <w:drawing>
              <wp:anchor distT="0" distB="0" distL="114300" distR="114300" simplePos="0" relativeHeight="251658247" behindDoc="0" locked="0" layoutInCell="1" allowOverlap="1" wp14:anchorId="4CB132B0" wp14:editId="44F25CCF">
                <wp:simplePos x="0" y="0"/>
                <wp:positionH relativeFrom="margin">
                  <wp:posOffset>68580</wp:posOffset>
                </wp:positionH>
                <wp:positionV relativeFrom="paragraph">
                  <wp:posOffset>9525</wp:posOffset>
                </wp:positionV>
                <wp:extent cx="2727960" cy="2324100"/>
                <wp:effectExtent l="0" t="0" r="15240" b="19050"/>
                <wp:wrapNone/>
                <wp:docPr id="20" name="Rectangle 20"/>
                <wp:cNvGraphicFramePr/>
                <a:graphic xmlns:a="http://schemas.openxmlformats.org/drawingml/2006/main">
                  <a:graphicData uri="http://schemas.microsoft.com/office/word/2010/wordprocessingShape">
                    <wps:wsp>
                      <wps:cNvSpPr/>
                      <wps:spPr>
                        <a:xfrm>
                          <a:off x="0" y="0"/>
                          <a:ext cx="2727960" cy="23241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5D99D5" w14:textId="77777777" w:rsidR="00D21FC5" w:rsidRDefault="00D21FC5" w:rsidP="00275D8A">
                            <w:pPr>
                              <w:pStyle w:val="ListParagraph"/>
                              <w:numPr>
                                <w:ilvl w:val="0"/>
                                <w:numId w:val="30"/>
                              </w:numPr>
                              <w:rPr>
                                <w:color w:val="1F497D" w:themeColor="text2"/>
                                <w:sz w:val="22"/>
                                <w:szCs w:val="18"/>
                              </w:rPr>
                            </w:pPr>
                            <w:r w:rsidRPr="00C16780">
                              <w:rPr>
                                <w:color w:val="1F497D" w:themeColor="text2"/>
                                <w:sz w:val="22"/>
                                <w:szCs w:val="18"/>
                              </w:rPr>
                              <w:t>Decrease or increase in demand for products or services</w:t>
                            </w:r>
                          </w:p>
                          <w:p w14:paraId="58E358CB" w14:textId="71FAC64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Modification of operations due to workplace health and safety</w:t>
                            </w:r>
                            <w:r w:rsidR="001855E4">
                              <w:rPr>
                                <w:color w:val="1F497D" w:themeColor="text2"/>
                                <w:sz w:val="22"/>
                                <w:szCs w:val="18"/>
                              </w:rPr>
                              <w:t xml:space="preserve"> requirements</w:t>
                            </w:r>
                          </w:p>
                          <w:p w14:paraId="24D24A7A" w14:textId="3EE28D00" w:rsidR="00D21FC5" w:rsidRPr="00C16780" w:rsidRDefault="00D21FC5" w:rsidP="00275D8A">
                            <w:pPr>
                              <w:pStyle w:val="ListParagraph"/>
                              <w:numPr>
                                <w:ilvl w:val="0"/>
                                <w:numId w:val="30"/>
                              </w:numPr>
                              <w:rPr>
                                <w:color w:val="1F497D" w:themeColor="text2"/>
                                <w:sz w:val="22"/>
                                <w:szCs w:val="18"/>
                              </w:rPr>
                            </w:pPr>
                            <w:r w:rsidRPr="00C16780">
                              <w:rPr>
                                <w:color w:val="1F497D" w:themeColor="text2"/>
                                <w:sz w:val="22"/>
                                <w:szCs w:val="18"/>
                              </w:rPr>
                              <w:t>Constraints on human resources</w:t>
                            </w:r>
                          </w:p>
                          <w:p w14:paraId="327FDEEC" w14:textId="77777777" w:rsidR="00D21FC5" w:rsidRPr="00C16780" w:rsidRDefault="00D21FC5" w:rsidP="00275D8A">
                            <w:pPr>
                              <w:pStyle w:val="ListParagraph"/>
                              <w:numPr>
                                <w:ilvl w:val="0"/>
                                <w:numId w:val="30"/>
                              </w:numPr>
                              <w:rPr>
                                <w:color w:val="1F497D" w:themeColor="text2"/>
                                <w:sz w:val="22"/>
                                <w:szCs w:val="18"/>
                              </w:rPr>
                            </w:pPr>
                            <w:r w:rsidRPr="00C16780">
                              <w:rPr>
                                <w:color w:val="1F497D" w:themeColor="text2"/>
                                <w:sz w:val="22"/>
                                <w:szCs w:val="18"/>
                              </w:rPr>
                              <w:t>Operational closures</w:t>
                            </w:r>
                          </w:p>
                          <w:p w14:paraId="6E97CAD7" w14:textId="77777777" w:rsidR="00D21FC5" w:rsidRPr="00C16780" w:rsidRDefault="00D21FC5" w:rsidP="00275D8A">
                            <w:pPr>
                              <w:pStyle w:val="ListParagraph"/>
                              <w:numPr>
                                <w:ilvl w:val="0"/>
                                <w:numId w:val="30"/>
                              </w:numPr>
                              <w:rPr>
                                <w:color w:val="1F497D" w:themeColor="text2"/>
                                <w:sz w:val="22"/>
                                <w:szCs w:val="18"/>
                              </w:rPr>
                            </w:pPr>
                            <w:r w:rsidRPr="00C16780">
                              <w:rPr>
                                <w:color w:val="1F497D" w:themeColor="text2"/>
                                <w:sz w:val="22"/>
                                <w:szCs w:val="18"/>
                              </w:rPr>
                              <w:t xml:space="preserve">Supply or distribution </w:t>
                            </w:r>
                            <w:r>
                              <w:rPr>
                                <w:color w:val="1F497D" w:themeColor="text2"/>
                                <w:sz w:val="22"/>
                                <w:szCs w:val="18"/>
                              </w:rPr>
                              <w:t xml:space="preserve">channel </w:t>
                            </w:r>
                            <w:r w:rsidRPr="00C16780">
                              <w:rPr>
                                <w:color w:val="1F497D" w:themeColor="text2"/>
                                <w:sz w:val="22"/>
                                <w:szCs w:val="18"/>
                              </w:rPr>
                              <w:t>disruptions</w:t>
                            </w:r>
                          </w:p>
                          <w:p w14:paraId="504D8268" w14:textId="77777777" w:rsidR="00D21FC5" w:rsidRPr="00C16780" w:rsidRDefault="00D21FC5" w:rsidP="00275D8A">
                            <w:pPr>
                              <w:pStyle w:val="ListParagraph"/>
                              <w:numPr>
                                <w:ilvl w:val="0"/>
                                <w:numId w:val="30"/>
                              </w:numPr>
                              <w:rPr>
                                <w:color w:val="1F497D" w:themeColor="text2"/>
                                <w:sz w:val="22"/>
                                <w:szCs w:val="18"/>
                              </w:rPr>
                            </w:pPr>
                            <w:r w:rsidRPr="00C16780">
                              <w:rPr>
                                <w:color w:val="1F497D" w:themeColor="text2"/>
                                <w:sz w:val="22"/>
                                <w:szCs w:val="18"/>
                              </w:rPr>
                              <w:t xml:space="preserve">Change in prices </w:t>
                            </w:r>
                          </w:p>
                          <w:p w14:paraId="4890A3A0" w14:textId="77777777" w:rsidR="00D21FC5" w:rsidRPr="00C16780" w:rsidRDefault="00D21FC5" w:rsidP="00275D8A">
                            <w:pPr>
                              <w:pStyle w:val="ListParagraph"/>
                              <w:numPr>
                                <w:ilvl w:val="0"/>
                                <w:numId w:val="30"/>
                              </w:numPr>
                              <w:rPr>
                                <w:color w:val="1F497D" w:themeColor="text2"/>
                                <w:sz w:val="22"/>
                                <w:szCs w:val="18"/>
                              </w:rPr>
                            </w:pPr>
                            <w:r w:rsidRPr="00C16780">
                              <w:rPr>
                                <w:color w:val="1F497D" w:themeColor="text2"/>
                                <w:sz w:val="22"/>
                                <w:szCs w:val="18"/>
                              </w:rPr>
                              <w:t>Altered terms with customers/lessees/borrowers</w:t>
                            </w:r>
                          </w:p>
                          <w:p w14:paraId="6FE214C7" w14:textId="77777777" w:rsidR="00D21FC5" w:rsidRDefault="00D21FC5" w:rsidP="00275D8A">
                            <w:pPr>
                              <w:pStyle w:val="ListParagraph"/>
                              <w:numPr>
                                <w:ilvl w:val="0"/>
                                <w:numId w:val="30"/>
                              </w:numPr>
                              <w:rPr>
                                <w:color w:val="1F497D" w:themeColor="text2"/>
                                <w:sz w:val="22"/>
                                <w:szCs w:val="18"/>
                              </w:rPr>
                            </w:pPr>
                            <w:r>
                              <w:rPr>
                                <w:color w:val="1F497D" w:themeColor="text2"/>
                                <w:sz w:val="22"/>
                                <w:szCs w:val="18"/>
                              </w:rPr>
                              <w:t>Inability to continue</w:t>
                            </w:r>
                            <w:r w:rsidRPr="00C16780">
                              <w:rPr>
                                <w:color w:val="1F497D" w:themeColor="text2"/>
                                <w:sz w:val="22"/>
                                <w:szCs w:val="18"/>
                              </w:rPr>
                              <w:t xml:space="preserve"> capital projects</w:t>
                            </w:r>
                          </w:p>
                          <w:p w14:paraId="4F440676" w14:textId="77777777" w:rsidR="00D21FC5" w:rsidRPr="00C16780" w:rsidRDefault="00D21FC5" w:rsidP="00ED22AC">
                            <w:pPr>
                              <w:pStyle w:val="ListParagraph"/>
                              <w:rPr>
                                <w:color w:val="1F497D" w:themeColor="text2"/>
                                <w:sz w:val="22"/>
                                <w:szCs w:val="18"/>
                              </w:rPr>
                            </w:pPr>
                          </w:p>
                          <w:p w14:paraId="7FB8B38E" w14:textId="77777777" w:rsidR="00D21FC5" w:rsidRPr="00C16780" w:rsidRDefault="00D21FC5" w:rsidP="00ED22AC">
                            <w:pPr>
                              <w:pStyle w:val="ListParagraph"/>
                              <w:rPr>
                                <w:color w:val="1F497D" w:themeColor="text2"/>
                                <w:sz w:val="22"/>
                                <w:szCs w:val="18"/>
                              </w:rPr>
                            </w:pPr>
                          </w:p>
                          <w:p w14:paraId="6BCD54DB" w14:textId="77777777" w:rsidR="00D21FC5" w:rsidRPr="00124061" w:rsidRDefault="00D21FC5" w:rsidP="00124061">
                            <w:pPr>
                              <w:ind w:left="360"/>
                              <w:rPr>
                                <w:rFonts w:ascii="Arial" w:hAnsi="Arial" w:cs="Arial"/>
                                <w:color w:val="1F497D" w:themeColor="text2"/>
                                <w:sz w:val="20"/>
                                <w:szCs w:val="16"/>
                              </w:rPr>
                            </w:pPr>
                          </w:p>
                          <w:p w14:paraId="3F3D4294" w14:textId="77777777" w:rsidR="00D21FC5" w:rsidRPr="00EF5AC0" w:rsidRDefault="00D21FC5" w:rsidP="00C665E4">
                            <w:pPr>
                              <w:rPr>
                                <w:rFonts w:ascii="Arial" w:hAnsi="Arial" w:cs="Arial"/>
                                <w:color w:val="1F497D" w:themeColor="text2"/>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B132B0" id="Rectangle 20" o:spid="_x0000_s1035" style="position:absolute;margin-left:5.4pt;margin-top:.75pt;width:214.8pt;height:183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" fillcolor="#eeece1 [3214]" strokecolor="#243f60 [1604]" strokeweight="2pt">
                <v:textbox>
                  <w:txbxContent>
                    <w:p w14:paraId="235D99D5" w14:textId="77777777" w:rsidR="00D21FC5" w:rsidRDefault="00D21FC5" w:rsidP="00275D8A">
                      <w:pPr>
                        <w:pStyle w:val="ListParagraph"/>
                        <w:numPr>
                          <w:ilvl w:val="0"/>
                          <w:numId w:val="30"/>
                        </w:numPr>
                        <w:rPr>
                          <w:color w:val="1F497D" w:themeColor="text2"/>
                          <w:sz w:val="22"/>
                          <w:szCs w:val="18"/>
                        </w:rPr>
                      </w:pPr>
                      <w:r w:rsidRPr="00C16780">
                        <w:rPr>
                          <w:color w:val="1F497D" w:themeColor="text2"/>
                          <w:sz w:val="22"/>
                          <w:szCs w:val="18"/>
                        </w:rPr>
                        <w:t>Decrease or increase in demand for products or services</w:t>
                      </w:r>
                    </w:p>
                    <w:p w14:paraId="58E358CB" w14:textId="71FAC64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Modification of operations due to workplace health and safety</w:t>
                      </w:r>
                      <w:r w:rsidR="001855E4">
                        <w:rPr>
                          <w:color w:val="1F497D" w:themeColor="text2"/>
                          <w:sz w:val="22"/>
                          <w:szCs w:val="18"/>
                        </w:rPr>
                        <w:t xml:space="preserve"> requirements</w:t>
                      </w:r>
                    </w:p>
                    <w:p w14:paraId="24D24A7A" w14:textId="3EE28D00" w:rsidR="00D21FC5" w:rsidRPr="00C16780" w:rsidRDefault="00D21FC5" w:rsidP="00275D8A">
                      <w:pPr>
                        <w:pStyle w:val="ListParagraph"/>
                        <w:numPr>
                          <w:ilvl w:val="0"/>
                          <w:numId w:val="30"/>
                        </w:numPr>
                        <w:rPr>
                          <w:color w:val="1F497D" w:themeColor="text2"/>
                          <w:sz w:val="22"/>
                          <w:szCs w:val="18"/>
                        </w:rPr>
                      </w:pPr>
                      <w:r w:rsidRPr="00C16780">
                        <w:rPr>
                          <w:color w:val="1F497D" w:themeColor="text2"/>
                          <w:sz w:val="22"/>
                          <w:szCs w:val="18"/>
                        </w:rPr>
                        <w:t>Constraints on human resources</w:t>
                      </w:r>
                    </w:p>
                    <w:p w14:paraId="327FDEEC" w14:textId="77777777" w:rsidR="00D21FC5" w:rsidRPr="00C16780" w:rsidRDefault="00D21FC5" w:rsidP="00275D8A">
                      <w:pPr>
                        <w:pStyle w:val="ListParagraph"/>
                        <w:numPr>
                          <w:ilvl w:val="0"/>
                          <w:numId w:val="30"/>
                        </w:numPr>
                        <w:rPr>
                          <w:color w:val="1F497D" w:themeColor="text2"/>
                          <w:sz w:val="22"/>
                          <w:szCs w:val="18"/>
                        </w:rPr>
                      </w:pPr>
                      <w:r w:rsidRPr="00C16780">
                        <w:rPr>
                          <w:color w:val="1F497D" w:themeColor="text2"/>
                          <w:sz w:val="22"/>
                          <w:szCs w:val="18"/>
                        </w:rPr>
                        <w:t>Operational closures</w:t>
                      </w:r>
                    </w:p>
                    <w:p w14:paraId="6E97CAD7" w14:textId="77777777" w:rsidR="00D21FC5" w:rsidRPr="00C16780" w:rsidRDefault="00D21FC5" w:rsidP="00275D8A">
                      <w:pPr>
                        <w:pStyle w:val="ListParagraph"/>
                        <w:numPr>
                          <w:ilvl w:val="0"/>
                          <w:numId w:val="30"/>
                        </w:numPr>
                        <w:rPr>
                          <w:color w:val="1F497D" w:themeColor="text2"/>
                          <w:sz w:val="22"/>
                          <w:szCs w:val="18"/>
                        </w:rPr>
                      </w:pPr>
                      <w:r w:rsidRPr="00C16780">
                        <w:rPr>
                          <w:color w:val="1F497D" w:themeColor="text2"/>
                          <w:sz w:val="22"/>
                          <w:szCs w:val="18"/>
                        </w:rPr>
                        <w:t xml:space="preserve">Supply or distribution </w:t>
                      </w:r>
                      <w:r>
                        <w:rPr>
                          <w:color w:val="1F497D" w:themeColor="text2"/>
                          <w:sz w:val="22"/>
                          <w:szCs w:val="18"/>
                        </w:rPr>
                        <w:t xml:space="preserve">channel </w:t>
                      </w:r>
                      <w:r w:rsidRPr="00C16780">
                        <w:rPr>
                          <w:color w:val="1F497D" w:themeColor="text2"/>
                          <w:sz w:val="22"/>
                          <w:szCs w:val="18"/>
                        </w:rPr>
                        <w:t>disruptions</w:t>
                      </w:r>
                    </w:p>
                    <w:p w14:paraId="504D8268" w14:textId="77777777" w:rsidR="00D21FC5" w:rsidRPr="00C16780" w:rsidRDefault="00D21FC5" w:rsidP="00275D8A">
                      <w:pPr>
                        <w:pStyle w:val="ListParagraph"/>
                        <w:numPr>
                          <w:ilvl w:val="0"/>
                          <w:numId w:val="30"/>
                        </w:numPr>
                        <w:rPr>
                          <w:color w:val="1F497D" w:themeColor="text2"/>
                          <w:sz w:val="22"/>
                          <w:szCs w:val="18"/>
                        </w:rPr>
                      </w:pPr>
                      <w:r w:rsidRPr="00C16780">
                        <w:rPr>
                          <w:color w:val="1F497D" w:themeColor="text2"/>
                          <w:sz w:val="22"/>
                          <w:szCs w:val="18"/>
                        </w:rPr>
                        <w:t xml:space="preserve">Change in prices </w:t>
                      </w:r>
                    </w:p>
                    <w:p w14:paraId="4890A3A0" w14:textId="77777777" w:rsidR="00D21FC5" w:rsidRPr="00C16780" w:rsidRDefault="00D21FC5" w:rsidP="00275D8A">
                      <w:pPr>
                        <w:pStyle w:val="ListParagraph"/>
                        <w:numPr>
                          <w:ilvl w:val="0"/>
                          <w:numId w:val="30"/>
                        </w:numPr>
                        <w:rPr>
                          <w:color w:val="1F497D" w:themeColor="text2"/>
                          <w:sz w:val="22"/>
                          <w:szCs w:val="18"/>
                        </w:rPr>
                      </w:pPr>
                      <w:r w:rsidRPr="00C16780">
                        <w:rPr>
                          <w:color w:val="1F497D" w:themeColor="text2"/>
                          <w:sz w:val="22"/>
                          <w:szCs w:val="18"/>
                        </w:rPr>
                        <w:t>Altered terms with customers/lessees/borrowers</w:t>
                      </w:r>
                    </w:p>
                    <w:p w14:paraId="6FE214C7" w14:textId="77777777" w:rsidR="00D21FC5" w:rsidRDefault="00D21FC5" w:rsidP="00275D8A">
                      <w:pPr>
                        <w:pStyle w:val="ListParagraph"/>
                        <w:numPr>
                          <w:ilvl w:val="0"/>
                          <w:numId w:val="30"/>
                        </w:numPr>
                        <w:rPr>
                          <w:color w:val="1F497D" w:themeColor="text2"/>
                          <w:sz w:val="22"/>
                          <w:szCs w:val="18"/>
                        </w:rPr>
                      </w:pPr>
                      <w:r>
                        <w:rPr>
                          <w:color w:val="1F497D" w:themeColor="text2"/>
                          <w:sz w:val="22"/>
                          <w:szCs w:val="18"/>
                        </w:rPr>
                        <w:t>Inability to continue</w:t>
                      </w:r>
                      <w:r w:rsidRPr="00C16780">
                        <w:rPr>
                          <w:color w:val="1F497D" w:themeColor="text2"/>
                          <w:sz w:val="22"/>
                          <w:szCs w:val="18"/>
                        </w:rPr>
                        <w:t xml:space="preserve"> capital projects</w:t>
                      </w:r>
                    </w:p>
                    <w:p w14:paraId="4F440676" w14:textId="77777777" w:rsidR="00D21FC5" w:rsidRPr="00C16780" w:rsidRDefault="00D21FC5" w:rsidP="00ED22AC">
                      <w:pPr>
                        <w:pStyle w:val="ListParagraph"/>
                        <w:rPr>
                          <w:color w:val="1F497D" w:themeColor="text2"/>
                          <w:sz w:val="22"/>
                          <w:szCs w:val="18"/>
                        </w:rPr>
                      </w:pPr>
                    </w:p>
                    <w:p w14:paraId="7FB8B38E" w14:textId="77777777" w:rsidR="00D21FC5" w:rsidRPr="00C16780" w:rsidRDefault="00D21FC5" w:rsidP="00ED22AC">
                      <w:pPr>
                        <w:pStyle w:val="ListParagraph"/>
                        <w:rPr>
                          <w:color w:val="1F497D" w:themeColor="text2"/>
                          <w:sz w:val="22"/>
                          <w:szCs w:val="18"/>
                        </w:rPr>
                      </w:pPr>
                    </w:p>
                    <w:p w14:paraId="6BCD54DB" w14:textId="77777777" w:rsidR="00D21FC5" w:rsidRPr="00124061" w:rsidRDefault="00D21FC5" w:rsidP="00124061">
                      <w:pPr>
                        <w:ind w:left="360"/>
                        <w:rPr>
                          <w:rFonts w:ascii="Arial" w:hAnsi="Arial" w:cs="Arial"/>
                          <w:color w:val="1F497D" w:themeColor="text2"/>
                          <w:sz w:val="20"/>
                          <w:szCs w:val="16"/>
                        </w:rPr>
                      </w:pPr>
                    </w:p>
                    <w:p w14:paraId="3F3D4294" w14:textId="77777777" w:rsidR="00D21FC5" w:rsidRPr="00EF5AC0" w:rsidRDefault="00D21FC5" w:rsidP="00C665E4">
                      <w:pPr>
                        <w:rPr>
                          <w:rFonts w:ascii="Arial" w:hAnsi="Arial" w:cs="Arial"/>
                          <w:color w:val="1F497D" w:themeColor="text2"/>
                          <w:sz w:val="20"/>
                          <w:szCs w:val="16"/>
                        </w:rPr>
                      </w:pPr>
                    </w:p>
                  </w:txbxContent>
                </v:textbox>
                <w10:wrap anchorx="margin"/>
              </v:rect>
            </w:pict>
          </mc:Fallback>
        </mc:AlternateContent>
      </w:r>
    </w:p>
    <w:p w14:paraId="70E59899" w14:textId="77777777" w:rsidR="00C665E4" w:rsidRPr="00947F30" w:rsidRDefault="00C665E4" w:rsidP="00C665E4"/>
    <w:p w14:paraId="331C1C0B" w14:textId="77777777" w:rsidR="00C665E4" w:rsidRPr="00947F30" w:rsidRDefault="00C665E4" w:rsidP="00C665E4"/>
    <w:p w14:paraId="586CB294" w14:textId="77777777" w:rsidR="00C665E4" w:rsidRPr="00947F30" w:rsidRDefault="00C665E4" w:rsidP="00C665E4"/>
    <w:p w14:paraId="5D0BB6C6" w14:textId="77777777" w:rsidR="00C665E4" w:rsidRPr="00947F30" w:rsidRDefault="00C665E4" w:rsidP="00C665E4"/>
    <w:p w14:paraId="256FB00F" w14:textId="77777777" w:rsidR="00C665E4" w:rsidRPr="00947F30" w:rsidRDefault="00C665E4" w:rsidP="00C665E4"/>
    <w:p w14:paraId="48C1F907" w14:textId="77777777" w:rsidR="00C665E4" w:rsidRPr="00947F30" w:rsidRDefault="00C665E4" w:rsidP="00C665E4"/>
    <w:p w14:paraId="547B699E" w14:textId="77777777" w:rsidR="00C665E4" w:rsidRPr="00947F30" w:rsidRDefault="00C665E4" w:rsidP="00C665E4"/>
    <w:p w14:paraId="1D8FB7B4" w14:textId="77777777" w:rsidR="00C665E4" w:rsidRPr="00947F30" w:rsidRDefault="00C665E4" w:rsidP="00C665E4"/>
    <w:p w14:paraId="2D873E0C" w14:textId="77777777" w:rsidR="00B10A49" w:rsidRPr="00B10A49" w:rsidRDefault="00B10A49" w:rsidP="00B10A49"/>
    <w:p w14:paraId="38641B0A" w14:textId="77777777" w:rsidR="00ED22AC" w:rsidRDefault="00ED22AC" w:rsidP="00C665E4">
      <w:pPr>
        <w:rPr>
          <w:sz w:val="22"/>
          <w:szCs w:val="22"/>
        </w:rPr>
      </w:pPr>
    </w:p>
    <w:p w14:paraId="736E2FD0" w14:textId="77777777" w:rsidR="00ED22AC" w:rsidRDefault="00ED22AC" w:rsidP="00C665E4">
      <w:pPr>
        <w:rPr>
          <w:sz w:val="22"/>
          <w:szCs w:val="22"/>
        </w:rPr>
      </w:pPr>
    </w:p>
    <w:p w14:paraId="652D2EF4" w14:textId="77777777" w:rsidR="00ED22AC" w:rsidRDefault="00ED22AC" w:rsidP="00C665E4">
      <w:pPr>
        <w:rPr>
          <w:sz w:val="22"/>
          <w:szCs w:val="22"/>
        </w:rPr>
      </w:pPr>
    </w:p>
    <w:p w14:paraId="116F322A" w14:textId="77777777" w:rsidR="00ED22AC" w:rsidRDefault="00ED22AC" w:rsidP="00C665E4">
      <w:pPr>
        <w:rPr>
          <w:sz w:val="22"/>
          <w:szCs w:val="22"/>
        </w:rPr>
      </w:pPr>
    </w:p>
    <w:p w14:paraId="71E441D5" w14:textId="77777777" w:rsidR="00ED22AC" w:rsidRDefault="00ED22AC" w:rsidP="00C665E4">
      <w:pPr>
        <w:rPr>
          <w:sz w:val="22"/>
          <w:szCs w:val="22"/>
        </w:rPr>
      </w:pPr>
    </w:p>
    <w:p w14:paraId="5CBE7AA5" w14:textId="77777777" w:rsidR="00C665E4" w:rsidRDefault="000D3AFE" w:rsidP="00C665E4">
      <w:pPr>
        <w:rPr>
          <w:sz w:val="22"/>
          <w:szCs w:val="22"/>
        </w:rPr>
      </w:pPr>
      <w:r>
        <w:rPr>
          <w:sz w:val="22"/>
          <w:szCs w:val="22"/>
        </w:rPr>
        <w:t>Issuers adjusted their operations in numerous ways to</w:t>
      </w:r>
      <w:r w:rsidR="00864C75">
        <w:rPr>
          <w:sz w:val="22"/>
          <w:szCs w:val="22"/>
        </w:rPr>
        <w:t xml:space="preserve"> manage the impact of COVID-19 on their operations and liquidity.</w:t>
      </w:r>
      <w:r w:rsidR="00617F99">
        <w:rPr>
          <w:sz w:val="22"/>
          <w:szCs w:val="22"/>
        </w:rPr>
        <w:t xml:space="preserve"> </w:t>
      </w:r>
      <w:r w:rsidR="0047703F">
        <w:rPr>
          <w:sz w:val="22"/>
          <w:szCs w:val="22"/>
        </w:rPr>
        <w:t>Various</w:t>
      </w:r>
      <w:r w:rsidR="00714031">
        <w:rPr>
          <w:sz w:val="22"/>
          <w:szCs w:val="22"/>
        </w:rPr>
        <w:t xml:space="preserve"> </w:t>
      </w:r>
      <w:r w:rsidR="00864C75">
        <w:rPr>
          <w:sz w:val="22"/>
          <w:szCs w:val="22"/>
        </w:rPr>
        <w:t>measures/operational responses</w:t>
      </w:r>
      <w:r w:rsidR="00714031">
        <w:rPr>
          <w:sz w:val="22"/>
          <w:szCs w:val="22"/>
        </w:rPr>
        <w:t xml:space="preserve"> </w:t>
      </w:r>
      <w:r w:rsidR="00C665E4" w:rsidRPr="00947F30">
        <w:rPr>
          <w:sz w:val="22"/>
          <w:szCs w:val="22"/>
        </w:rPr>
        <w:t>disclosed by issuers included:</w:t>
      </w:r>
    </w:p>
    <w:p w14:paraId="1273E5EF" w14:textId="77777777" w:rsidR="00AC7AD5" w:rsidRDefault="00AC7AD5" w:rsidP="00C665E4">
      <w:pPr>
        <w:rPr>
          <w:sz w:val="22"/>
          <w:szCs w:val="22"/>
        </w:rPr>
      </w:pPr>
    </w:p>
    <w:p w14:paraId="0348BB13" w14:textId="77777777" w:rsidR="00AC7AD5" w:rsidRDefault="00AC7AD5" w:rsidP="00C665E4">
      <w:pPr>
        <w:rPr>
          <w:sz w:val="22"/>
          <w:szCs w:val="22"/>
        </w:rPr>
      </w:pPr>
      <w:r w:rsidRPr="00947F30">
        <w:rPr>
          <w:noProof/>
          <w:lang w:val="en-US"/>
        </w:rPr>
        <mc:AlternateContent>
          <mc:Choice Requires="wps">
            <w:drawing>
              <wp:anchor distT="0" distB="0" distL="114300" distR="114300" simplePos="0" relativeHeight="251660300" behindDoc="0" locked="0" layoutInCell="1" allowOverlap="1" wp14:anchorId="20DF46FF" wp14:editId="30B3574A">
                <wp:simplePos x="0" y="0"/>
                <wp:positionH relativeFrom="margin">
                  <wp:posOffset>1146810</wp:posOffset>
                </wp:positionH>
                <wp:positionV relativeFrom="paragraph">
                  <wp:posOffset>95885</wp:posOffset>
                </wp:positionV>
                <wp:extent cx="4762500" cy="26136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4762500" cy="261366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63D5D7"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Government assistance programs</w:t>
                            </w:r>
                          </w:p>
                          <w:p w14:paraId="730F7663"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 xml:space="preserve">Change in </w:t>
                            </w:r>
                            <w:r>
                              <w:rPr>
                                <w:color w:val="1F497D" w:themeColor="text2"/>
                                <w:sz w:val="22"/>
                                <w:szCs w:val="18"/>
                              </w:rPr>
                              <w:t xml:space="preserve">product or service </w:t>
                            </w:r>
                            <w:r w:rsidRPr="00A8556D">
                              <w:rPr>
                                <w:color w:val="1F497D" w:themeColor="text2"/>
                                <w:sz w:val="22"/>
                                <w:szCs w:val="18"/>
                              </w:rPr>
                              <w:t>mix</w:t>
                            </w:r>
                          </w:p>
                          <w:p w14:paraId="333DB9A3"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Reduction in discretionary expenses</w:t>
                            </w:r>
                          </w:p>
                          <w:p w14:paraId="62077DDA" w14:textId="77777777" w:rsidR="00D21FC5" w:rsidRPr="00A8556D" w:rsidRDefault="00D21FC5" w:rsidP="00275D8A">
                            <w:pPr>
                              <w:pStyle w:val="ListParagraph"/>
                              <w:numPr>
                                <w:ilvl w:val="0"/>
                                <w:numId w:val="30"/>
                              </w:numPr>
                              <w:rPr>
                                <w:color w:val="1F497D" w:themeColor="text2"/>
                                <w:sz w:val="22"/>
                                <w:szCs w:val="18"/>
                              </w:rPr>
                            </w:pPr>
                            <w:r>
                              <w:rPr>
                                <w:color w:val="1F497D" w:themeColor="text2"/>
                                <w:sz w:val="22"/>
                                <w:szCs w:val="18"/>
                              </w:rPr>
                              <w:t>Change in budget or d</w:t>
                            </w:r>
                            <w:r w:rsidRPr="00A8556D">
                              <w:rPr>
                                <w:color w:val="1F497D" w:themeColor="text2"/>
                                <w:sz w:val="22"/>
                                <w:szCs w:val="18"/>
                              </w:rPr>
                              <w:t>eferral of capital projects</w:t>
                            </w:r>
                            <w:r>
                              <w:rPr>
                                <w:color w:val="1F497D" w:themeColor="text2"/>
                                <w:sz w:val="22"/>
                                <w:szCs w:val="18"/>
                              </w:rPr>
                              <w:t>/acquisitions</w:t>
                            </w:r>
                          </w:p>
                          <w:p w14:paraId="5473F3A7" w14:textId="77777777" w:rsidR="00D21FC5" w:rsidRPr="00B10A49" w:rsidRDefault="00D21FC5" w:rsidP="00275D8A">
                            <w:pPr>
                              <w:pStyle w:val="ListParagraph"/>
                              <w:numPr>
                                <w:ilvl w:val="0"/>
                                <w:numId w:val="30"/>
                              </w:numPr>
                              <w:rPr>
                                <w:color w:val="1F497D" w:themeColor="text2"/>
                                <w:sz w:val="22"/>
                                <w:szCs w:val="18"/>
                              </w:rPr>
                            </w:pPr>
                            <w:r w:rsidRPr="00A8556D">
                              <w:rPr>
                                <w:color w:val="1F497D" w:themeColor="text2"/>
                                <w:sz w:val="22"/>
                                <w:szCs w:val="18"/>
                              </w:rPr>
                              <w:t>Decrease in salaries/director fees</w:t>
                            </w:r>
                          </w:p>
                          <w:p w14:paraId="7F57373D" w14:textId="77777777" w:rsidR="00D21FC5" w:rsidRPr="00A8556D" w:rsidRDefault="00D21FC5" w:rsidP="00275D8A">
                            <w:pPr>
                              <w:pStyle w:val="ListParagraph"/>
                              <w:numPr>
                                <w:ilvl w:val="0"/>
                                <w:numId w:val="30"/>
                              </w:numPr>
                              <w:rPr>
                                <w:color w:val="1F497D" w:themeColor="text2"/>
                                <w:sz w:val="22"/>
                                <w:szCs w:val="18"/>
                              </w:rPr>
                            </w:pPr>
                            <w:r>
                              <w:rPr>
                                <w:color w:val="1F497D" w:themeColor="text2"/>
                                <w:sz w:val="22"/>
                                <w:szCs w:val="18"/>
                              </w:rPr>
                              <w:t>Employee layoffs</w:t>
                            </w:r>
                          </w:p>
                          <w:p w14:paraId="4FEF1CBD"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Additional oversight measures</w:t>
                            </w:r>
                          </w:p>
                          <w:p w14:paraId="232E68FC"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Modification of payment terms with suppliers</w:t>
                            </w:r>
                          </w:p>
                          <w:p w14:paraId="467E5BB8"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New or amended credit agreements</w:t>
                            </w:r>
                          </w:p>
                          <w:p w14:paraId="78918951"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Change in dividends or distributions</w:t>
                            </w:r>
                          </w:p>
                          <w:p w14:paraId="024DE2B6"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Accessing third party financing</w:t>
                            </w:r>
                          </w:p>
                          <w:p w14:paraId="00FF2462"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Implementation of business continuity plans</w:t>
                            </w:r>
                          </w:p>
                          <w:p w14:paraId="572362EC"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Suspension of issuer share buybacks</w:t>
                            </w:r>
                          </w:p>
                          <w:p w14:paraId="0396E5BA"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Disposal of assets</w:t>
                            </w:r>
                          </w:p>
                          <w:p w14:paraId="4EF7C9D1" w14:textId="77777777" w:rsidR="00D21FC5" w:rsidRPr="00A8556D" w:rsidRDefault="00D21FC5" w:rsidP="009C55B9">
                            <w:pPr>
                              <w:pStyle w:val="ListParagraph"/>
                              <w:rPr>
                                <w:color w:val="1F497D" w:themeColor="text2"/>
                                <w:sz w:val="22"/>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DF46FF" id="Rectangle 5" o:spid="_x0000_s1036" style="position:absolute;margin-left:90.3pt;margin-top:7.55pt;width:375pt;height:205.8pt;z-index:2516603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" fillcolor="#eeece1 [3214]" strokecolor="#243f60 [1604]" strokeweight="2pt">
                <v:textbox>
                  <w:txbxContent>
                    <w:p w14:paraId="4A63D5D7"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Government assistance programs</w:t>
                      </w:r>
                    </w:p>
                    <w:p w14:paraId="730F7663"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 xml:space="preserve">Change in </w:t>
                      </w:r>
                      <w:r>
                        <w:rPr>
                          <w:color w:val="1F497D" w:themeColor="text2"/>
                          <w:sz w:val="22"/>
                          <w:szCs w:val="18"/>
                        </w:rPr>
                        <w:t xml:space="preserve">product or service </w:t>
                      </w:r>
                      <w:r w:rsidRPr="00A8556D">
                        <w:rPr>
                          <w:color w:val="1F497D" w:themeColor="text2"/>
                          <w:sz w:val="22"/>
                          <w:szCs w:val="18"/>
                        </w:rPr>
                        <w:t>mix</w:t>
                      </w:r>
                    </w:p>
                    <w:p w14:paraId="333DB9A3"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Reduction in discretionary expenses</w:t>
                      </w:r>
                    </w:p>
                    <w:p w14:paraId="62077DDA" w14:textId="77777777" w:rsidR="00D21FC5" w:rsidRPr="00A8556D" w:rsidRDefault="00D21FC5" w:rsidP="00275D8A">
                      <w:pPr>
                        <w:pStyle w:val="ListParagraph"/>
                        <w:numPr>
                          <w:ilvl w:val="0"/>
                          <w:numId w:val="30"/>
                        </w:numPr>
                        <w:rPr>
                          <w:color w:val="1F497D" w:themeColor="text2"/>
                          <w:sz w:val="22"/>
                          <w:szCs w:val="18"/>
                        </w:rPr>
                      </w:pPr>
                      <w:r>
                        <w:rPr>
                          <w:color w:val="1F497D" w:themeColor="text2"/>
                          <w:sz w:val="22"/>
                          <w:szCs w:val="18"/>
                        </w:rPr>
                        <w:t>Change in budget or d</w:t>
                      </w:r>
                      <w:r w:rsidRPr="00A8556D">
                        <w:rPr>
                          <w:color w:val="1F497D" w:themeColor="text2"/>
                          <w:sz w:val="22"/>
                          <w:szCs w:val="18"/>
                        </w:rPr>
                        <w:t>eferral of capital projects</w:t>
                      </w:r>
                      <w:r>
                        <w:rPr>
                          <w:color w:val="1F497D" w:themeColor="text2"/>
                          <w:sz w:val="22"/>
                          <w:szCs w:val="18"/>
                        </w:rPr>
                        <w:t>/acquisitions</w:t>
                      </w:r>
                    </w:p>
                    <w:p w14:paraId="5473F3A7" w14:textId="77777777" w:rsidR="00D21FC5" w:rsidRPr="00B10A49" w:rsidRDefault="00D21FC5" w:rsidP="00275D8A">
                      <w:pPr>
                        <w:pStyle w:val="ListParagraph"/>
                        <w:numPr>
                          <w:ilvl w:val="0"/>
                          <w:numId w:val="30"/>
                        </w:numPr>
                        <w:rPr>
                          <w:color w:val="1F497D" w:themeColor="text2"/>
                          <w:sz w:val="22"/>
                          <w:szCs w:val="18"/>
                        </w:rPr>
                      </w:pPr>
                      <w:r w:rsidRPr="00A8556D">
                        <w:rPr>
                          <w:color w:val="1F497D" w:themeColor="text2"/>
                          <w:sz w:val="22"/>
                          <w:szCs w:val="18"/>
                        </w:rPr>
                        <w:t>Decrease in salaries/director fees</w:t>
                      </w:r>
                    </w:p>
                    <w:p w14:paraId="7F57373D" w14:textId="77777777" w:rsidR="00D21FC5" w:rsidRPr="00A8556D" w:rsidRDefault="00D21FC5" w:rsidP="00275D8A">
                      <w:pPr>
                        <w:pStyle w:val="ListParagraph"/>
                        <w:numPr>
                          <w:ilvl w:val="0"/>
                          <w:numId w:val="30"/>
                        </w:numPr>
                        <w:rPr>
                          <w:color w:val="1F497D" w:themeColor="text2"/>
                          <w:sz w:val="22"/>
                          <w:szCs w:val="18"/>
                        </w:rPr>
                      </w:pPr>
                      <w:r>
                        <w:rPr>
                          <w:color w:val="1F497D" w:themeColor="text2"/>
                          <w:sz w:val="22"/>
                          <w:szCs w:val="18"/>
                        </w:rPr>
                        <w:t>Employee layoffs</w:t>
                      </w:r>
                    </w:p>
                    <w:p w14:paraId="4FEF1CBD"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Additional oversight measures</w:t>
                      </w:r>
                    </w:p>
                    <w:p w14:paraId="232E68FC"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Modification of payment terms with suppliers</w:t>
                      </w:r>
                    </w:p>
                    <w:p w14:paraId="467E5BB8"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New or amended credit agreements</w:t>
                      </w:r>
                    </w:p>
                    <w:p w14:paraId="78918951"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Change in dividends or distributions</w:t>
                      </w:r>
                    </w:p>
                    <w:p w14:paraId="024DE2B6"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Accessing third party financing</w:t>
                      </w:r>
                    </w:p>
                    <w:p w14:paraId="00FF2462"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Implementation of business continuity plans</w:t>
                      </w:r>
                    </w:p>
                    <w:p w14:paraId="572362EC"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Suspension of issuer share buybacks</w:t>
                      </w:r>
                    </w:p>
                    <w:p w14:paraId="0396E5BA" w14:textId="77777777" w:rsidR="00D21FC5" w:rsidRPr="00A8556D" w:rsidRDefault="00D21FC5" w:rsidP="00275D8A">
                      <w:pPr>
                        <w:pStyle w:val="ListParagraph"/>
                        <w:numPr>
                          <w:ilvl w:val="0"/>
                          <w:numId w:val="30"/>
                        </w:numPr>
                        <w:rPr>
                          <w:color w:val="1F497D" w:themeColor="text2"/>
                          <w:sz w:val="22"/>
                          <w:szCs w:val="18"/>
                        </w:rPr>
                      </w:pPr>
                      <w:r w:rsidRPr="00A8556D">
                        <w:rPr>
                          <w:color w:val="1F497D" w:themeColor="text2"/>
                          <w:sz w:val="22"/>
                          <w:szCs w:val="18"/>
                        </w:rPr>
                        <w:t>Disposal of assets</w:t>
                      </w:r>
                    </w:p>
                    <w:p w14:paraId="4EF7C9D1" w14:textId="77777777" w:rsidR="00D21FC5" w:rsidRPr="00A8556D" w:rsidRDefault="00D21FC5" w:rsidP="009C55B9">
                      <w:pPr>
                        <w:pStyle w:val="ListParagraph"/>
                        <w:rPr>
                          <w:color w:val="1F497D" w:themeColor="text2"/>
                          <w:sz w:val="22"/>
                          <w:szCs w:val="18"/>
                        </w:rPr>
                      </w:pPr>
                    </w:p>
                  </w:txbxContent>
                </v:textbox>
                <w10:wrap anchorx="margin"/>
              </v:rect>
            </w:pict>
          </mc:Fallback>
        </mc:AlternateContent>
      </w:r>
      <w:r w:rsidRPr="00947F30">
        <w:rPr>
          <w:noProof/>
          <w:lang w:val="en-US"/>
        </w:rPr>
        <mc:AlternateContent>
          <mc:Choice Requires="wps">
            <w:drawing>
              <wp:anchor distT="0" distB="0" distL="114300" distR="114300" simplePos="0" relativeHeight="251661324" behindDoc="0" locked="0" layoutInCell="1" allowOverlap="1" wp14:anchorId="6B2883A1" wp14:editId="0C4E97D9">
                <wp:simplePos x="0" y="0"/>
                <wp:positionH relativeFrom="margin">
                  <wp:posOffset>0</wp:posOffset>
                </wp:positionH>
                <wp:positionV relativeFrom="paragraph">
                  <wp:posOffset>12065</wp:posOffset>
                </wp:positionV>
                <wp:extent cx="1272540" cy="2750820"/>
                <wp:effectExtent l="0" t="0" r="22860" b="11430"/>
                <wp:wrapNone/>
                <wp:docPr id="7" name="Rectangle: Rounded Corners 7"/>
                <wp:cNvGraphicFramePr/>
                <a:graphic xmlns:a="http://schemas.openxmlformats.org/drawingml/2006/main">
                  <a:graphicData uri="http://schemas.microsoft.com/office/word/2010/wordprocessingShape">
                    <wps:wsp>
                      <wps:cNvSpPr/>
                      <wps:spPr>
                        <a:xfrm>
                          <a:off x="0" y="0"/>
                          <a:ext cx="1272540" cy="2750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C2FE0" w14:textId="77777777" w:rsidR="00D21FC5" w:rsidRPr="00A8556D" w:rsidRDefault="00D21FC5" w:rsidP="009C55B9">
                            <w:pPr>
                              <w:jc w:val="center"/>
                              <w:rPr>
                                <w:b/>
                                <w:bCs/>
                                <w:sz w:val="22"/>
                                <w:szCs w:val="18"/>
                              </w:rPr>
                            </w:pPr>
                            <w:r>
                              <w:rPr>
                                <w:b/>
                                <w:bCs/>
                                <w:sz w:val="22"/>
                                <w:szCs w:val="18"/>
                              </w:rPr>
                              <w:t>Measur</w:t>
                            </w:r>
                            <w:r w:rsidRPr="00A8556D">
                              <w:rPr>
                                <w:b/>
                                <w:bCs/>
                                <w:sz w:val="22"/>
                                <w:szCs w:val="18"/>
                              </w:rPr>
                              <w:t>es</w:t>
                            </w:r>
                            <w:r>
                              <w:rPr>
                                <w:b/>
                                <w:bCs/>
                                <w:sz w:val="22"/>
                                <w:szCs w:val="18"/>
                              </w:rPr>
                              <w:t xml:space="preserve"> Taken to Reduce COVID-19 Impact/  Operational Responses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B2883A1" id="Rectangle: Rounded Corners 7" o:spid="_x0000_s1037" style="position:absolute;margin-left:0;margin-top:.95pt;width:100.2pt;height:216.6pt;z-index:2516613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" fillcolor="#4f81bd [3204]" strokecolor="#243f60 [1604]" strokeweight="2pt">
                <v:textbox>
                  <w:txbxContent>
                    <w:p w14:paraId="6E3C2FE0" w14:textId="77777777" w:rsidR="00D21FC5" w:rsidRPr="00A8556D" w:rsidRDefault="00D21FC5" w:rsidP="009C55B9">
                      <w:pPr>
                        <w:jc w:val="center"/>
                        <w:rPr>
                          <w:b/>
                          <w:bCs/>
                          <w:sz w:val="22"/>
                          <w:szCs w:val="18"/>
                        </w:rPr>
                      </w:pPr>
                      <w:r>
                        <w:rPr>
                          <w:b/>
                          <w:bCs/>
                          <w:sz w:val="22"/>
                          <w:szCs w:val="18"/>
                        </w:rPr>
                        <w:t>Measur</w:t>
                      </w:r>
                      <w:r w:rsidRPr="00A8556D">
                        <w:rPr>
                          <w:b/>
                          <w:bCs/>
                          <w:sz w:val="22"/>
                          <w:szCs w:val="18"/>
                        </w:rPr>
                        <w:t>es</w:t>
                      </w:r>
                      <w:r>
                        <w:rPr>
                          <w:b/>
                          <w:bCs/>
                          <w:sz w:val="22"/>
                          <w:szCs w:val="18"/>
                        </w:rPr>
                        <w:t xml:space="preserve"> Taken to Reduce COVID-19 Impact/  Operational Responses</w:t>
                      </w:r>
                    </w:p>
                  </w:txbxContent>
                </v:textbox>
                <w10:wrap anchorx="margin"/>
              </v:roundrect>
            </w:pict>
          </mc:Fallback>
        </mc:AlternateContent>
      </w:r>
    </w:p>
    <w:p w14:paraId="183D72B0" w14:textId="77777777" w:rsidR="00AC7AD5" w:rsidRDefault="00AC7AD5" w:rsidP="00C665E4">
      <w:pPr>
        <w:rPr>
          <w:sz w:val="22"/>
          <w:szCs w:val="22"/>
        </w:rPr>
      </w:pPr>
    </w:p>
    <w:p w14:paraId="086598EB" w14:textId="77777777" w:rsidR="00AC7AD5" w:rsidRDefault="00AC7AD5" w:rsidP="00C665E4">
      <w:pPr>
        <w:rPr>
          <w:sz w:val="22"/>
          <w:szCs w:val="22"/>
        </w:rPr>
      </w:pPr>
    </w:p>
    <w:p w14:paraId="3CA824B8" w14:textId="77777777" w:rsidR="00AC7AD5" w:rsidRDefault="00AC7AD5" w:rsidP="00C665E4">
      <w:pPr>
        <w:rPr>
          <w:sz w:val="22"/>
          <w:szCs w:val="22"/>
        </w:rPr>
      </w:pPr>
    </w:p>
    <w:p w14:paraId="19958D46" w14:textId="77777777" w:rsidR="009C55B9" w:rsidRDefault="009C55B9" w:rsidP="00C665E4">
      <w:pPr>
        <w:rPr>
          <w:sz w:val="22"/>
          <w:szCs w:val="22"/>
        </w:rPr>
      </w:pPr>
    </w:p>
    <w:p w14:paraId="19597586" w14:textId="77777777" w:rsidR="00AC7AD5" w:rsidRDefault="00AC7AD5" w:rsidP="00C665E4">
      <w:pPr>
        <w:rPr>
          <w:sz w:val="22"/>
          <w:szCs w:val="22"/>
        </w:rPr>
      </w:pPr>
    </w:p>
    <w:p w14:paraId="17FE46E9" w14:textId="77777777" w:rsidR="00AC7AD5" w:rsidRDefault="00AC7AD5" w:rsidP="00C665E4">
      <w:pPr>
        <w:rPr>
          <w:sz w:val="22"/>
          <w:szCs w:val="22"/>
        </w:rPr>
      </w:pPr>
    </w:p>
    <w:p w14:paraId="10F31916" w14:textId="77777777" w:rsidR="009C55B9" w:rsidRDefault="009C55B9" w:rsidP="00C665E4">
      <w:pPr>
        <w:rPr>
          <w:sz w:val="22"/>
          <w:szCs w:val="22"/>
        </w:rPr>
      </w:pPr>
    </w:p>
    <w:p w14:paraId="59161C8F" w14:textId="77777777" w:rsidR="009C55B9" w:rsidRDefault="009C55B9" w:rsidP="00C665E4">
      <w:pPr>
        <w:rPr>
          <w:sz w:val="22"/>
          <w:szCs w:val="22"/>
        </w:rPr>
      </w:pPr>
    </w:p>
    <w:p w14:paraId="4052834C" w14:textId="77777777" w:rsidR="009C55B9" w:rsidRDefault="009C55B9" w:rsidP="00C665E4">
      <w:pPr>
        <w:rPr>
          <w:sz w:val="22"/>
          <w:szCs w:val="22"/>
        </w:rPr>
      </w:pPr>
    </w:p>
    <w:p w14:paraId="3883E349" w14:textId="77777777" w:rsidR="009C55B9" w:rsidRDefault="009C55B9" w:rsidP="00C665E4">
      <w:pPr>
        <w:rPr>
          <w:sz w:val="22"/>
          <w:szCs w:val="22"/>
        </w:rPr>
      </w:pPr>
    </w:p>
    <w:p w14:paraId="36B337D8" w14:textId="77777777" w:rsidR="009C55B9" w:rsidRDefault="009C55B9" w:rsidP="00C665E4">
      <w:pPr>
        <w:rPr>
          <w:sz w:val="22"/>
          <w:szCs w:val="22"/>
        </w:rPr>
      </w:pPr>
    </w:p>
    <w:p w14:paraId="14722885" w14:textId="77777777" w:rsidR="009C55B9" w:rsidRDefault="009C55B9" w:rsidP="00C665E4">
      <w:pPr>
        <w:rPr>
          <w:sz w:val="22"/>
          <w:szCs w:val="22"/>
        </w:rPr>
      </w:pPr>
    </w:p>
    <w:p w14:paraId="7A8941FE" w14:textId="77777777" w:rsidR="009C55B9" w:rsidRDefault="009C55B9" w:rsidP="00C665E4">
      <w:pPr>
        <w:rPr>
          <w:sz w:val="22"/>
          <w:szCs w:val="22"/>
        </w:rPr>
      </w:pPr>
    </w:p>
    <w:p w14:paraId="7EB598A4" w14:textId="77777777" w:rsidR="009C55B9" w:rsidRDefault="009C55B9" w:rsidP="00C665E4">
      <w:pPr>
        <w:rPr>
          <w:sz w:val="22"/>
          <w:szCs w:val="22"/>
        </w:rPr>
      </w:pPr>
    </w:p>
    <w:p w14:paraId="17ADD706" w14:textId="77777777" w:rsidR="009C55B9" w:rsidRDefault="009C55B9" w:rsidP="00C665E4">
      <w:pPr>
        <w:rPr>
          <w:sz w:val="22"/>
          <w:szCs w:val="22"/>
        </w:rPr>
      </w:pPr>
    </w:p>
    <w:p w14:paraId="031EB602" w14:textId="77777777" w:rsidR="001B7DA6" w:rsidRDefault="001B7DA6" w:rsidP="00D93E09">
      <w:pPr>
        <w:jc w:val="both"/>
        <w:rPr>
          <w:sz w:val="22"/>
          <w:szCs w:val="22"/>
        </w:rPr>
      </w:pPr>
    </w:p>
    <w:p w14:paraId="15D54E82" w14:textId="77777777" w:rsidR="002C79DB" w:rsidRDefault="002C79DB" w:rsidP="00D93E09">
      <w:pPr>
        <w:jc w:val="both"/>
        <w:rPr>
          <w:sz w:val="22"/>
          <w:szCs w:val="22"/>
        </w:rPr>
      </w:pPr>
    </w:p>
    <w:p w14:paraId="4C392060" w14:textId="4016529B" w:rsidR="00B04F56" w:rsidRDefault="00830953" w:rsidP="00D93E09">
      <w:pPr>
        <w:jc w:val="both"/>
        <w:rPr>
          <w:sz w:val="22"/>
          <w:szCs w:val="22"/>
        </w:rPr>
      </w:pPr>
      <w:r>
        <w:rPr>
          <w:sz w:val="22"/>
          <w:szCs w:val="22"/>
        </w:rPr>
        <w:t>Most</w:t>
      </w:r>
      <w:r w:rsidR="00B04F56" w:rsidRPr="007D0F9D">
        <w:rPr>
          <w:sz w:val="22"/>
          <w:szCs w:val="22"/>
        </w:rPr>
        <w:t xml:space="preserve"> issuers</w:t>
      </w:r>
      <w:r w:rsidR="00B04F56">
        <w:rPr>
          <w:sz w:val="22"/>
          <w:szCs w:val="22"/>
        </w:rPr>
        <w:t xml:space="preserve"> reviewed</w:t>
      </w:r>
      <w:r w:rsidR="00B04F56" w:rsidRPr="007D0F9D">
        <w:rPr>
          <w:sz w:val="22"/>
          <w:szCs w:val="22"/>
        </w:rPr>
        <w:t xml:space="preserve"> </w:t>
      </w:r>
      <w:r w:rsidR="00B04F56">
        <w:rPr>
          <w:sz w:val="22"/>
          <w:szCs w:val="22"/>
        </w:rPr>
        <w:t>were</w:t>
      </w:r>
      <w:r w:rsidR="00B04F56" w:rsidRPr="007D0F9D">
        <w:rPr>
          <w:sz w:val="22"/>
          <w:szCs w:val="22"/>
        </w:rPr>
        <w:t xml:space="preserve"> proactive in providing quality and detailed disclosur</w:t>
      </w:r>
      <w:r w:rsidR="00B04F56">
        <w:rPr>
          <w:sz w:val="22"/>
          <w:szCs w:val="22"/>
        </w:rPr>
        <w:t>es</w:t>
      </w:r>
      <w:r w:rsidR="00B04F56" w:rsidRPr="007D0F9D">
        <w:rPr>
          <w:sz w:val="22"/>
          <w:szCs w:val="22"/>
        </w:rPr>
        <w:t>.</w:t>
      </w:r>
      <w:r w:rsidR="00E5467D">
        <w:rPr>
          <w:color w:val="000000"/>
          <w:sz w:val="22"/>
          <w:szCs w:val="22"/>
          <w:shd w:val="clear" w:color="auto" w:fill="FFFFFF"/>
        </w:rPr>
        <w:t xml:space="preserve"> For example, w</w:t>
      </w:r>
      <w:r w:rsidR="00B04F56">
        <w:rPr>
          <w:color w:val="000000"/>
          <w:sz w:val="22"/>
          <w:szCs w:val="22"/>
          <w:shd w:val="clear" w:color="auto" w:fill="FFFFFF"/>
        </w:rPr>
        <w:t xml:space="preserve">e observed several issuers significantly expand their MD&amp;A to provide detailed operational updates addressing the impact </w:t>
      </w:r>
      <w:r w:rsidR="00E5467D">
        <w:rPr>
          <w:color w:val="000000"/>
          <w:sz w:val="22"/>
          <w:szCs w:val="22"/>
          <w:shd w:val="clear" w:color="auto" w:fill="FFFFFF"/>
        </w:rPr>
        <w:t>of COVID-19</w:t>
      </w:r>
      <w:r w:rsidR="00B04F56">
        <w:rPr>
          <w:color w:val="000000"/>
          <w:sz w:val="22"/>
          <w:szCs w:val="22"/>
          <w:shd w:val="clear" w:color="auto" w:fill="FFFFFF"/>
        </w:rPr>
        <w:t xml:space="preserve"> as well as</w:t>
      </w:r>
      <w:r w:rsidR="00E5467D">
        <w:rPr>
          <w:color w:val="000000"/>
          <w:sz w:val="22"/>
          <w:szCs w:val="22"/>
          <w:shd w:val="clear" w:color="auto" w:fill="FFFFFF"/>
        </w:rPr>
        <w:t xml:space="preserve"> issuers providing</w:t>
      </w:r>
      <w:r w:rsidR="00B04F56">
        <w:rPr>
          <w:color w:val="000000"/>
          <w:sz w:val="22"/>
          <w:szCs w:val="22"/>
          <w:shd w:val="clear" w:color="auto" w:fill="FFFFFF"/>
        </w:rPr>
        <w:t xml:space="preserve"> additional disclosure </w:t>
      </w:r>
      <w:r w:rsidR="006E31F7">
        <w:rPr>
          <w:color w:val="000000"/>
          <w:sz w:val="22"/>
          <w:szCs w:val="22"/>
          <w:shd w:val="clear" w:color="auto" w:fill="FFFFFF"/>
        </w:rPr>
        <w:t>addressing</w:t>
      </w:r>
      <w:r w:rsidR="00B04F56">
        <w:rPr>
          <w:color w:val="000000"/>
          <w:sz w:val="22"/>
          <w:szCs w:val="22"/>
          <w:shd w:val="clear" w:color="auto" w:fill="FFFFFF"/>
        </w:rPr>
        <w:t xml:space="preserve"> debt covenants</w:t>
      </w:r>
      <w:r w:rsidR="00E5467D">
        <w:rPr>
          <w:color w:val="000000"/>
          <w:sz w:val="22"/>
          <w:szCs w:val="22"/>
          <w:shd w:val="clear" w:color="auto" w:fill="FFFFFF"/>
        </w:rPr>
        <w:t xml:space="preserve"> and related compliance.</w:t>
      </w:r>
      <w:r w:rsidR="00B04F56">
        <w:rPr>
          <w:color w:val="000000"/>
          <w:sz w:val="22"/>
          <w:szCs w:val="22"/>
          <w:shd w:val="clear" w:color="auto" w:fill="FFFFFF"/>
        </w:rPr>
        <w:t xml:space="preserve">  We also noted most issuers adequately </w:t>
      </w:r>
      <w:r w:rsidR="00D80D85">
        <w:rPr>
          <w:color w:val="000000"/>
          <w:sz w:val="22"/>
          <w:szCs w:val="22"/>
          <w:shd w:val="clear" w:color="auto" w:fill="FFFFFF"/>
        </w:rPr>
        <w:t>disclosed impairment</w:t>
      </w:r>
      <w:r w:rsidR="00773AD9">
        <w:rPr>
          <w:color w:val="000000"/>
          <w:sz w:val="22"/>
          <w:szCs w:val="22"/>
          <w:shd w:val="clear" w:color="auto" w:fill="FFFFFF"/>
        </w:rPr>
        <w:t>s</w:t>
      </w:r>
      <w:r w:rsidR="00D80D85">
        <w:rPr>
          <w:color w:val="000000"/>
          <w:sz w:val="22"/>
          <w:szCs w:val="22"/>
          <w:shd w:val="clear" w:color="auto" w:fill="FFFFFF"/>
        </w:rPr>
        <w:t xml:space="preserve"> of</w:t>
      </w:r>
      <w:r w:rsidR="00773AD9">
        <w:rPr>
          <w:color w:val="000000"/>
          <w:sz w:val="22"/>
          <w:szCs w:val="22"/>
          <w:shd w:val="clear" w:color="auto" w:fill="FFFFFF"/>
        </w:rPr>
        <w:t xml:space="preserve"> non-financial assets</w:t>
      </w:r>
      <w:r w:rsidR="00D80D85">
        <w:rPr>
          <w:color w:val="000000"/>
          <w:sz w:val="22"/>
          <w:szCs w:val="22"/>
          <w:shd w:val="clear" w:color="auto" w:fill="FFFFFF"/>
        </w:rPr>
        <w:t xml:space="preserve"> </w:t>
      </w:r>
      <w:r w:rsidR="006E31F7">
        <w:rPr>
          <w:color w:val="000000"/>
          <w:sz w:val="22"/>
          <w:szCs w:val="22"/>
          <w:shd w:val="clear" w:color="auto" w:fill="FFFFFF"/>
        </w:rPr>
        <w:t>due to</w:t>
      </w:r>
      <w:r w:rsidR="00773AD9" w:rsidRPr="00773AD9">
        <w:rPr>
          <w:color w:val="000000"/>
          <w:sz w:val="22"/>
          <w:szCs w:val="22"/>
          <w:shd w:val="clear" w:color="auto" w:fill="FFFFFF"/>
        </w:rPr>
        <w:t xml:space="preserve"> a deterioration in their business since the onset of the pandemic</w:t>
      </w:r>
      <w:r w:rsidR="00773AD9">
        <w:rPr>
          <w:color w:val="000000"/>
          <w:sz w:val="22"/>
          <w:szCs w:val="22"/>
          <w:shd w:val="clear" w:color="auto" w:fill="FFFFFF"/>
        </w:rPr>
        <w:t>.</w:t>
      </w:r>
      <w:r w:rsidR="0051521C">
        <w:rPr>
          <w:color w:val="000000"/>
          <w:sz w:val="22"/>
          <w:szCs w:val="22"/>
          <w:shd w:val="clear" w:color="auto" w:fill="FFFFFF"/>
        </w:rPr>
        <w:t xml:space="preserve"> </w:t>
      </w:r>
      <w:r w:rsidR="00B04F56">
        <w:rPr>
          <w:color w:val="000000"/>
          <w:sz w:val="22"/>
          <w:szCs w:val="22"/>
          <w:shd w:val="clear" w:color="auto" w:fill="FFFFFF"/>
        </w:rPr>
        <w:t xml:space="preserve">However, we </w:t>
      </w:r>
      <w:r w:rsidR="00B04F56" w:rsidRPr="007D0F9D">
        <w:rPr>
          <w:color w:val="000000"/>
          <w:sz w:val="22"/>
          <w:szCs w:val="22"/>
          <w:shd w:val="clear" w:color="auto" w:fill="FFFFFF"/>
        </w:rPr>
        <w:t>identified several areas where disclosure could be improved</w:t>
      </w:r>
      <w:r w:rsidR="00767D22">
        <w:rPr>
          <w:sz w:val="22"/>
          <w:szCs w:val="22"/>
        </w:rPr>
        <w:t xml:space="preserve"> for many issuers including the following:</w:t>
      </w:r>
    </w:p>
    <w:p w14:paraId="469BDED0" w14:textId="77777777" w:rsidR="00AC7AD5" w:rsidRDefault="00AC7AD5">
      <w:pPr>
        <w:rPr>
          <w:sz w:val="22"/>
          <w:szCs w:val="22"/>
        </w:rPr>
      </w:pPr>
    </w:p>
    <w:tbl>
      <w:tblPr>
        <w:tblStyle w:val="TableGrid"/>
        <w:tblW w:w="0" w:type="auto"/>
        <w:tblLook w:val="04A0" w:firstRow="1" w:lastRow="0" w:firstColumn="1" w:lastColumn="0" w:noHBand="0" w:noVBand="1"/>
      </w:tblPr>
      <w:tblGrid>
        <w:gridCol w:w="2830"/>
        <w:gridCol w:w="6520"/>
      </w:tblGrid>
      <w:tr w:rsidR="0051521C" w:rsidRPr="007D0F9D" w14:paraId="1546454A" w14:textId="77777777" w:rsidTr="00D93E09">
        <w:trPr>
          <w:tblHeader/>
        </w:trPr>
        <w:tc>
          <w:tcPr>
            <w:tcW w:w="2830" w:type="dxa"/>
            <w:shd w:val="clear" w:color="auto" w:fill="4F81BD" w:themeFill="accent1"/>
          </w:tcPr>
          <w:p w14:paraId="64BFBD88" w14:textId="77777777" w:rsidR="0051521C" w:rsidRPr="00D93E09" w:rsidRDefault="0051521C">
            <w:pPr>
              <w:rPr>
                <w:b/>
                <w:bCs/>
                <w:color w:val="FFFFFF" w:themeColor="background1"/>
                <w:sz w:val="22"/>
                <w:szCs w:val="22"/>
              </w:rPr>
            </w:pPr>
            <w:r w:rsidRPr="00D93E09">
              <w:rPr>
                <w:b/>
                <w:bCs/>
                <w:color w:val="FFFFFF" w:themeColor="background1"/>
                <w:sz w:val="22"/>
                <w:szCs w:val="22"/>
              </w:rPr>
              <w:t>Area of Disclosure</w:t>
            </w:r>
          </w:p>
        </w:tc>
        <w:tc>
          <w:tcPr>
            <w:tcW w:w="6520" w:type="dxa"/>
            <w:shd w:val="clear" w:color="auto" w:fill="4F81BD" w:themeFill="accent1"/>
          </w:tcPr>
          <w:p w14:paraId="2AD700CB" w14:textId="77777777" w:rsidR="0051521C" w:rsidRPr="00D93E09" w:rsidRDefault="009878A2" w:rsidP="00D93E09">
            <w:pPr>
              <w:pStyle w:val="ListParagraph"/>
              <w:ind w:left="360"/>
              <w:jc w:val="both"/>
              <w:rPr>
                <w:b/>
                <w:bCs/>
                <w:color w:val="FFFFFF" w:themeColor="background1"/>
                <w:sz w:val="22"/>
                <w:szCs w:val="22"/>
              </w:rPr>
            </w:pPr>
            <w:r>
              <w:rPr>
                <w:b/>
                <w:bCs/>
                <w:color w:val="FFFFFF" w:themeColor="background1"/>
                <w:sz w:val="22"/>
                <w:szCs w:val="22"/>
              </w:rPr>
              <w:t>Key Observations</w:t>
            </w:r>
          </w:p>
        </w:tc>
      </w:tr>
      <w:tr w:rsidR="00B04F56" w:rsidRPr="007D0F9D" w14:paraId="2A4BA46F" w14:textId="77777777" w:rsidTr="00E5467D">
        <w:tc>
          <w:tcPr>
            <w:tcW w:w="2830" w:type="dxa"/>
            <w:shd w:val="clear" w:color="auto" w:fill="EEECE1" w:themeFill="background2"/>
          </w:tcPr>
          <w:p w14:paraId="43DCDDAE" w14:textId="77777777" w:rsidR="00B04F56" w:rsidRPr="00D93E09" w:rsidRDefault="0051521C" w:rsidP="00E5467D">
            <w:pPr>
              <w:rPr>
                <w:b/>
                <w:bCs/>
                <w:sz w:val="22"/>
                <w:szCs w:val="22"/>
              </w:rPr>
            </w:pPr>
            <w:r w:rsidRPr="00D93E09">
              <w:rPr>
                <w:b/>
                <w:bCs/>
                <w:sz w:val="22"/>
                <w:szCs w:val="22"/>
              </w:rPr>
              <w:t>MD&amp;A</w:t>
            </w:r>
          </w:p>
          <w:p w14:paraId="0B314617" w14:textId="77777777" w:rsidR="00B04F56" w:rsidRPr="00623287" w:rsidRDefault="00B04F56" w:rsidP="00E5467D">
            <w:pPr>
              <w:rPr>
                <w:sz w:val="22"/>
                <w:szCs w:val="22"/>
              </w:rPr>
            </w:pPr>
          </w:p>
          <w:p w14:paraId="7C5A86B7" w14:textId="77777777" w:rsidR="00B04F56" w:rsidRPr="00623287" w:rsidRDefault="00B04F56" w:rsidP="00E5467D">
            <w:pPr>
              <w:rPr>
                <w:sz w:val="22"/>
                <w:szCs w:val="22"/>
              </w:rPr>
            </w:pPr>
          </w:p>
          <w:p w14:paraId="37EF1AAF" w14:textId="77777777" w:rsidR="00B04F56" w:rsidRPr="00623287" w:rsidRDefault="00B04F56" w:rsidP="00E5467D">
            <w:pPr>
              <w:rPr>
                <w:sz w:val="22"/>
                <w:szCs w:val="22"/>
              </w:rPr>
            </w:pPr>
          </w:p>
          <w:p w14:paraId="6ADF7D52" w14:textId="77777777" w:rsidR="00B04F56" w:rsidRPr="00623287" w:rsidRDefault="00B04F56" w:rsidP="00E5467D">
            <w:pPr>
              <w:rPr>
                <w:sz w:val="22"/>
                <w:szCs w:val="22"/>
              </w:rPr>
            </w:pPr>
          </w:p>
          <w:p w14:paraId="1AD79326" w14:textId="77777777" w:rsidR="00B04F56" w:rsidRPr="00623287" w:rsidRDefault="00B04F56" w:rsidP="00E5467D">
            <w:pPr>
              <w:rPr>
                <w:sz w:val="22"/>
                <w:szCs w:val="22"/>
              </w:rPr>
            </w:pPr>
          </w:p>
          <w:p w14:paraId="5B34E30F" w14:textId="77777777" w:rsidR="00B04F56" w:rsidRPr="00623287" w:rsidRDefault="00B04F56" w:rsidP="00E5467D">
            <w:pPr>
              <w:rPr>
                <w:sz w:val="22"/>
                <w:szCs w:val="22"/>
              </w:rPr>
            </w:pPr>
          </w:p>
          <w:p w14:paraId="16F79084" w14:textId="77777777" w:rsidR="00B04F56" w:rsidRPr="00623287" w:rsidRDefault="00B04F56" w:rsidP="00E5467D">
            <w:pPr>
              <w:rPr>
                <w:sz w:val="22"/>
                <w:szCs w:val="22"/>
              </w:rPr>
            </w:pPr>
          </w:p>
          <w:p w14:paraId="326FD82B" w14:textId="77777777" w:rsidR="00B04F56" w:rsidRDefault="00B04F56" w:rsidP="00E5467D">
            <w:pPr>
              <w:rPr>
                <w:sz w:val="22"/>
                <w:szCs w:val="22"/>
              </w:rPr>
            </w:pPr>
          </w:p>
          <w:p w14:paraId="07C4B6A7" w14:textId="77777777" w:rsidR="00B04F56" w:rsidRPr="00424BEC" w:rsidRDefault="00B04F56" w:rsidP="00E5467D">
            <w:pPr>
              <w:ind w:firstLine="720"/>
              <w:rPr>
                <w:sz w:val="22"/>
                <w:szCs w:val="22"/>
              </w:rPr>
            </w:pPr>
          </w:p>
        </w:tc>
        <w:tc>
          <w:tcPr>
            <w:tcW w:w="6520" w:type="dxa"/>
            <w:shd w:val="clear" w:color="auto" w:fill="EEECE1" w:themeFill="background2"/>
          </w:tcPr>
          <w:p w14:paraId="209FCDA8" w14:textId="71F26DD4" w:rsidR="00B04F56" w:rsidRPr="00ED22AC" w:rsidRDefault="00B04F56" w:rsidP="00E5467D">
            <w:pPr>
              <w:pStyle w:val="ListParagraph"/>
              <w:numPr>
                <w:ilvl w:val="0"/>
                <w:numId w:val="6"/>
              </w:numPr>
              <w:spacing w:after="240"/>
              <w:jc w:val="both"/>
              <w:rPr>
                <w:sz w:val="22"/>
                <w:szCs w:val="22"/>
              </w:rPr>
            </w:pPr>
            <w:r w:rsidRPr="00ED22AC">
              <w:rPr>
                <w:b/>
                <w:bCs/>
                <w:sz w:val="22"/>
                <w:szCs w:val="22"/>
              </w:rPr>
              <w:t xml:space="preserve">Discussion of </w:t>
            </w:r>
            <w:r>
              <w:rPr>
                <w:b/>
                <w:bCs/>
                <w:sz w:val="22"/>
                <w:szCs w:val="22"/>
              </w:rPr>
              <w:t>measures taken to reduce COVID-19 impact</w:t>
            </w:r>
            <w:r w:rsidRPr="00ED22AC">
              <w:rPr>
                <w:sz w:val="22"/>
                <w:szCs w:val="22"/>
              </w:rPr>
              <w:t xml:space="preserve"> - </w:t>
            </w:r>
            <w:r w:rsidRPr="00ED22AC">
              <w:rPr>
                <w:color w:val="000000"/>
                <w:sz w:val="22"/>
                <w:szCs w:val="22"/>
                <w:lang w:eastAsia="en-CA"/>
              </w:rPr>
              <w:t xml:space="preserve">Many issuers provided “lists” of </w:t>
            </w:r>
            <w:r>
              <w:rPr>
                <w:color w:val="000000"/>
                <w:sz w:val="22"/>
                <w:szCs w:val="22"/>
                <w:lang w:eastAsia="en-CA"/>
              </w:rPr>
              <w:t xml:space="preserve">measures </w:t>
            </w:r>
            <w:r w:rsidR="00EC3A24">
              <w:rPr>
                <w:color w:val="000000"/>
                <w:sz w:val="22"/>
                <w:szCs w:val="22"/>
                <w:lang w:eastAsia="en-CA"/>
              </w:rPr>
              <w:t xml:space="preserve">employed </w:t>
            </w:r>
            <w:r w:rsidRPr="00ED22AC">
              <w:rPr>
                <w:color w:val="000000"/>
                <w:sz w:val="22"/>
                <w:szCs w:val="22"/>
                <w:lang w:eastAsia="en-CA"/>
              </w:rPr>
              <w:t>to manage operational and liquidity risk</w:t>
            </w:r>
            <w:r>
              <w:rPr>
                <w:color w:val="000000"/>
                <w:sz w:val="22"/>
                <w:szCs w:val="22"/>
                <w:lang w:eastAsia="en-CA"/>
              </w:rPr>
              <w:t>s</w:t>
            </w:r>
            <w:r w:rsidRPr="00ED22AC">
              <w:rPr>
                <w:color w:val="000000"/>
                <w:sz w:val="22"/>
                <w:szCs w:val="22"/>
                <w:lang w:eastAsia="en-CA"/>
              </w:rPr>
              <w:t xml:space="preserve"> but did not provide an adequate discussion to </w:t>
            </w:r>
            <w:r w:rsidR="006E31F7">
              <w:rPr>
                <w:color w:val="000000"/>
                <w:sz w:val="22"/>
                <w:szCs w:val="22"/>
                <w:lang w:eastAsia="en-CA"/>
              </w:rPr>
              <w:t>address</w:t>
            </w:r>
            <w:r w:rsidRPr="00ED22AC">
              <w:rPr>
                <w:color w:val="000000"/>
                <w:sz w:val="22"/>
                <w:szCs w:val="22"/>
                <w:lang w:eastAsia="en-CA"/>
              </w:rPr>
              <w:t xml:space="preserve"> the anticipated impact to the issuer. </w:t>
            </w:r>
          </w:p>
          <w:p w14:paraId="2DA16738" w14:textId="77777777" w:rsidR="00FE5493" w:rsidRPr="00FE5493" w:rsidRDefault="00B04F56" w:rsidP="00FE5493">
            <w:pPr>
              <w:pStyle w:val="ListParagraph"/>
              <w:numPr>
                <w:ilvl w:val="0"/>
                <w:numId w:val="51"/>
              </w:numPr>
              <w:rPr>
                <w:sz w:val="22"/>
                <w:szCs w:val="22"/>
              </w:rPr>
            </w:pPr>
            <w:r w:rsidRPr="00FE5493">
              <w:rPr>
                <w:b/>
                <w:bCs/>
                <w:sz w:val="22"/>
                <w:szCs w:val="22"/>
              </w:rPr>
              <w:t xml:space="preserve">Analysis of overall performance and operations </w:t>
            </w:r>
            <w:r w:rsidRPr="00FE5493">
              <w:rPr>
                <w:sz w:val="22"/>
                <w:szCs w:val="22"/>
              </w:rPr>
              <w:t xml:space="preserve">- </w:t>
            </w:r>
            <w:r w:rsidR="00FE5493" w:rsidRPr="00FE5493">
              <w:rPr>
                <w:sz w:val="22"/>
                <w:szCs w:val="22"/>
              </w:rPr>
              <w:t xml:space="preserve">Most issuers that quantitatively disclosed variances related to COVID-19 (e.g., impact to sales) did not explain the methodology used by management in determining that fluctuations were isolated to COVID-19.  </w:t>
            </w:r>
          </w:p>
          <w:p w14:paraId="2401AA3C" w14:textId="77777777" w:rsidR="00402D06" w:rsidRPr="00D93E09" w:rsidRDefault="00E5467D" w:rsidP="00FE5493">
            <w:pPr>
              <w:pStyle w:val="ListParagraph"/>
              <w:numPr>
                <w:ilvl w:val="0"/>
                <w:numId w:val="51"/>
              </w:numPr>
              <w:spacing w:after="240"/>
              <w:jc w:val="both"/>
              <w:rPr>
                <w:sz w:val="22"/>
                <w:szCs w:val="22"/>
              </w:rPr>
            </w:pPr>
            <w:r>
              <w:rPr>
                <w:sz w:val="22"/>
                <w:szCs w:val="22"/>
              </w:rPr>
              <w:t>Several issuers</w:t>
            </w:r>
            <w:r w:rsidR="00697956" w:rsidRPr="00D93E09">
              <w:rPr>
                <w:sz w:val="22"/>
                <w:szCs w:val="22"/>
              </w:rPr>
              <w:t xml:space="preserve"> </w:t>
            </w:r>
            <w:r>
              <w:rPr>
                <w:sz w:val="22"/>
                <w:szCs w:val="22"/>
              </w:rPr>
              <w:t xml:space="preserve">provided </w:t>
            </w:r>
            <w:r w:rsidR="001116F1">
              <w:rPr>
                <w:sz w:val="22"/>
                <w:szCs w:val="22"/>
              </w:rPr>
              <w:t>limited</w:t>
            </w:r>
            <w:r>
              <w:rPr>
                <w:sz w:val="22"/>
                <w:szCs w:val="22"/>
              </w:rPr>
              <w:t xml:space="preserve"> </w:t>
            </w:r>
            <w:r w:rsidR="00B37E09" w:rsidRPr="00D93E09">
              <w:rPr>
                <w:sz w:val="22"/>
                <w:szCs w:val="22"/>
              </w:rPr>
              <w:t>disclosure</w:t>
            </w:r>
            <w:r w:rsidR="00697956" w:rsidRPr="00D93E09">
              <w:rPr>
                <w:sz w:val="22"/>
                <w:szCs w:val="22"/>
              </w:rPr>
              <w:t xml:space="preserve"> of known trends</w:t>
            </w:r>
            <w:r w:rsidR="00FD0EBD">
              <w:rPr>
                <w:sz w:val="22"/>
                <w:szCs w:val="22"/>
              </w:rPr>
              <w:t xml:space="preserve"> or events</w:t>
            </w:r>
            <w:r w:rsidR="00697956" w:rsidRPr="00D93E09">
              <w:rPr>
                <w:sz w:val="22"/>
                <w:szCs w:val="22"/>
              </w:rPr>
              <w:t xml:space="preserve"> </w:t>
            </w:r>
            <w:r w:rsidR="00FD0EBD">
              <w:rPr>
                <w:sz w:val="22"/>
                <w:szCs w:val="22"/>
              </w:rPr>
              <w:t>related to</w:t>
            </w:r>
            <w:r w:rsidR="00697956" w:rsidRPr="00D93E09">
              <w:rPr>
                <w:sz w:val="22"/>
                <w:szCs w:val="22"/>
              </w:rPr>
              <w:t xml:space="preserve"> COVID-19</w:t>
            </w:r>
            <w:r w:rsidR="00B37E09" w:rsidRPr="00D93E09">
              <w:rPr>
                <w:sz w:val="22"/>
                <w:szCs w:val="22"/>
              </w:rPr>
              <w:t xml:space="preserve"> </w:t>
            </w:r>
            <w:r w:rsidR="00697956" w:rsidRPr="00D93E09">
              <w:rPr>
                <w:sz w:val="22"/>
                <w:szCs w:val="22"/>
              </w:rPr>
              <w:t xml:space="preserve">that </w:t>
            </w:r>
            <w:r w:rsidR="00724DCB">
              <w:rPr>
                <w:sz w:val="22"/>
                <w:szCs w:val="22"/>
              </w:rPr>
              <w:t>are</w:t>
            </w:r>
            <w:r w:rsidR="00697956" w:rsidRPr="00D93E09">
              <w:rPr>
                <w:sz w:val="22"/>
                <w:szCs w:val="22"/>
              </w:rPr>
              <w:t xml:space="preserve"> likely to</w:t>
            </w:r>
            <w:r w:rsidR="00B37E09">
              <w:rPr>
                <w:sz w:val="22"/>
                <w:szCs w:val="22"/>
              </w:rPr>
              <w:t xml:space="preserve"> </w:t>
            </w:r>
            <w:r w:rsidR="00FD0EBD">
              <w:rPr>
                <w:sz w:val="22"/>
                <w:szCs w:val="22"/>
              </w:rPr>
              <w:t xml:space="preserve">affect future performance. </w:t>
            </w:r>
          </w:p>
          <w:p w14:paraId="6EEC7FEF" w14:textId="77777777" w:rsidR="00B04F56" w:rsidRPr="00D93E09" w:rsidRDefault="00B04F56" w:rsidP="00FE5493">
            <w:pPr>
              <w:pStyle w:val="ListParagraph"/>
              <w:numPr>
                <w:ilvl w:val="0"/>
                <w:numId w:val="51"/>
              </w:numPr>
              <w:spacing w:before="120"/>
              <w:jc w:val="both"/>
              <w:rPr>
                <w:color w:val="000000" w:themeColor="text1"/>
                <w:sz w:val="22"/>
                <w:szCs w:val="22"/>
                <w:lang w:val="en-US"/>
              </w:rPr>
            </w:pPr>
            <w:r w:rsidRPr="00D93E09">
              <w:rPr>
                <w:b/>
                <w:bCs/>
                <w:color w:val="000000" w:themeColor="text1"/>
                <w:sz w:val="22"/>
                <w:szCs w:val="22"/>
                <w:lang w:val="en-US"/>
              </w:rPr>
              <w:t>Liquidity</w:t>
            </w:r>
            <w:r w:rsidRPr="00D93E09">
              <w:rPr>
                <w:b/>
                <w:color w:val="000000" w:themeColor="text1"/>
                <w:sz w:val="22"/>
                <w:szCs w:val="22"/>
                <w:lang w:val="en-US"/>
              </w:rPr>
              <w:t xml:space="preserve"> and </w:t>
            </w:r>
            <w:r w:rsidRPr="00D93E09">
              <w:rPr>
                <w:b/>
                <w:bCs/>
                <w:color w:val="000000" w:themeColor="text1"/>
                <w:sz w:val="22"/>
                <w:szCs w:val="22"/>
                <w:lang w:val="en-US"/>
              </w:rPr>
              <w:t>capital resources</w:t>
            </w:r>
            <w:r w:rsidRPr="00D93E09">
              <w:rPr>
                <w:color w:val="000000" w:themeColor="text1"/>
                <w:sz w:val="22"/>
                <w:szCs w:val="22"/>
                <w:lang w:val="en-US"/>
              </w:rPr>
              <w:t xml:space="preserve"> - Many issuers with material liquidity risks did not disclose in detail their ability to meet working capital requirements, planned growth initiatives or to fund developmental activities and capital expenditures. Lack of disclosure regarding trends or expected fluctuations in liquidity</w:t>
            </w:r>
            <w:r w:rsidR="00697956" w:rsidRPr="00D93E09">
              <w:rPr>
                <w:color w:val="000000" w:themeColor="text1"/>
                <w:sz w:val="22"/>
                <w:szCs w:val="22"/>
                <w:lang w:val="en-US"/>
              </w:rPr>
              <w:t xml:space="preserve"> taking into account events or uncertainties related to COVID-19 </w:t>
            </w:r>
            <w:r w:rsidRPr="00D93E09">
              <w:rPr>
                <w:sz w:val="22"/>
                <w:szCs w:val="22"/>
              </w:rPr>
              <w:t xml:space="preserve">was commonly observed. </w:t>
            </w:r>
          </w:p>
          <w:p w14:paraId="01F4E040" w14:textId="6675A034" w:rsidR="00B04F56" w:rsidRPr="00D93E09" w:rsidRDefault="00B04F56" w:rsidP="00FE5493">
            <w:pPr>
              <w:pStyle w:val="ListParagraph"/>
              <w:numPr>
                <w:ilvl w:val="0"/>
                <w:numId w:val="51"/>
              </w:numPr>
              <w:jc w:val="both"/>
              <w:rPr>
                <w:sz w:val="22"/>
                <w:szCs w:val="22"/>
              </w:rPr>
            </w:pPr>
            <w:r w:rsidRPr="00D93E09">
              <w:rPr>
                <w:b/>
                <w:bCs/>
                <w:sz w:val="22"/>
                <w:szCs w:val="22"/>
              </w:rPr>
              <w:t>Risk factor disclosure</w:t>
            </w:r>
            <w:r w:rsidRPr="00D93E09">
              <w:rPr>
                <w:sz w:val="22"/>
                <w:szCs w:val="22"/>
              </w:rPr>
              <w:t xml:space="preserve"> - Several issuers provided “lists</w:t>
            </w:r>
            <w:r w:rsidR="00E5467D">
              <w:rPr>
                <w:sz w:val="22"/>
                <w:szCs w:val="22"/>
              </w:rPr>
              <w:t>”</w:t>
            </w:r>
            <w:r w:rsidRPr="00D93E09">
              <w:rPr>
                <w:sz w:val="22"/>
                <w:szCs w:val="22"/>
              </w:rPr>
              <w:t xml:space="preserve"> of risks without discussion or general disclosures that touched on general economic or societal impacts of COVID-19 and did not describe </w:t>
            </w:r>
            <w:r w:rsidR="00BE57AE">
              <w:rPr>
                <w:sz w:val="22"/>
                <w:szCs w:val="22"/>
              </w:rPr>
              <w:t>entity</w:t>
            </w:r>
            <w:r w:rsidRPr="00D93E09">
              <w:rPr>
                <w:sz w:val="22"/>
                <w:szCs w:val="22"/>
              </w:rPr>
              <w:t>-specific COVID-19-related risks.</w:t>
            </w:r>
          </w:p>
        </w:tc>
      </w:tr>
      <w:tr w:rsidR="00B04F56" w:rsidRPr="007D0F9D" w14:paraId="37B93E8B" w14:textId="77777777" w:rsidTr="00E5467D">
        <w:tc>
          <w:tcPr>
            <w:tcW w:w="2830" w:type="dxa"/>
            <w:shd w:val="clear" w:color="auto" w:fill="EEECE1" w:themeFill="background2"/>
          </w:tcPr>
          <w:p w14:paraId="32EFFE1C" w14:textId="77777777" w:rsidR="00B04F56" w:rsidRPr="00D93E09" w:rsidRDefault="00B04F56" w:rsidP="00E5467D">
            <w:pPr>
              <w:rPr>
                <w:b/>
                <w:bCs/>
                <w:sz w:val="22"/>
                <w:szCs w:val="22"/>
              </w:rPr>
            </w:pPr>
            <w:r w:rsidRPr="00D93E09">
              <w:rPr>
                <w:b/>
                <w:bCs/>
                <w:sz w:val="22"/>
                <w:szCs w:val="22"/>
              </w:rPr>
              <w:t>Financial Statements</w:t>
            </w:r>
          </w:p>
        </w:tc>
        <w:tc>
          <w:tcPr>
            <w:tcW w:w="6520" w:type="dxa"/>
            <w:shd w:val="clear" w:color="auto" w:fill="EEECE1" w:themeFill="background2"/>
          </w:tcPr>
          <w:p w14:paraId="3BF4431A" w14:textId="02CFF8DC" w:rsidR="009878A2" w:rsidRPr="00875046" w:rsidRDefault="009878A2" w:rsidP="00761BD8">
            <w:pPr>
              <w:pStyle w:val="ListParagraph"/>
              <w:numPr>
                <w:ilvl w:val="0"/>
                <w:numId w:val="42"/>
              </w:numPr>
              <w:jc w:val="both"/>
              <w:rPr>
                <w:sz w:val="22"/>
                <w:szCs w:val="22"/>
              </w:rPr>
            </w:pPr>
            <w:r w:rsidRPr="0035476D">
              <w:rPr>
                <w:b/>
                <w:bCs/>
                <w:sz w:val="22"/>
                <w:szCs w:val="22"/>
              </w:rPr>
              <w:t>General</w:t>
            </w:r>
            <w:r>
              <w:rPr>
                <w:b/>
                <w:bCs/>
                <w:sz w:val="22"/>
                <w:szCs w:val="22"/>
              </w:rPr>
              <w:t xml:space="preserve"> </w:t>
            </w:r>
            <w:r>
              <w:rPr>
                <w:sz w:val="22"/>
                <w:szCs w:val="22"/>
              </w:rPr>
              <w:t>-</w:t>
            </w:r>
            <w:r>
              <w:rPr>
                <w:b/>
                <w:bCs/>
                <w:sz w:val="22"/>
                <w:szCs w:val="22"/>
              </w:rPr>
              <w:t xml:space="preserve"> </w:t>
            </w:r>
            <w:r>
              <w:rPr>
                <w:sz w:val="22"/>
                <w:szCs w:val="22"/>
              </w:rPr>
              <w:t xml:space="preserve">Some issuers failed to adequately update their disclosures </w:t>
            </w:r>
            <w:r w:rsidR="00C64D5A">
              <w:rPr>
                <w:sz w:val="22"/>
                <w:szCs w:val="22"/>
              </w:rPr>
              <w:t>and</w:t>
            </w:r>
            <w:r>
              <w:rPr>
                <w:sz w:val="22"/>
                <w:szCs w:val="22"/>
              </w:rPr>
              <w:t xml:space="preserve"> assumptions </w:t>
            </w:r>
            <w:r w:rsidR="00C64D5A">
              <w:rPr>
                <w:sz w:val="22"/>
                <w:szCs w:val="22"/>
              </w:rPr>
              <w:t>impacted by</w:t>
            </w:r>
            <w:r w:rsidRPr="00875046">
              <w:rPr>
                <w:sz w:val="22"/>
                <w:szCs w:val="22"/>
              </w:rPr>
              <w:t xml:space="preserve"> COVID-19 in the context of testing </w:t>
            </w:r>
            <w:r>
              <w:rPr>
                <w:sz w:val="22"/>
                <w:szCs w:val="22"/>
              </w:rPr>
              <w:t xml:space="preserve">impairments of goodwill and intangible assets, measuring fair value </w:t>
            </w:r>
            <w:r w:rsidR="00CB19F7">
              <w:rPr>
                <w:sz w:val="22"/>
                <w:szCs w:val="22"/>
              </w:rPr>
              <w:t>(</w:t>
            </w:r>
            <w:r w:rsidR="00CB19F7" w:rsidRPr="00D93E09">
              <w:rPr>
                <w:b/>
                <w:bCs/>
                <w:sz w:val="22"/>
                <w:szCs w:val="22"/>
              </w:rPr>
              <w:t>FV</w:t>
            </w:r>
            <w:r w:rsidR="00CB19F7">
              <w:rPr>
                <w:sz w:val="22"/>
                <w:szCs w:val="22"/>
              </w:rPr>
              <w:t xml:space="preserve">) </w:t>
            </w:r>
            <w:r>
              <w:rPr>
                <w:sz w:val="22"/>
                <w:szCs w:val="22"/>
              </w:rPr>
              <w:t>and estimating expected credit losses</w:t>
            </w:r>
            <w:r w:rsidRPr="00875046">
              <w:rPr>
                <w:sz w:val="22"/>
                <w:szCs w:val="22"/>
              </w:rPr>
              <w:t>.</w:t>
            </w:r>
            <w:r>
              <w:rPr>
                <w:sz w:val="22"/>
                <w:szCs w:val="22"/>
              </w:rPr>
              <w:t xml:space="preserve"> </w:t>
            </w:r>
          </w:p>
          <w:p w14:paraId="1B360B45" w14:textId="77777777" w:rsidR="00C64D5A" w:rsidRPr="00C64D5A" w:rsidRDefault="009878A2" w:rsidP="00C64D5A">
            <w:pPr>
              <w:pStyle w:val="ListParagraph"/>
              <w:numPr>
                <w:ilvl w:val="0"/>
                <w:numId w:val="42"/>
              </w:numPr>
              <w:rPr>
                <w:sz w:val="22"/>
                <w:szCs w:val="22"/>
              </w:rPr>
            </w:pPr>
            <w:r w:rsidRPr="00C64D5A">
              <w:rPr>
                <w:b/>
                <w:bCs/>
                <w:sz w:val="22"/>
                <w:szCs w:val="22"/>
              </w:rPr>
              <w:t>Significant judgements and measurement uncertainties</w:t>
            </w:r>
            <w:r w:rsidRPr="00C64D5A">
              <w:rPr>
                <w:sz w:val="22"/>
                <w:szCs w:val="22"/>
              </w:rPr>
              <w:t xml:space="preserve"> – </w:t>
            </w:r>
            <w:r w:rsidR="00C64D5A" w:rsidRPr="00C64D5A">
              <w:rPr>
                <w:sz w:val="22"/>
                <w:szCs w:val="22"/>
              </w:rPr>
              <w:t>Some issuers failed to include entity-specific disclosure for significant judgements or measurement uncertainties or only included this disclosure in their MD&amp;A but not in their financial statements.</w:t>
            </w:r>
          </w:p>
          <w:p w14:paraId="4FB5D7FD" w14:textId="035B0ECB" w:rsidR="009878A2" w:rsidRPr="000273CB" w:rsidRDefault="009878A2" w:rsidP="00761BD8">
            <w:pPr>
              <w:pStyle w:val="ListParagraph"/>
              <w:numPr>
                <w:ilvl w:val="0"/>
                <w:numId w:val="42"/>
              </w:numPr>
              <w:spacing w:after="240"/>
              <w:jc w:val="both"/>
              <w:rPr>
                <w:sz w:val="22"/>
                <w:szCs w:val="22"/>
              </w:rPr>
            </w:pPr>
            <w:r w:rsidRPr="00E443E8">
              <w:rPr>
                <w:b/>
                <w:bCs/>
                <w:sz w:val="22"/>
                <w:szCs w:val="22"/>
              </w:rPr>
              <w:t>Impairment of non-financial assets</w:t>
            </w:r>
            <w:r>
              <w:rPr>
                <w:sz w:val="22"/>
                <w:szCs w:val="22"/>
              </w:rPr>
              <w:t xml:space="preserve"> –</w:t>
            </w:r>
            <w:r w:rsidR="00983284">
              <w:rPr>
                <w:sz w:val="20"/>
                <w:lang w:eastAsia="fr-CA"/>
              </w:rPr>
              <w:t xml:space="preserve"> </w:t>
            </w:r>
            <w:r w:rsidR="00983284" w:rsidRPr="00D93E09">
              <w:rPr>
                <w:sz w:val="22"/>
                <w:szCs w:val="22"/>
                <w:lang w:eastAsia="fr-CA"/>
              </w:rPr>
              <w:t xml:space="preserve">A few issuers did not identify reasons for impairments or just noted “negative economic impacts of COVID-19” as an impairment indicator for all </w:t>
            </w:r>
            <w:r w:rsidR="009E5DEB">
              <w:rPr>
                <w:sz w:val="22"/>
                <w:szCs w:val="22"/>
                <w:lang w:eastAsia="fr-CA"/>
              </w:rPr>
              <w:t>cash generating units (</w:t>
            </w:r>
            <w:r w:rsidR="00983284" w:rsidRPr="00D93E09">
              <w:rPr>
                <w:b/>
                <w:bCs/>
                <w:sz w:val="22"/>
                <w:szCs w:val="22"/>
                <w:lang w:eastAsia="fr-CA"/>
              </w:rPr>
              <w:t>CGU</w:t>
            </w:r>
            <w:r w:rsidR="00983284" w:rsidRPr="00D93E09">
              <w:rPr>
                <w:sz w:val="22"/>
                <w:szCs w:val="22"/>
                <w:lang w:eastAsia="fr-CA"/>
              </w:rPr>
              <w:t>s</w:t>
            </w:r>
            <w:r w:rsidR="009E5DEB">
              <w:rPr>
                <w:sz w:val="22"/>
                <w:szCs w:val="22"/>
                <w:lang w:eastAsia="fr-CA"/>
              </w:rPr>
              <w:t>)</w:t>
            </w:r>
            <w:r w:rsidR="00983284" w:rsidRPr="00D93E09">
              <w:rPr>
                <w:sz w:val="22"/>
                <w:szCs w:val="22"/>
                <w:lang w:eastAsia="fr-CA"/>
              </w:rPr>
              <w:t xml:space="preserve"> but did not elaborate on those impacts</w:t>
            </w:r>
            <w:r w:rsidR="00983284" w:rsidRPr="000273CB">
              <w:rPr>
                <w:sz w:val="22"/>
                <w:szCs w:val="22"/>
              </w:rPr>
              <w:t>.</w:t>
            </w:r>
          </w:p>
          <w:p w14:paraId="0E2BD550" w14:textId="3CACDA90" w:rsidR="009878A2" w:rsidRPr="00111282" w:rsidRDefault="009878A2" w:rsidP="00761BD8">
            <w:pPr>
              <w:pStyle w:val="ListParagraph"/>
              <w:numPr>
                <w:ilvl w:val="0"/>
                <w:numId w:val="42"/>
              </w:numPr>
              <w:jc w:val="both"/>
              <w:rPr>
                <w:sz w:val="22"/>
                <w:szCs w:val="22"/>
              </w:rPr>
            </w:pPr>
            <w:r w:rsidRPr="00111282">
              <w:rPr>
                <w:b/>
                <w:bCs/>
                <w:sz w:val="22"/>
                <w:szCs w:val="22"/>
              </w:rPr>
              <w:t>Going concern</w:t>
            </w:r>
            <w:r w:rsidRPr="00111282">
              <w:rPr>
                <w:sz w:val="22"/>
                <w:szCs w:val="22"/>
              </w:rPr>
              <w:t xml:space="preserve"> - </w:t>
            </w:r>
            <w:r w:rsidR="00C64D5A" w:rsidRPr="00C64D5A">
              <w:rPr>
                <w:sz w:val="22"/>
                <w:szCs w:val="22"/>
              </w:rPr>
              <w:t>Some issuers breached financial covenants during the reporting period but did not disclose the implications of breaches on the issuer's ability to continue as a going concern. Some issuers disclosed “close call” situations but did not disclose the mitigating actions that impacted their determination that there were no material uncertainties that cast significant doubt on the issuer’s ability to continue as a going concern (e.g. successful negotiation of credit facilities subsequent to period end).</w:t>
            </w:r>
          </w:p>
          <w:p w14:paraId="6E512B8E" w14:textId="4DFDD12C" w:rsidR="00C64D5A" w:rsidRDefault="009878A2" w:rsidP="00761BD8">
            <w:pPr>
              <w:pStyle w:val="ListParagraph"/>
              <w:numPr>
                <w:ilvl w:val="0"/>
                <w:numId w:val="42"/>
              </w:numPr>
              <w:jc w:val="both"/>
              <w:rPr>
                <w:sz w:val="22"/>
                <w:szCs w:val="22"/>
              </w:rPr>
            </w:pPr>
            <w:r w:rsidRPr="006C78CE">
              <w:rPr>
                <w:b/>
                <w:bCs/>
                <w:sz w:val="22"/>
                <w:szCs w:val="22"/>
              </w:rPr>
              <w:t xml:space="preserve">Government </w:t>
            </w:r>
            <w:r w:rsidR="00C64D5A">
              <w:rPr>
                <w:b/>
                <w:bCs/>
                <w:sz w:val="22"/>
                <w:szCs w:val="22"/>
              </w:rPr>
              <w:t>assistance</w:t>
            </w:r>
            <w:r w:rsidRPr="00A84160">
              <w:rPr>
                <w:sz w:val="22"/>
                <w:szCs w:val="22"/>
                <w:lang w:eastAsia="fr-CA"/>
              </w:rPr>
              <w:t xml:space="preserve"> - </w:t>
            </w:r>
            <w:r w:rsidR="00C64D5A" w:rsidRPr="00C64D5A">
              <w:rPr>
                <w:sz w:val="22"/>
                <w:szCs w:val="22"/>
              </w:rPr>
              <w:t xml:space="preserve">Over half of the issuers we reviewed recognized, or disclosed in subsequent events, COVID-19 related government assistance in their financial statements since the outbreak of the COVID-19 pandemic. Some issuers did not disclose the nature and extent of the government assistance </w:t>
            </w:r>
            <w:r w:rsidR="00C04846">
              <w:rPr>
                <w:sz w:val="22"/>
                <w:szCs w:val="22"/>
              </w:rPr>
              <w:t>or</w:t>
            </w:r>
            <w:r w:rsidR="00C64D5A" w:rsidRPr="00C64D5A">
              <w:rPr>
                <w:sz w:val="22"/>
                <w:szCs w:val="22"/>
              </w:rPr>
              <w:t xml:space="preserve"> the accounting policy adopted including the methods of presentation.</w:t>
            </w:r>
          </w:p>
          <w:p w14:paraId="70A6760A" w14:textId="168BA10E" w:rsidR="00C64D5A" w:rsidRPr="003F7CCE" w:rsidRDefault="00C64D5A" w:rsidP="00C64D5A">
            <w:pPr>
              <w:pStyle w:val="ListParagraph"/>
              <w:numPr>
                <w:ilvl w:val="0"/>
                <w:numId w:val="42"/>
              </w:numPr>
              <w:jc w:val="both"/>
              <w:rPr>
                <w:sz w:val="22"/>
                <w:szCs w:val="22"/>
              </w:rPr>
            </w:pPr>
            <w:r w:rsidRPr="003F7CCE">
              <w:rPr>
                <w:b/>
                <w:bCs/>
                <w:sz w:val="22"/>
                <w:szCs w:val="22"/>
              </w:rPr>
              <w:t>Expected credit losses (ECL)</w:t>
            </w:r>
            <w:r w:rsidRPr="003F7CCE">
              <w:rPr>
                <w:sz w:val="22"/>
                <w:szCs w:val="22"/>
              </w:rPr>
              <w:t xml:space="preserve"> - Only a few issuers disclosed </w:t>
            </w:r>
            <w:r>
              <w:rPr>
                <w:sz w:val="22"/>
                <w:szCs w:val="22"/>
              </w:rPr>
              <w:t>the use of</w:t>
            </w:r>
            <w:r w:rsidR="00C04846">
              <w:rPr>
                <w:sz w:val="22"/>
                <w:szCs w:val="22"/>
              </w:rPr>
              <w:t xml:space="preserve"> COVID-19-induced </w:t>
            </w:r>
            <w:r w:rsidRPr="003F7CCE">
              <w:rPr>
                <w:sz w:val="22"/>
                <w:szCs w:val="22"/>
              </w:rPr>
              <w:t>adjustments/overlays</w:t>
            </w:r>
            <w:r>
              <w:rPr>
                <w:sz w:val="22"/>
                <w:szCs w:val="22"/>
              </w:rPr>
              <w:t xml:space="preserve"> to their ECL models</w:t>
            </w:r>
            <w:r w:rsidRPr="003F7CCE">
              <w:rPr>
                <w:sz w:val="22"/>
                <w:szCs w:val="22"/>
              </w:rPr>
              <w:t>.</w:t>
            </w:r>
          </w:p>
          <w:p w14:paraId="3D0B4EED" w14:textId="77777777" w:rsidR="00C64D5A" w:rsidRDefault="00C64D5A" w:rsidP="00C64D5A">
            <w:pPr>
              <w:pStyle w:val="ListParagraph"/>
              <w:numPr>
                <w:ilvl w:val="0"/>
                <w:numId w:val="42"/>
              </w:numPr>
              <w:jc w:val="both"/>
              <w:rPr>
                <w:sz w:val="22"/>
                <w:szCs w:val="22"/>
              </w:rPr>
            </w:pPr>
            <w:r>
              <w:rPr>
                <w:b/>
                <w:bCs/>
                <w:sz w:val="22"/>
                <w:szCs w:val="22"/>
              </w:rPr>
              <w:t xml:space="preserve">Financial Instrument Risk Disclosure - </w:t>
            </w:r>
            <w:r>
              <w:rPr>
                <w:sz w:val="22"/>
                <w:szCs w:val="22"/>
              </w:rPr>
              <w:t>Some</w:t>
            </w:r>
            <w:r w:rsidRPr="006674FE">
              <w:rPr>
                <w:sz w:val="22"/>
                <w:szCs w:val="22"/>
              </w:rPr>
              <w:t xml:space="preserve"> issuers </w:t>
            </w:r>
            <w:r>
              <w:rPr>
                <w:sz w:val="22"/>
                <w:szCs w:val="22"/>
              </w:rPr>
              <w:t>that experienced</w:t>
            </w:r>
            <w:r w:rsidRPr="006674FE">
              <w:rPr>
                <w:sz w:val="22"/>
                <w:szCs w:val="22"/>
              </w:rPr>
              <w:t xml:space="preserve"> material </w:t>
            </w:r>
            <w:r>
              <w:rPr>
                <w:sz w:val="22"/>
                <w:szCs w:val="22"/>
              </w:rPr>
              <w:t xml:space="preserve">adverse </w:t>
            </w:r>
            <w:r w:rsidRPr="006674FE">
              <w:rPr>
                <w:sz w:val="22"/>
                <w:szCs w:val="22"/>
              </w:rPr>
              <w:t xml:space="preserve">impacts of COVID-19 did not provide </w:t>
            </w:r>
            <w:r>
              <w:rPr>
                <w:sz w:val="22"/>
                <w:szCs w:val="22"/>
              </w:rPr>
              <w:t xml:space="preserve">an </w:t>
            </w:r>
            <w:r w:rsidRPr="006674FE">
              <w:rPr>
                <w:sz w:val="22"/>
                <w:szCs w:val="22"/>
              </w:rPr>
              <w:t>entity-specific update to their risk disclosure in the financial statements.</w:t>
            </w:r>
          </w:p>
          <w:p w14:paraId="4D9A68F4" w14:textId="05028514" w:rsidR="00B04F56" w:rsidRPr="000273CB" w:rsidRDefault="004B4005" w:rsidP="00C64D5A">
            <w:pPr>
              <w:pStyle w:val="ListParagraph"/>
              <w:numPr>
                <w:ilvl w:val="0"/>
                <w:numId w:val="42"/>
              </w:numPr>
              <w:jc w:val="both"/>
              <w:rPr>
                <w:sz w:val="22"/>
                <w:szCs w:val="22"/>
              </w:rPr>
            </w:pPr>
            <w:r>
              <w:rPr>
                <w:b/>
                <w:bCs/>
                <w:sz w:val="22"/>
                <w:szCs w:val="22"/>
                <w:lang w:eastAsia="fr-CA"/>
              </w:rPr>
              <w:t>COVID-19 related a</w:t>
            </w:r>
            <w:r w:rsidRPr="00D93E09">
              <w:rPr>
                <w:b/>
                <w:bCs/>
                <w:sz w:val="22"/>
                <w:szCs w:val="22"/>
                <w:lang w:eastAsia="fr-CA"/>
              </w:rPr>
              <w:t xml:space="preserve">mendments to IFRS 16 </w:t>
            </w:r>
            <w:r w:rsidRPr="007E31FC">
              <w:rPr>
                <w:b/>
                <w:bCs/>
                <w:i/>
                <w:iCs/>
                <w:sz w:val="22"/>
                <w:szCs w:val="22"/>
                <w:lang w:eastAsia="fr-CA"/>
              </w:rPr>
              <w:t>Leases</w:t>
            </w:r>
            <w:r w:rsidRPr="00D93E09">
              <w:rPr>
                <w:b/>
                <w:bCs/>
                <w:sz w:val="22"/>
                <w:szCs w:val="22"/>
                <w:lang w:eastAsia="fr-CA"/>
              </w:rPr>
              <w:t xml:space="preserve"> </w:t>
            </w:r>
            <w:r>
              <w:rPr>
                <w:b/>
                <w:bCs/>
                <w:sz w:val="22"/>
                <w:szCs w:val="22"/>
                <w:lang w:eastAsia="fr-CA"/>
              </w:rPr>
              <w:t xml:space="preserve">for </w:t>
            </w:r>
            <w:r w:rsidR="00C64D5A" w:rsidRPr="00D93E09">
              <w:rPr>
                <w:b/>
                <w:bCs/>
                <w:sz w:val="22"/>
                <w:szCs w:val="22"/>
                <w:lang w:eastAsia="fr-CA"/>
              </w:rPr>
              <w:t>Lessees</w:t>
            </w:r>
            <w:r w:rsidR="00C64D5A" w:rsidRPr="00D93E09">
              <w:rPr>
                <w:sz w:val="22"/>
                <w:szCs w:val="22"/>
                <w:lang w:eastAsia="fr-CA"/>
              </w:rPr>
              <w:t xml:space="preserve"> </w:t>
            </w:r>
            <w:r w:rsidR="00C64D5A" w:rsidRPr="00D93E09">
              <w:rPr>
                <w:b/>
                <w:bCs/>
                <w:sz w:val="22"/>
                <w:szCs w:val="22"/>
                <w:lang w:eastAsia="fr-CA"/>
              </w:rPr>
              <w:t>–</w:t>
            </w:r>
            <w:r w:rsidR="00C64D5A" w:rsidRPr="00D93E09">
              <w:rPr>
                <w:sz w:val="22"/>
                <w:szCs w:val="22"/>
                <w:lang w:eastAsia="fr-CA"/>
              </w:rPr>
              <w:t xml:space="preserve"> </w:t>
            </w:r>
            <w:r w:rsidR="00C64D5A" w:rsidRPr="00D93E09">
              <w:rPr>
                <w:sz w:val="22"/>
                <w:szCs w:val="22"/>
              </w:rPr>
              <w:t>C</w:t>
            </w:r>
            <w:r w:rsidR="00C64D5A" w:rsidRPr="000273CB">
              <w:rPr>
                <w:sz w:val="22"/>
                <w:szCs w:val="22"/>
              </w:rPr>
              <w:t xml:space="preserve">ertain issuers did not sufficiently disclose </w:t>
            </w:r>
            <w:r w:rsidR="00C04846">
              <w:rPr>
                <w:sz w:val="22"/>
                <w:szCs w:val="22"/>
              </w:rPr>
              <w:t xml:space="preserve">whether </w:t>
            </w:r>
            <w:r w:rsidR="00C64D5A" w:rsidRPr="000273CB">
              <w:rPr>
                <w:sz w:val="22"/>
                <w:szCs w:val="22"/>
              </w:rPr>
              <w:t xml:space="preserve">they applied the practical expedient to </w:t>
            </w:r>
            <w:r w:rsidR="00C64D5A">
              <w:rPr>
                <w:sz w:val="22"/>
                <w:szCs w:val="22"/>
              </w:rPr>
              <w:t xml:space="preserve">either </w:t>
            </w:r>
            <w:r w:rsidR="00C64D5A" w:rsidRPr="000273CB">
              <w:rPr>
                <w:sz w:val="22"/>
                <w:szCs w:val="22"/>
              </w:rPr>
              <w:t xml:space="preserve">all </w:t>
            </w:r>
            <w:r w:rsidR="00C64D5A">
              <w:rPr>
                <w:sz w:val="22"/>
                <w:szCs w:val="22"/>
              </w:rPr>
              <w:t>or some of their</w:t>
            </w:r>
            <w:r w:rsidR="00C64D5A" w:rsidRPr="000273CB">
              <w:rPr>
                <w:sz w:val="22"/>
                <w:szCs w:val="22"/>
              </w:rPr>
              <w:t xml:space="preserve"> rent concessions</w:t>
            </w:r>
            <w:r w:rsidR="00C04846">
              <w:rPr>
                <w:sz w:val="22"/>
                <w:szCs w:val="22"/>
              </w:rPr>
              <w:t>.</w:t>
            </w:r>
          </w:p>
        </w:tc>
      </w:tr>
      <w:tr w:rsidR="00B04F56" w:rsidRPr="007D0F9D" w14:paraId="0E9AC0A7" w14:textId="77777777" w:rsidTr="00E5467D">
        <w:tc>
          <w:tcPr>
            <w:tcW w:w="2830" w:type="dxa"/>
            <w:shd w:val="clear" w:color="auto" w:fill="EEECE1" w:themeFill="background2"/>
          </w:tcPr>
          <w:p w14:paraId="58A13588" w14:textId="77777777" w:rsidR="00B04F56" w:rsidRPr="009878A2" w:rsidRDefault="00B04F56" w:rsidP="00E5467D">
            <w:pPr>
              <w:rPr>
                <w:b/>
                <w:bCs/>
                <w:sz w:val="22"/>
                <w:szCs w:val="22"/>
              </w:rPr>
            </w:pPr>
            <w:r w:rsidRPr="00D93E09">
              <w:rPr>
                <w:b/>
                <w:bCs/>
                <w:sz w:val="22"/>
                <w:szCs w:val="22"/>
              </w:rPr>
              <w:t>NGM</w:t>
            </w:r>
            <w:r w:rsidR="0051521C" w:rsidRPr="00D93E09">
              <w:rPr>
                <w:b/>
                <w:bCs/>
                <w:sz w:val="22"/>
                <w:szCs w:val="22"/>
              </w:rPr>
              <w:t>s</w:t>
            </w:r>
          </w:p>
        </w:tc>
        <w:tc>
          <w:tcPr>
            <w:tcW w:w="6520" w:type="dxa"/>
            <w:shd w:val="clear" w:color="auto" w:fill="EEECE1" w:themeFill="background2"/>
          </w:tcPr>
          <w:p w14:paraId="3B8F96D8" w14:textId="77777777" w:rsidR="00B04F56" w:rsidRPr="005835D6" w:rsidRDefault="00F60388" w:rsidP="00E5467D">
            <w:pPr>
              <w:pStyle w:val="ListParagraph"/>
              <w:numPr>
                <w:ilvl w:val="0"/>
                <w:numId w:val="24"/>
              </w:numPr>
              <w:jc w:val="both"/>
              <w:rPr>
                <w:sz w:val="22"/>
                <w:szCs w:val="22"/>
              </w:rPr>
            </w:pPr>
            <w:r w:rsidRPr="00D93E09">
              <w:rPr>
                <w:b/>
                <w:bCs/>
                <w:sz w:val="22"/>
                <w:szCs w:val="22"/>
              </w:rPr>
              <w:t>NGMs adjusted for COVID-19</w:t>
            </w:r>
            <w:r>
              <w:rPr>
                <w:sz w:val="22"/>
                <w:szCs w:val="22"/>
              </w:rPr>
              <w:t xml:space="preserve"> - </w:t>
            </w:r>
            <w:r w:rsidR="00B04F56">
              <w:rPr>
                <w:sz w:val="22"/>
                <w:szCs w:val="22"/>
              </w:rPr>
              <w:t xml:space="preserve">Most issuers </w:t>
            </w:r>
            <w:r w:rsidR="00B04F56" w:rsidRPr="00C600D8">
              <w:rPr>
                <w:sz w:val="22"/>
                <w:szCs w:val="22"/>
              </w:rPr>
              <w:t xml:space="preserve">did not </w:t>
            </w:r>
            <w:r w:rsidR="00B04F56">
              <w:rPr>
                <w:sz w:val="22"/>
                <w:szCs w:val="22"/>
              </w:rPr>
              <w:t>present</w:t>
            </w:r>
            <w:r w:rsidR="00B04F56" w:rsidRPr="00C600D8">
              <w:rPr>
                <w:sz w:val="22"/>
                <w:szCs w:val="22"/>
              </w:rPr>
              <w:t xml:space="preserve"> </w:t>
            </w:r>
            <w:r w:rsidR="00B04F56">
              <w:rPr>
                <w:sz w:val="22"/>
                <w:szCs w:val="22"/>
              </w:rPr>
              <w:t xml:space="preserve">NGMs </w:t>
            </w:r>
            <w:r w:rsidR="001B7DA6">
              <w:rPr>
                <w:sz w:val="22"/>
                <w:szCs w:val="22"/>
              </w:rPr>
              <w:t xml:space="preserve">that </w:t>
            </w:r>
            <w:r w:rsidR="00B04F56" w:rsidRPr="00C600D8">
              <w:rPr>
                <w:sz w:val="22"/>
                <w:szCs w:val="22"/>
              </w:rPr>
              <w:t xml:space="preserve">adjusted for the impact of COVID-19. However, our review found isolated instances of </w:t>
            </w:r>
            <w:r w:rsidR="00B04F56">
              <w:rPr>
                <w:sz w:val="22"/>
                <w:szCs w:val="22"/>
              </w:rPr>
              <w:t xml:space="preserve">potentially </w:t>
            </w:r>
            <w:r w:rsidR="00B04F56" w:rsidRPr="00C600D8">
              <w:rPr>
                <w:sz w:val="22"/>
                <w:szCs w:val="22"/>
              </w:rPr>
              <w:t>misleading NGMs in relation to COVID-19</w:t>
            </w:r>
            <w:r w:rsidR="00B04F56" w:rsidRPr="00A22B14">
              <w:rPr>
                <w:sz w:val="22"/>
                <w:szCs w:val="22"/>
              </w:rPr>
              <w:t xml:space="preserve"> (e.g., adjusting for </w:t>
            </w:r>
            <w:r w:rsidR="00B04F56" w:rsidRPr="00ED22AC">
              <w:rPr>
                <w:sz w:val="22"/>
                <w:szCs w:val="22"/>
              </w:rPr>
              <w:t xml:space="preserve">expenses attributable to COVID-19 without adjusting for government subsidies or </w:t>
            </w:r>
            <w:r w:rsidR="00B04F56" w:rsidRPr="00A22B14">
              <w:rPr>
                <w:sz w:val="22"/>
                <w:szCs w:val="22"/>
              </w:rPr>
              <w:t>“normalizing</w:t>
            </w:r>
            <w:r w:rsidR="00B04F56" w:rsidRPr="00ED22AC">
              <w:rPr>
                <w:sz w:val="22"/>
                <w:szCs w:val="22"/>
              </w:rPr>
              <w:t>” revenue or expenses for the year-to-date period based on more positive results for one quarter</w:t>
            </w:r>
            <w:r w:rsidR="00B04F56" w:rsidRPr="00A22B14">
              <w:rPr>
                <w:sz w:val="22"/>
                <w:szCs w:val="22"/>
              </w:rPr>
              <w:t>).</w:t>
            </w:r>
          </w:p>
        </w:tc>
      </w:tr>
      <w:tr w:rsidR="00B04F56" w:rsidRPr="007D0F9D" w14:paraId="3BE0BF20" w14:textId="77777777" w:rsidTr="00E5467D">
        <w:tc>
          <w:tcPr>
            <w:tcW w:w="2830" w:type="dxa"/>
            <w:shd w:val="clear" w:color="auto" w:fill="EEECE1" w:themeFill="background2"/>
          </w:tcPr>
          <w:p w14:paraId="61DD7486" w14:textId="77777777" w:rsidR="00B04F56" w:rsidRPr="009878A2" w:rsidRDefault="00B04F56" w:rsidP="00E5467D">
            <w:pPr>
              <w:rPr>
                <w:b/>
                <w:bCs/>
                <w:sz w:val="22"/>
                <w:szCs w:val="22"/>
              </w:rPr>
            </w:pPr>
            <w:r w:rsidRPr="00D93E09">
              <w:rPr>
                <w:b/>
                <w:bCs/>
                <w:sz w:val="22"/>
                <w:szCs w:val="22"/>
              </w:rPr>
              <w:t>FLI</w:t>
            </w:r>
          </w:p>
        </w:tc>
        <w:tc>
          <w:tcPr>
            <w:tcW w:w="6520" w:type="dxa"/>
            <w:shd w:val="clear" w:color="auto" w:fill="EEECE1" w:themeFill="background2"/>
          </w:tcPr>
          <w:p w14:paraId="07CC18D1" w14:textId="77777777" w:rsidR="00B04F56" w:rsidRPr="00215DBE" w:rsidRDefault="00F60388" w:rsidP="00761BD8">
            <w:pPr>
              <w:pStyle w:val="ListParagraph"/>
              <w:numPr>
                <w:ilvl w:val="0"/>
                <w:numId w:val="29"/>
              </w:numPr>
              <w:jc w:val="both"/>
              <w:rPr>
                <w:sz w:val="20"/>
              </w:rPr>
            </w:pPr>
            <w:r w:rsidRPr="00D93E09">
              <w:rPr>
                <w:b/>
                <w:bCs/>
                <w:color w:val="000000" w:themeColor="text1"/>
                <w:sz w:val="22"/>
                <w:szCs w:val="22"/>
                <w:lang w:val="en-US"/>
              </w:rPr>
              <w:t>FLI related to COVID-19</w:t>
            </w:r>
            <w:r>
              <w:rPr>
                <w:color w:val="000000" w:themeColor="text1"/>
                <w:sz w:val="22"/>
                <w:szCs w:val="22"/>
                <w:lang w:val="en-US"/>
              </w:rPr>
              <w:t xml:space="preserve"> - </w:t>
            </w:r>
            <w:r w:rsidR="00B04F56">
              <w:rPr>
                <w:color w:val="000000" w:themeColor="text1"/>
                <w:sz w:val="22"/>
                <w:szCs w:val="22"/>
                <w:lang w:val="en-US"/>
              </w:rPr>
              <w:t xml:space="preserve">In certain cases, </w:t>
            </w:r>
            <w:r w:rsidR="00B04F56" w:rsidRPr="00215DBE">
              <w:rPr>
                <w:color w:val="000000" w:themeColor="text1"/>
                <w:sz w:val="22"/>
                <w:szCs w:val="22"/>
                <w:lang w:val="en-US"/>
              </w:rPr>
              <w:t>we observed insufficient disclosure of assumptions used to develop FLI</w:t>
            </w:r>
            <w:r w:rsidR="00B04F56">
              <w:rPr>
                <w:color w:val="000000" w:themeColor="text1"/>
                <w:sz w:val="22"/>
                <w:szCs w:val="22"/>
                <w:lang w:val="en-US"/>
              </w:rPr>
              <w:t xml:space="preserve"> and </w:t>
            </w:r>
            <w:r w:rsidR="00B04F56" w:rsidRPr="00215DBE">
              <w:rPr>
                <w:color w:val="000000" w:themeColor="text1"/>
                <w:sz w:val="22"/>
                <w:szCs w:val="22"/>
                <w:lang w:val="en-US"/>
              </w:rPr>
              <w:t xml:space="preserve">failure to </w:t>
            </w:r>
            <w:r w:rsidR="00B04F56" w:rsidRPr="00215DBE">
              <w:rPr>
                <w:sz w:val="22"/>
                <w:szCs w:val="22"/>
              </w:rPr>
              <w:t>adequately update the MD&amp;A for events</w:t>
            </w:r>
            <w:r w:rsidR="00B04F56">
              <w:rPr>
                <w:sz w:val="22"/>
                <w:szCs w:val="22"/>
              </w:rPr>
              <w:t xml:space="preserve"> and risks </w:t>
            </w:r>
            <w:r w:rsidR="00B04F56" w:rsidRPr="00215DBE">
              <w:rPr>
                <w:sz w:val="22"/>
                <w:szCs w:val="22"/>
              </w:rPr>
              <w:t xml:space="preserve">that </w:t>
            </w:r>
            <w:r w:rsidR="00B04F56">
              <w:rPr>
                <w:sz w:val="22"/>
                <w:szCs w:val="22"/>
              </w:rPr>
              <w:t xml:space="preserve">could </w:t>
            </w:r>
            <w:r w:rsidR="00B04F56" w:rsidRPr="00215DBE">
              <w:rPr>
                <w:sz w:val="22"/>
                <w:szCs w:val="22"/>
              </w:rPr>
              <w:t>cause actual results for future periods to differ materially from previously disclosed</w:t>
            </w:r>
            <w:r w:rsidR="00B04F56">
              <w:rPr>
                <w:sz w:val="22"/>
                <w:szCs w:val="22"/>
              </w:rPr>
              <w:t xml:space="preserve"> FLI.</w:t>
            </w:r>
          </w:p>
        </w:tc>
      </w:tr>
      <w:tr w:rsidR="00B04F56" w:rsidRPr="007D0F9D" w14:paraId="51499B46" w14:textId="77777777" w:rsidTr="00E5467D">
        <w:tc>
          <w:tcPr>
            <w:tcW w:w="2830" w:type="dxa"/>
            <w:shd w:val="clear" w:color="auto" w:fill="EEECE1" w:themeFill="background2"/>
          </w:tcPr>
          <w:p w14:paraId="3811071E" w14:textId="77777777" w:rsidR="00B04F56" w:rsidRPr="00D93E09" w:rsidRDefault="00B04F56" w:rsidP="00E5467D">
            <w:pPr>
              <w:rPr>
                <w:b/>
                <w:bCs/>
                <w:sz w:val="22"/>
                <w:szCs w:val="22"/>
              </w:rPr>
            </w:pPr>
            <w:r w:rsidRPr="00D93E09">
              <w:rPr>
                <w:b/>
                <w:bCs/>
                <w:sz w:val="22"/>
                <w:szCs w:val="22"/>
              </w:rPr>
              <w:t>Material Change Reporting</w:t>
            </w:r>
          </w:p>
        </w:tc>
        <w:tc>
          <w:tcPr>
            <w:tcW w:w="6520" w:type="dxa"/>
            <w:shd w:val="clear" w:color="auto" w:fill="EEECE1" w:themeFill="background2"/>
          </w:tcPr>
          <w:p w14:paraId="004AD13C" w14:textId="77777777" w:rsidR="00B04F56" w:rsidRPr="006C2F63" w:rsidRDefault="00B04F56" w:rsidP="00761BD8">
            <w:pPr>
              <w:pStyle w:val="ListParagraph"/>
              <w:numPr>
                <w:ilvl w:val="0"/>
                <w:numId w:val="43"/>
              </w:numPr>
              <w:jc w:val="both"/>
              <w:rPr>
                <w:sz w:val="22"/>
                <w:szCs w:val="22"/>
              </w:rPr>
            </w:pPr>
            <w:r w:rsidRPr="004662EF">
              <w:rPr>
                <w:color w:val="000000" w:themeColor="text1"/>
                <w:spacing w:val="-5"/>
                <w:sz w:val="22"/>
                <w:szCs w:val="22"/>
              </w:rPr>
              <w:t xml:space="preserve">If COVID-19 has an equal effect throughout an issuer’s industry, a material change report </w:t>
            </w:r>
            <w:r w:rsidRPr="00C1177B">
              <w:rPr>
                <w:color w:val="000000" w:themeColor="text1"/>
                <w:spacing w:val="-5"/>
                <w:sz w:val="22"/>
                <w:szCs w:val="22"/>
              </w:rPr>
              <w:t>may not be required. Only a few issuers reviewed filed material change reports in relation to COVID-19 although in some instances changes to the issuer’s business, operations or capital were more unique or more significant to them than to others in their industry</w:t>
            </w:r>
            <w:r w:rsidRPr="002D7CCC">
              <w:rPr>
                <w:color w:val="000000" w:themeColor="text1"/>
                <w:sz w:val="22"/>
                <w:szCs w:val="22"/>
                <w:lang w:val="en-US"/>
              </w:rPr>
              <w:t xml:space="preserve">.  </w:t>
            </w:r>
          </w:p>
        </w:tc>
      </w:tr>
      <w:tr w:rsidR="00B04F56" w:rsidRPr="007D0F9D" w14:paraId="2A316207" w14:textId="77777777" w:rsidTr="00E5467D">
        <w:tc>
          <w:tcPr>
            <w:tcW w:w="2830" w:type="dxa"/>
            <w:shd w:val="clear" w:color="auto" w:fill="EEECE1" w:themeFill="background2"/>
          </w:tcPr>
          <w:p w14:paraId="0FD6BA47" w14:textId="77777777" w:rsidR="00B04F56" w:rsidRPr="00D93E09" w:rsidRDefault="00B04F56" w:rsidP="00E5467D">
            <w:pPr>
              <w:rPr>
                <w:b/>
                <w:bCs/>
                <w:sz w:val="22"/>
                <w:szCs w:val="22"/>
              </w:rPr>
            </w:pPr>
            <w:r w:rsidRPr="00D93E09">
              <w:rPr>
                <w:b/>
                <w:bCs/>
                <w:sz w:val="22"/>
                <w:szCs w:val="22"/>
              </w:rPr>
              <w:t>Promotional Disclosures</w:t>
            </w:r>
          </w:p>
        </w:tc>
        <w:tc>
          <w:tcPr>
            <w:tcW w:w="6520" w:type="dxa"/>
            <w:shd w:val="clear" w:color="auto" w:fill="EEECE1" w:themeFill="background2"/>
          </w:tcPr>
          <w:p w14:paraId="3BB50298" w14:textId="2197766D" w:rsidR="00B04F56" w:rsidRPr="00316C98" w:rsidRDefault="001F50A2" w:rsidP="00761BD8">
            <w:pPr>
              <w:pStyle w:val="ListParagraph"/>
              <w:numPr>
                <w:ilvl w:val="0"/>
                <w:numId w:val="47"/>
              </w:numPr>
              <w:jc w:val="both"/>
              <w:rPr>
                <w:color w:val="000000" w:themeColor="text1"/>
                <w:sz w:val="22"/>
                <w:szCs w:val="22"/>
                <w:lang w:val="en-US"/>
              </w:rPr>
            </w:pPr>
            <w:r w:rsidRPr="00D93E09">
              <w:rPr>
                <w:b/>
                <w:bCs/>
                <w:color w:val="000000" w:themeColor="text1"/>
                <w:sz w:val="22"/>
                <w:szCs w:val="22"/>
                <w:lang w:val="en-US"/>
              </w:rPr>
              <w:t>Potentially misleading disclosures</w:t>
            </w:r>
            <w:r>
              <w:rPr>
                <w:color w:val="000000" w:themeColor="text1"/>
                <w:sz w:val="22"/>
                <w:szCs w:val="22"/>
                <w:lang w:val="en-US"/>
              </w:rPr>
              <w:t xml:space="preserve"> - </w:t>
            </w:r>
            <w:r w:rsidR="00B04F56" w:rsidRPr="005F201E">
              <w:rPr>
                <w:color w:val="000000" w:themeColor="text1"/>
                <w:sz w:val="22"/>
                <w:szCs w:val="22"/>
                <w:lang w:val="en-US"/>
              </w:rPr>
              <w:t xml:space="preserve">Some issuers </w:t>
            </w:r>
            <w:r w:rsidR="00B04F56">
              <w:rPr>
                <w:color w:val="000000" w:themeColor="text1"/>
                <w:sz w:val="22"/>
                <w:szCs w:val="22"/>
                <w:lang w:val="en-US"/>
              </w:rPr>
              <w:t xml:space="preserve">concentrated in the biotech/pharma industry </w:t>
            </w:r>
            <w:r w:rsidR="00B04F56" w:rsidRPr="005F201E">
              <w:rPr>
                <w:color w:val="000000" w:themeColor="text1"/>
                <w:sz w:val="22"/>
                <w:szCs w:val="22"/>
                <w:lang w:val="en-US"/>
              </w:rPr>
              <w:t xml:space="preserve">provided disclosure in relation to COVID-19 that was overly promotional </w:t>
            </w:r>
            <w:r w:rsidR="00B04F56">
              <w:rPr>
                <w:color w:val="000000" w:themeColor="text1"/>
                <w:sz w:val="22"/>
                <w:szCs w:val="22"/>
              </w:rPr>
              <w:t>and/or</w:t>
            </w:r>
            <w:r w:rsidR="00B04F56">
              <w:rPr>
                <w:sz w:val="22"/>
                <w:szCs w:val="22"/>
              </w:rPr>
              <w:t xml:space="preserve"> </w:t>
            </w:r>
            <w:r w:rsidR="00B04F56" w:rsidRPr="00A22B14">
              <w:rPr>
                <w:sz w:val="22"/>
                <w:szCs w:val="22"/>
              </w:rPr>
              <w:t xml:space="preserve">lacked specificity to fully </w:t>
            </w:r>
            <w:r w:rsidR="00D9023B">
              <w:rPr>
                <w:sz w:val="22"/>
                <w:szCs w:val="22"/>
              </w:rPr>
              <w:t>address</w:t>
            </w:r>
            <w:r w:rsidR="00B04F56" w:rsidRPr="00A22B14">
              <w:rPr>
                <w:sz w:val="22"/>
                <w:szCs w:val="22"/>
              </w:rPr>
              <w:t xml:space="preserve"> the issuer’s business intentions and expected milestones</w:t>
            </w:r>
            <w:r w:rsidR="00B04F56">
              <w:rPr>
                <w:sz w:val="22"/>
                <w:szCs w:val="22"/>
              </w:rPr>
              <w:t xml:space="preserve">. </w:t>
            </w:r>
          </w:p>
        </w:tc>
      </w:tr>
    </w:tbl>
    <w:p w14:paraId="438A7418" w14:textId="77777777" w:rsidR="009C55B9" w:rsidRDefault="009C55B9" w:rsidP="00C665E4">
      <w:pPr>
        <w:rPr>
          <w:sz w:val="22"/>
          <w:szCs w:val="22"/>
        </w:rPr>
      </w:pPr>
    </w:p>
    <w:p w14:paraId="3194967C" w14:textId="77777777" w:rsidR="00D77DC0" w:rsidRDefault="00EC09B1" w:rsidP="00386AEB">
      <w:pPr>
        <w:spacing w:after="240"/>
        <w:jc w:val="both"/>
        <w:rPr>
          <w:sz w:val="22"/>
          <w:szCs w:val="22"/>
        </w:rPr>
      </w:pPr>
      <w:r w:rsidRPr="007D0F9D">
        <w:rPr>
          <w:sz w:val="22"/>
          <w:szCs w:val="22"/>
        </w:rPr>
        <w:t>Please refer to</w:t>
      </w:r>
      <w:r w:rsidR="00D401BF" w:rsidRPr="007D0F9D">
        <w:rPr>
          <w:sz w:val="22"/>
          <w:szCs w:val="22"/>
        </w:rPr>
        <w:t xml:space="preserve"> </w:t>
      </w:r>
      <w:r w:rsidR="00D401BF" w:rsidRPr="00D56A39">
        <w:rPr>
          <w:b/>
          <w:bCs/>
          <w:sz w:val="22"/>
          <w:szCs w:val="22"/>
        </w:rPr>
        <w:t>Appendi</w:t>
      </w:r>
      <w:r w:rsidRPr="00D56A39">
        <w:rPr>
          <w:b/>
          <w:bCs/>
          <w:sz w:val="22"/>
          <w:szCs w:val="22"/>
        </w:rPr>
        <w:t>x</w:t>
      </w:r>
      <w:r w:rsidR="00D401BF" w:rsidRPr="00D56A39">
        <w:rPr>
          <w:b/>
          <w:bCs/>
          <w:sz w:val="22"/>
          <w:szCs w:val="22"/>
        </w:rPr>
        <w:t xml:space="preserve"> A</w:t>
      </w:r>
      <w:r w:rsidRPr="00D56A39">
        <w:rPr>
          <w:b/>
          <w:bCs/>
          <w:sz w:val="22"/>
          <w:szCs w:val="22"/>
        </w:rPr>
        <w:t xml:space="preserve"> </w:t>
      </w:r>
      <w:r w:rsidR="0095314D">
        <w:rPr>
          <w:b/>
          <w:bCs/>
          <w:sz w:val="22"/>
          <w:szCs w:val="22"/>
        </w:rPr>
        <w:t>– Key Observations</w:t>
      </w:r>
      <w:r w:rsidR="00FD0EBD">
        <w:rPr>
          <w:b/>
          <w:bCs/>
          <w:sz w:val="22"/>
          <w:szCs w:val="22"/>
        </w:rPr>
        <w:t xml:space="preserve"> </w:t>
      </w:r>
      <w:r w:rsidR="0095314D">
        <w:rPr>
          <w:b/>
          <w:bCs/>
          <w:sz w:val="22"/>
          <w:szCs w:val="22"/>
        </w:rPr>
        <w:t>and Disclosure Considerations</w:t>
      </w:r>
      <w:r w:rsidR="00FD0EBD">
        <w:rPr>
          <w:b/>
          <w:bCs/>
          <w:sz w:val="22"/>
          <w:szCs w:val="22"/>
        </w:rPr>
        <w:t xml:space="preserve"> </w:t>
      </w:r>
      <w:r w:rsidR="009B4ED6" w:rsidRPr="00D56A39">
        <w:rPr>
          <w:b/>
          <w:bCs/>
          <w:sz w:val="22"/>
          <w:szCs w:val="22"/>
        </w:rPr>
        <w:t>–</w:t>
      </w:r>
      <w:r w:rsidR="00FD0EBD">
        <w:rPr>
          <w:b/>
          <w:bCs/>
          <w:sz w:val="22"/>
          <w:szCs w:val="22"/>
        </w:rPr>
        <w:t xml:space="preserve"> </w:t>
      </w:r>
      <w:r w:rsidR="00DC4E22" w:rsidRPr="007D0F9D">
        <w:rPr>
          <w:sz w:val="22"/>
          <w:szCs w:val="22"/>
        </w:rPr>
        <w:t xml:space="preserve">for </w:t>
      </w:r>
      <w:r w:rsidR="008832BF">
        <w:rPr>
          <w:sz w:val="22"/>
          <w:szCs w:val="22"/>
        </w:rPr>
        <w:t>more detail regarding</w:t>
      </w:r>
      <w:r w:rsidR="00EA1669" w:rsidRPr="007D0F9D">
        <w:rPr>
          <w:sz w:val="22"/>
          <w:szCs w:val="22"/>
        </w:rPr>
        <w:t xml:space="preserve"> </w:t>
      </w:r>
      <w:r w:rsidR="009E5DEB">
        <w:rPr>
          <w:sz w:val="22"/>
          <w:szCs w:val="22"/>
        </w:rPr>
        <w:t>the</w:t>
      </w:r>
      <w:r w:rsidR="0095314D">
        <w:rPr>
          <w:sz w:val="22"/>
          <w:szCs w:val="22"/>
        </w:rPr>
        <w:t xml:space="preserve"> </w:t>
      </w:r>
      <w:r w:rsidR="003179ED">
        <w:rPr>
          <w:sz w:val="22"/>
          <w:szCs w:val="22"/>
        </w:rPr>
        <w:t xml:space="preserve">significant </w:t>
      </w:r>
      <w:r w:rsidR="0095314D">
        <w:rPr>
          <w:sz w:val="22"/>
          <w:szCs w:val="22"/>
        </w:rPr>
        <w:t>issues</w:t>
      </w:r>
      <w:r w:rsidR="00EA1669" w:rsidRPr="007D0F9D">
        <w:rPr>
          <w:sz w:val="22"/>
          <w:szCs w:val="22"/>
        </w:rPr>
        <w:t xml:space="preserve"> identified in our reviews</w:t>
      </w:r>
      <w:r w:rsidR="00FD0EBD">
        <w:rPr>
          <w:sz w:val="22"/>
          <w:szCs w:val="22"/>
        </w:rPr>
        <w:t xml:space="preserve"> and disclosure guidance</w:t>
      </w:r>
      <w:r w:rsidR="006A0028" w:rsidRPr="007D0F9D">
        <w:rPr>
          <w:sz w:val="22"/>
          <w:szCs w:val="22"/>
        </w:rPr>
        <w:t xml:space="preserve">. </w:t>
      </w:r>
      <w:r w:rsidR="0095314D">
        <w:rPr>
          <w:sz w:val="22"/>
          <w:szCs w:val="22"/>
        </w:rPr>
        <w:t xml:space="preserve">Please refer to </w:t>
      </w:r>
      <w:r w:rsidR="0095314D" w:rsidRPr="00D93E09">
        <w:rPr>
          <w:b/>
          <w:bCs/>
          <w:sz w:val="22"/>
          <w:szCs w:val="22"/>
        </w:rPr>
        <w:t>Appendix B – Disclosure Examples</w:t>
      </w:r>
      <w:r w:rsidR="0095314D">
        <w:rPr>
          <w:sz w:val="22"/>
          <w:szCs w:val="22"/>
        </w:rPr>
        <w:t xml:space="preserve"> where we</w:t>
      </w:r>
      <w:r w:rsidR="00B8241F">
        <w:rPr>
          <w:sz w:val="22"/>
          <w:szCs w:val="22"/>
        </w:rPr>
        <w:t xml:space="preserve"> </w:t>
      </w:r>
      <w:r w:rsidR="006A0028" w:rsidRPr="007D0F9D">
        <w:rPr>
          <w:sz w:val="22"/>
          <w:szCs w:val="22"/>
        </w:rPr>
        <w:t xml:space="preserve">have included some examples of deficient disclosure contrasted against </w:t>
      </w:r>
      <w:r w:rsidR="00D56D11">
        <w:rPr>
          <w:sz w:val="22"/>
          <w:szCs w:val="22"/>
        </w:rPr>
        <w:t xml:space="preserve">improved </w:t>
      </w:r>
      <w:r w:rsidR="00BD2C76" w:rsidRPr="007D0F9D">
        <w:rPr>
          <w:sz w:val="22"/>
          <w:szCs w:val="22"/>
        </w:rPr>
        <w:t>entity-specific disclosure.</w:t>
      </w:r>
      <w:r w:rsidR="00386AEB" w:rsidRPr="007D0F9D">
        <w:rPr>
          <w:sz w:val="22"/>
          <w:szCs w:val="22"/>
        </w:rPr>
        <w:t xml:space="preserve"> The observations</w:t>
      </w:r>
      <w:r w:rsidR="00D61BA9" w:rsidRPr="007D0F9D">
        <w:rPr>
          <w:sz w:val="22"/>
          <w:szCs w:val="22"/>
        </w:rPr>
        <w:t xml:space="preserve"> and </w:t>
      </w:r>
      <w:r w:rsidR="0008039E">
        <w:rPr>
          <w:sz w:val="22"/>
          <w:szCs w:val="22"/>
        </w:rPr>
        <w:t>disclosure considerations</w:t>
      </w:r>
      <w:r w:rsidR="00386AEB" w:rsidRPr="007D0F9D">
        <w:rPr>
          <w:sz w:val="22"/>
          <w:szCs w:val="22"/>
        </w:rPr>
        <w:t xml:space="preserve"> </w:t>
      </w:r>
      <w:r w:rsidR="00B8517B" w:rsidRPr="007D0F9D">
        <w:rPr>
          <w:sz w:val="22"/>
          <w:szCs w:val="22"/>
        </w:rPr>
        <w:t>presented</w:t>
      </w:r>
      <w:r w:rsidR="00386AEB" w:rsidRPr="007D0F9D">
        <w:rPr>
          <w:sz w:val="22"/>
          <w:szCs w:val="22"/>
        </w:rPr>
        <w:t xml:space="preserve"> do not represent an exhaustive list</w:t>
      </w:r>
      <w:r w:rsidR="00D61BA9" w:rsidRPr="007D0F9D">
        <w:rPr>
          <w:sz w:val="22"/>
          <w:szCs w:val="22"/>
        </w:rPr>
        <w:t xml:space="preserve"> and do not represent all the requirements that could apply to a particular issuer</w:t>
      </w:r>
      <w:r w:rsidR="00AC42C6">
        <w:rPr>
          <w:sz w:val="22"/>
          <w:szCs w:val="22"/>
        </w:rPr>
        <w:t>’</w:t>
      </w:r>
      <w:r w:rsidR="00D61BA9" w:rsidRPr="007D0F9D">
        <w:rPr>
          <w:sz w:val="22"/>
          <w:szCs w:val="22"/>
        </w:rPr>
        <w:t>s situation</w:t>
      </w:r>
      <w:r w:rsidR="00386AEB" w:rsidRPr="007D0F9D">
        <w:rPr>
          <w:sz w:val="22"/>
          <w:szCs w:val="22"/>
        </w:rPr>
        <w:t>. Issuers should consider their specific business and operations and provide clear and transparent disclosure of the impact of COVID-19.</w:t>
      </w:r>
    </w:p>
    <w:p w14:paraId="2C5DDDC0" w14:textId="77777777" w:rsidR="00431A1F" w:rsidRDefault="00431A1F">
      <w:pPr>
        <w:rPr>
          <w:b/>
          <w:bCs/>
          <w:color w:val="1F497D" w:themeColor="text2"/>
          <w:sz w:val="32"/>
          <w:szCs w:val="32"/>
        </w:rPr>
      </w:pPr>
      <w:r>
        <w:rPr>
          <w:bCs/>
          <w:color w:val="1F497D" w:themeColor="text2"/>
          <w:sz w:val="32"/>
          <w:szCs w:val="32"/>
        </w:rPr>
        <w:br w:type="page"/>
      </w:r>
    </w:p>
    <w:p w14:paraId="2810EC43" w14:textId="77777777" w:rsidR="00DC6134" w:rsidRPr="00E51B6E" w:rsidRDefault="00C665E4" w:rsidP="001D767F">
      <w:pPr>
        <w:pStyle w:val="Heading1"/>
        <w:numPr>
          <w:ilvl w:val="0"/>
          <w:numId w:val="0"/>
        </w:numPr>
        <w:rPr>
          <w:bCs/>
          <w:color w:val="1F497D" w:themeColor="text2"/>
          <w:sz w:val="32"/>
          <w:szCs w:val="32"/>
        </w:rPr>
      </w:pPr>
      <w:bookmarkStart w:id="6" w:name="_Toc62334908"/>
      <w:r w:rsidRPr="00E51B6E">
        <w:rPr>
          <w:bCs/>
          <w:color w:val="1F497D" w:themeColor="text2"/>
          <w:sz w:val="32"/>
          <w:szCs w:val="32"/>
        </w:rPr>
        <w:t xml:space="preserve">Appendix A – </w:t>
      </w:r>
      <w:r w:rsidR="003F5478">
        <w:rPr>
          <w:bCs/>
          <w:color w:val="1F497D" w:themeColor="text2"/>
          <w:sz w:val="32"/>
          <w:szCs w:val="32"/>
        </w:rPr>
        <w:t xml:space="preserve">Key </w:t>
      </w:r>
      <w:r w:rsidR="00646FE1">
        <w:rPr>
          <w:bCs/>
          <w:color w:val="1F497D" w:themeColor="text2"/>
          <w:sz w:val="32"/>
          <w:szCs w:val="32"/>
        </w:rPr>
        <w:t xml:space="preserve">Observations and </w:t>
      </w:r>
      <w:r w:rsidR="00A33224">
        <w:rPr>
          <w:bCs/>
          <w:color w:val="1F497D" w:themeColor="text2"/>
          <w:sz w:val="32"/>
          <w:szCs w:val="32"/>
        </w:rPr>
        <w:t xml:space="preserve">Disclosure </w:t>
      </w:r>
      <w:r w:rsidR="00646FE1">
        <w:rPr>
          <w:bCs/>
          <w:color w:val="1F497D" w:themeColor="text2"/>
          <w:sz w:val="32"/>
          <w:szCs w:val="32"/>
        </w:rPr>
        <w:t>Considerations</w:t>
      </w:r>
      <w:bookmarkEnd w:id="6"/>
    </w:p>
    <w:p w14:paraId="2C449431" w14:textId="77777777" w:rsidR="001D767F" w:rsidRDefault="00EB11C4" w:rsidP="00100DED">
      <w:pPr>
        <w:pStyle w:val="Heading2"/>
        <w:numPr>
          <w:ilvl w:val="0"/>
          <w:numId w:val="0"/>
        </w:numPr>
        <w:ind w:left="720" w:hanging="720"/>
        <w:rPr>
          <w:b/>
          <w:bCs/>
          <w:color w:val="1F497D" w:themeColor="text2"/>
          <w:sz w:val="28"/>
          <w:szCs w:val="22"/>
        </w:rPr>
      </w:pPr>
      <w:bookmarkStart w:id="7" w:name="_Toc62334909"/>
      <w:r w:rsidRPr="0055532C">
        <w:rPr>
          <w:b/>
          <w:bCs/>
          <w:color w:val="1F497D" w:themeColor="text2"/>
          <w:sz w:val="28"/>
          <w:szCs w:val="22"/>
        </w:rPr>
        <w:t xml:space="preserve">A.1 </w:t>
      </w:r>
      <w:r w:rsidR="006355FB" w:rsidRPr="0055532C">
        <w:rPr>
          <w:b/>
          <w:bCs/>
          <w:color w:val="1F497D" w:themeColor="text2"/>
          <w:sz w:val="28"/>
          <w:szCs w:val="22"/>
        </w:rPr>
        <w:t>MD&amp;A Reporting</w:t>
      </w:r>
      <w:bookmarkEnd w:id="7"/>
    </w:p>
    <w:p w14:paraId="5DF5EB13" w14:textId="77777777" w:rsidR="005D535C" w:rsidRPr="00664903" w:rsidRDefault="005D535C" w:rsidP="005D535C">
      <w:pPr>
        <w:spacing w:after="240"/>
        <w:jc w:val="both"/>
        <w:rPr>
          <w:b/>
          <w:bCs/>
          <w:sz w:val="22"/>
          <w:szCs w:val="22"/>
        </w:rPr>
      </w:pPr>
      <w:r w:rsidRPr="00664903">
        <w:rPr>
          <w:sz w:val="22"/>
          <w:szCs w:val="22"/>
        </w:rPr>
        <w:t xml:space="preserve">MD&amp;A is the cornerstone of a reporting issuer’s overall financial disclosure and </w:t>
      </w:r>
      <w:r>
        <w:rPr>
          <w:sz w:val="22"/>
          <w:szCs w:val="22"/>
        </w:rPr>
        <w:t xml:space="preserve">should </w:t>
      </w:r>
      <w:r w:rsidRPr="00664903">
        <w:rPr>
          <w:sz w:val="22"/>
          <w:szCs w:val="22"/>
        </w:rPr>
        <w:t>provid</w:t>
      </w:r>
      <w:r>
        <w:rPr>
          <w:sz w:val="22"/>
          <w:szCs w:val="22"/>
        </w:rPr>
        <w:t>e</w:t>
      </w:r>
      <w:r w:rsidRPr="00664903">
        <w:rPr>
          <w:sz w:val="22"/>
          <w:szCs w:val="22"/>
        </w:rPr>
        <w:t xml:space="preserve"> an analytical and balanced discussion of the issuer’s results of operations and financial condition through the eyes of management. MD&amp;A disclosure should be specific, useful and understandable. The MD&amp;A requirements are set out in </w:t>
      </w:r>
      <w:r w:rsidRPr="00200858">
        <w:rPr>
          <w:sz w:val="22"/>
          <w:szCs w:val="22"/>
        </w:rPr>
        <w:t>Form 51-102F1</w:t>
      </w:r>
      <w:r w:rsidR="00A33224">
        <w:rPr>
          <w:sz w:val="22"/>
          <w:szCs w:val="22"/>
        </w:rPr>
        <w:t xml:space="preserve"> </w:t>
      </w:r>
      <w:r w:rsidR="00A33224" w:rsidRPr="00A33224">
        <w:rPr>
          <w:i/>
          <w:sz w:val="22"/>
          <w:szCs w:val="22"/>
        </w:rPr>
        <w:t>Management’s Discussion and Analysis</w:t>
      </w:r>
      <w:r w:rsidR="00A33224">
        <w:rPr>
          <w:sz w:val="22"/>
          <w:szCs w:val="22"/>
        </w:rPr>
        <w:t xml:space="preserve"> (</w:t>
      </w:r>
      <w:r w:rsidR="00A33224" w:rsidRPr="00A33224">
        <w:rPr>
          <w:b/>
          <w:sz w:val="22"/>
          <w:szCs w:val="22"/>
        </w:rPr>
        <w:t>Form 51-102F1</w:t>
      </w:r>
      <w:r w:rsidR="00A33224">
        <w:rPr>
          <w:sz w:val="22"/>
          <w:szCs w:val="22"/>
        </w:rPr>
        <w:t>)</w:t>
      </w:r>
      <w:r w:rsidRPr="0060541A">
        <w:rPr>
          <w:sz w:val="22"/>
          <w:szCs w:val="22"/>
        </w:rPr>
        <w:t>.</w:t>
      </w:r>
      <w:r w:rsidRPr="00664903">
        <w:rPr>
          <w:b/>
          <w:bCs/>
          <w:sz w:val="22"/>
          <w:szCs w:val="22"/>
        </w:rPr>
        <w:t xml:space="preserve"> </w:t>
      </w:r>
      <w:r w:rsidRPr="00BA4558">
        <w:rPr>
          <w:b/>
          <w:bCs/>
          <w:sz w:val="22"/>
          <w:szCs w:val="22"/>
        </w:rPr>
        <w:t xml:space="preserve"> </w:t>
      </w:r>
    </w:p>
    <w:p w14:paraId="3E48187C" w14:textId="77777777" w:rsidR="005546AB" w:rsidRDefault="005D535C" w:rsidP="005D535C">
      <w:pPr>
        <w:spacing w:after="240"/>
        <w:jc w:val="both"/>
        <w:rPr>
          <w:sz w:val="22"/>
          <w:szCs w:val="22"/>
        </w:rPr>
      </w:pPr>
      <w:r w:rsidRPr="00664903">
        <w:rPr>
          <w:sz w:val="22"/>
          <w:szCs w:val="22"/>
        </w:rPr>
        <w:t xml:space="preserve">Some of the observations and </w:t>
      </w:r>
      <w:r>
        <w:rPr>
          <w:sz w:val="22"/>
          <w:szCs w:val="22"/>
        </w:rPr>
        <w:t>considerations</w:t>
      </w:r>
      <w:r w:rsidRPr="00664903">
        <w:rPr>
          <w:sz w:val="22"/>
          <w:szCs w:val="22"/>
        </w:rPr>
        <w:t xml:space="preserve"> below may be relevant for issuers that prepare an annual information form (</w:t>
      </w:r>
      <w:r w:rsidRPr="00422982">
        <w:rPr>
          <w:b/>
          <w:bCs/>
          <w:sz w:val="22"/>
          <w:szCs w:val="22"/>
        </w:rPr>
        <w:t>AIF</w:t>
      </w:r>
      <w:r w:rsidRPr="00664903">
        <w:rPr>
          <w:sz w:val="22"/>
          <w:szCs w:val="22"/>
        </w:rPr>
        <w:t xml:space="preserve">) with reference to </w:t>
      </w:r>
      <w:r w:rsidRPr="00BA4558">
        <w:rPr>
          <w:sz w:val="22"/>
          <w:szCs w:val="22"/>
        </w:rPr>
        <w:t>Form 51-102F2</w:t>
      </w:r>
      <w:r w:rsidRPr="00664903">
        <w:rPr>
          <w:sz w:val="22"/>
          <w:szCs w:val="22"/>
        </w:rPr>
        <w:t xml:space="preserve"> </w:t>
      </w:r>
      <w:r w:rsidRPr="00BA4558">
        <w:rPr>
          <w:i/>
          <w:sz w:val="22"/>
          <w:szCs w:val="22"/>
        </w:rPr>
        <w:t>Annual Information Form</w:t>
      </w:r>
      <w:r>
        <w:rPr>
          <w:i/>
          <w:iCs/>
          <w:sz w:val="22"/>
          <w:szCs w:val="22"/>
        </w:rPr>
        <w:t xml:space="preserve"> </w:t>
      </w:r>
      <w:r>
        <w:rPr>
          <w:sz w:val="22"/>
          <w:szCs w:val="22"/>
        </w:rPr>
        <w:t>(</w:t>
      </w:r>
      <w:r w:rsidRPr="00BA4558">
        <w:rPr>
          <w:b/>
          <w:bCs/>
          <w:sz w:val="22"/>
          <w:szCs w:val="22"/>
        </w:rPr>
        <w:t>Form 51-102F2</w:t>
      </w:r>
      <w:r>
        <w:rPr>
          <w:sz w:val="22"/>
          <w:szCs w:val="22"/>
        </w:rPr>
        <w:t>)</w:t>
      </w:r>
      <w:r w:rsidRPr="00664903">
        <w:rPr>
          <w:sz w:val="22"/>
          <w:szCs w:val="22"/>
        </w:rPr>
        <w:t xml:space="preserve">. Specifically, issuers should consider </w:t>
      </w:r>
      <w:r>
        <w:rPr>
          <w:sz w:val="22"/>
          <w:szCs w:val="22"/>
        </w:rPr>
        <w:t>additional disclosure for COVID-19 under</w:t>
      </w:r>
      <w:r w:rsidRPr="00664903">
        <w:rPr>
          <w:sz w:val="22"/>
          <w:szCs w:val="22"/>
        </w:rPr>
        <w:t xml:space="preserve"> Item 4-</w:t>
      </w:r>
      <w:r w:rsidRPr="00664903">
        <w:rPr>
          <w:i/>
          <w:iCs/>
          <w:sz w:val="22"/>
          <w:szCs w:val="22"/>
        </w:rPr>
        <w:t>General Development of the Business</w:t>
      </w:r>
      <w:r w:rsidRPr="00664903">
        <w:rPr>
          <w:sz w:val="22"/>
          <w:szCs w:val="22"/>
        </w:rPr>
        <w:t xml:space="preserve"> and Item 5-</w:t>
      </w:r>
      <w:r w:rsidRPr="00664903">
        <w:rPr>
          <w:i/>
          <w:iCs/>
          <w:sz w:val="22"/>
          <w:szCs w:val="22"/>
        </w:rPr>
        <w:t>Describe the Business</w:t>
      </w:r>
      <w:r w:rsidRPr="00664903">
        <w:rPr>
          <w:sz w:val="22"/>
          <w:szCs w:val="22"/>
        </w:rPr>
        <w:t xml:space="preserve"> of Form 51-102F2.</w:t>
      </w:r>
      <w:r>
        <w:rPr>
          <w:sz w:val="22"/>
          <w:szCs w:val="22"/>
        </w:rPr>
        <w:t xml:space="preserve"> </w:t>
      </w:r>
    </w:p>
    <w:tbl>
      <w:tblPr>
        <w:tblStyle w:val="GridTable4-Accent6"/>
        <w:tblW w:w="9781"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6" w:space="0" w:color="1F497D" w:themeColor="text2"/>
          <w:insideV w:val="single" w:sz="6" w:space="0" w:color="1F497D" w:themeColor="text2"/>
        </w:tblBorders>
        <w:shd w:val="clear" w:color="auto" w:fill="EEECE1" w:themeFill="background2"/>
        <w:tblLook w:val="04A0" w:firstRow="1" w:lastRow="0" w:firstColumn="1" w:lastColumn="0" w:noHBand="0" w:noVBand="1"/>
      </w:tblPr>
      <w:tblGrid>
        <w:gridCol w:w="1980"/>
        <w:gridCol w:w="3402"/>
        <w:gridCol w:w="4399"/>
      </w:tblGrid>
      <w:tr w:rsidR="00D93E09" w:rsidRPr="00947F30" w14:paraId="339CD3E5" w14:textId="77777777" w:rsidTr="00D93E09">
        <w:trPr>
          <w:cnfStyle w:val="100000000000" w:firstRow="1" w:lastRow="0" w:firstColumn="0" w:lastColumn="0" w:oddVBand="0" w:evenVBand="0" w:oddHBand="0" w:evenHBand="0" w:firstRowFirstColumn="0" w:firstRowLastColumn="0" w:lastRowFirstColumn="0" w:lastRowLastColumn="0"/>
          <w:trHeight w:val="339"/>
          <w:tblHead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1F497D" w:themeColor="text2"/>
              <w:bottom w:val="single" w:sz="6" w:space="0" w:color="1F497D" w:themeColor="text2"/>
            </w:tcBorders>
            <w:shd w:val="clear" w:color="auto" w:fill="4F81BD" w:themeFill="accent1"/>
          </w:tcPr>
          <w:p w14:paraId="6EE02C0E" w14:textId="77777777" w:rsidR="00276EA8" w:rsidRPr="00947F30" w:rsidRDefault="00276EA8" w:rsidP="00D93E09">
            <w:pPr>
              <w:spacing w:line="276" w:lineRule="auto"/>
              <w:jc w:val="center"/>
              <w:rPr>
                <w:sz w:val="20"/>
                <w:lang w:val="en-US"/>
              </w:rPr>
            </w:pPr>
            <w:r w:rsidRPr="00947F30">
              <w:rPr>
                <w:sz w:val="20"/>
                <w:lang w:val="en-US"/>
              </w:rPr>
              <w:t>Focus Area</w:t>
            </w:r>
          </w:p>
        </w:tc>
        <w:tc>
          <w:tcPr>
            <w:tcW w:w="3402" w:type="dxa"/>
            <w:tcBorders>
              <w:top w:val="single" w:sz="4" w:space="0" w:color="1F497D" w:themeColor="text2"/>
              <w:bottom w:val="single" w:sz="6" w:space="0" w:color="1F497D" w:themeColor="text2"/>
            </w:tcBorders>
            <w:shd w:val="clear" w:color="auto" w:fill="4F81BD" w:themeFill="accent1"/>
          </w:tcPr>
          <w:p w14:paraId="2906FB37" w14:textId="77777777" w:rsidR="00276EA8" w:rsidRPr="00947F30" w:rsidRDefault="00276EA8" w:rsidP="00D93E09">
            <w:pPr>
              <w:spacing w:line="276" w:lineRule="auto"/>
              <w:jc w:val="center"/>
              <w:cnfStyle w:val="100000000000" w:firstRow="1" w:lastRow="0" w:firstColumn="0" w:lastColumn="0" w:oddVBand="0" w:evenVBand="0" w:oddHBand="0" w:evenHBand="0" w:firstRowFirstColumn="0" w:firstRowLastColumn="0" w:lastRowFirstColumn="0" w:lastRowLastColumn="0"/>
              <w:rPr>
                <w:sz w:val="20"/>
                <w:lang w:val="en-US"/>
              </w:rPr>
            </w:pPr>
            <w:r w:rsidRPr="00947F30">
              <w:rPr>
                <w:sz w:val="20"/>
                <w:lang w:val="en-US"/>
              </w:rPr>
              <w:t>Observations</w:t>
            </w:r>
            <w:r>
              <w:rPr>
                <w:sz w:val="20"/>
                <w:lang w:val="en-US"/>
              </w:rPr>
              <w:t xml:space="preserve"> </w:t>
            </w:r>
          </w:p>
        </w:tc>
        <w:tc>
          <w:tcPr>
            <w:tcW w:w="4399" w:type="dxa"/>
            <w:tcBorders>
              <w:top w:val="single" w:sz="4" w:space="0" w:color="1F497D" w:themeColor="text2"/>
              <w:bottom w:val="single" w:sz="6" w:space="0" w:color="1F497D" w:themeColor="text2"/>
            </w:tcBorders>
            <w:shd w:val="clear" w:color="auto" w:fill="4F81BD" w:themeFill="accent1"/>
          </w:tcPr>
          <w:p w14:paraId="0BE036A3" w14:textId="77777777" w:rsidR="00276EA8" w:rsidRPr="00947F30" w:rsidRDefault="00276EA8" w:rsidP="00D93E09">
            <w:pPr>
              <w:spacing w:line="276" w:lineRule="auto"/>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Considerations</w:t>
            </w:r>
          </w:p>
        </w:tc>
      </w:tr>
      <w:tr w:rsidR="00276EA8" w:rsidRPr="00947F30" w14:paraId="139BD9D1" w14:textId="77777777" w:rsidTr="00D93E09">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1980" w:type="dxa"/>
            <w:shd w:val="clear" w:color="auto" w:fill="EEECE1" w:themeFill="background2"/>
          </w:tcPr>
          <w:p w14:paraId="2279D960" w14:textId="77777777" w:rsidR="00276EA8" w:rsidRPr="00D52950" w:rsidRDefault="00276EA8" w:rsidP="00276EA8">
            <w:pPr>
              <w:rPr>
                <w:color w:val="000000" w:themeColor="text1"/>
                <w:sz w:val="20"/>
                <w:lang w:val="en-US"/>
              </w:rPr>
            </w:pPr>
            <w:r w:rsidRPr="00D52950">
              <w:rPr>
                <w:color w:val="000000" w:themeColor="text1"/>
                <w:sz w:val="20"/>
                <w:lang w:val="en-US"/>
              </w:rPr>
              <w:t>G</w:t>
            </w:r>
            <w:r>
              <w:rPr>
                <w:color w:val="000000" w:themeColor="text1"/>
                <w:sz w:val="20"/>
                <w:lang w:val="en-US"/>
              </w:rPr>
              <w:t>eneral: Discussion of Operational Status</w:t>
            </w:r>
          </w:p>
          <w:p w14:paraId="379501E8" w14:textId="77777777" w:rsidR="00276EA8" w:rsidRPr="005362CD" w:rsidRDefault="00276EA8" w:rsidP="00276EA8">
            <w:pPr>
              <w:rPr>
                <w:color w:val="000000" w:themeColor="text1"/>
                <w:sz w:val="20"/>
              </w:rPr>
            </w:pPr>
          </w:p>
        </w:tc>
        <w:tc>
          <w:tcPr>
            <w:tcW w:w="3402" w:type="dxa"/>
            <w:shd w:val="clear" w:color="auto" w:fill="EEECE1" w:themeFill="background2"/>
          </w:tcPr>
          <w:p w14:paraId="6E7349A0" w14:textId="77777777" w:rsidR="00276EA8" w:rsidRPr="00664903" w:rsidRDefault="00276EA8" w:rsidP="00276EA8">
            <w:pPr>
              <w:pStyle w:val="ListParagraph"/>
              <w:numPr>
                <w:ilvl w:val="0"/>
                <w:numId w:val="15"/>
              </w:numPr>
              <w:spacing w:before="120" w:after="240"/>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r>
              <w:rPr>
                <w:color w:val="000000" w:themeColor="text1"/>
                <w:sz w:val="20"/>
                <w:lang w:val="en-US"/>
              </w:rPr>
              <w:t>S</w:t>
            </w:r>
            <w:r w:rsidRPr="00664903">
              <w:rPr>
                <w:color w:val="000000" w:themeColor="text1"/>
                <w:sz w:val="20"/>
                <w:lang w:val="en-US"/>
              </w:rPr>
              <w:t>ome issuers provided detailed operational updates in press releases but included limited disclosure in MD&amp;A filings.</w:t>
            </w:r>
          </w:p>
          <w:p w14:paraId="57DC7164" w14:textId="541FD8A8" w:rsidR="00276EA8" w:rsidRDefault="00276EA8" w:rsidP="00276EA8">
            <w:pPr>
              <w:pStyle w:val="ListParagraph"/>
              <w:spacing w:before="120"/>
              <w:ind w:left="360"/>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p>
          <w:p w14:paraId="48AE786D" w14:textId="77777777" w:rsidR="007B545E" w:rsidRPr="00E122AE" w:rsidRDefault="007B545E" w:rsidP="007B545E">
            <w:pPr>
              <w:cnfStyle w:val="000000100000" w:firstRow="0" w:lastRow="0" w:firstColumn="0" w:lastColumn="0" w:oddVBand="0" w:evenVBand="0" w:oddHBand="1" w:evenHBand="0" w:firstRowFirstColumn="0" w:firstRowLastColumn="0" w:lastRowFirstColumn="0" w:lastRowLastColumn="0"/>
              <w:rPr>
                <w:b/>
                <w:bCs/>
                <w:color w:val="000000" w:themeColor="text1"/>
                <w:sz w:val="20"/>
                <w:lang w:val="en-US"/>
              </w:rPr>
            </w:pPr>
            <w:r>
              <w:rPr>
                <w:b/>
                <w:bCs/>
                <w:color w:val="000000" w:themeColor="text1"/>
                <w:sz w:val="20"/>
                <w:lang w:val="en-US"/>
              </w:rPr>
              <w:t>U</w:t>
            </w:r>
            <w:r w:rsidRPr="00E122AE">
              <w:rPr>
                <w:b/>
                <w:bCs/>
                <w:color w:val="000000" w:themeColor="text1"/>
                <w:sz w:val="20"/>
                <w:lang w:val="en-US"/>
              </w:rPr>
              <w:t xml:space="preserve">seful </w:t>
            </w:r>
            <w:r>
              <w:rPr>
                <w:b/>
                <w:bCs/>
                <w:color w:val="000000" w:themeColor="text1"/>
                <w:sz w:val="20"/>
                <w:lang w:val="en-US"/>
              </w:rPr>
              <w:t>d</w:t>
            </w:r>
            <w:r w:rsidRPr="00E122AE">
              <w:rPr>
                <w:b/>
                <w:bCs/>
                <w:color w:val="000000" w:themeColor="text1"/>
                <w:sz w:val="20"/>
                <w:lang w:val="en-US"/>
              </w:rPr>
              <w:t xml:space="preserve">isclosure </w:t>
            </w:r>
            <w:r>
              <w:rPr>
                <w:b/>
                <w:bCs/>
                <w:color w:val="000000" w:themeColor="text1"/>
                <w:sz w:val="20"/>
                <w:lang w:val="en-US"/>
              </w:rPr>
              <w:t>o</w:t>
            </w:r>
            <w:r w:rsidRPr="00E122AE">
              <w:rPr>
                <w:b/>
                <w:bCs/>
                <w:color w:val="000000" w:themeColor="text1"/>
                <w:sz w:val="20"/>
                <w:lang w:val="en-US"/>
              </w:rPr>
              <w:t>bserved</w:t>
            </w:r>
            <w:r>
              <w:rPr>
                <w:b/>
                <w:bCs/>
                <w:color w:val="000000" w:themeColor="text1"/>
                <w:sz w:val="20"/>
                <w:lang w:val="en-US"/>
              </w:rPr>
              <w:t>:</w:t>
            </w:r>
          </w:p>
          <w:p w14:paraId="1DB4EC5F" w14:textId="25CA5D3C" w:rsidR="007B545E" w:rsidRPr="00E122AE" w:rsidRDefault="007B545E" w:rsidP="007B545E">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r>
              <w:rPr>
                <w:color w:val="000000" w:themeColor="text1"/>
                <w:sz w:val="20"/>
                <w:lang w:val="en-US"/>
              </w:rPr>
              <w:t>Many affected</w:t>
            </w:r>
            <w:r w:rsidRPr="00664903">
              <w:rPr>
                <w:color w:val="000000" w:themeColor="text1"/>
                <w:sz w:val="20"/>
                <w:lang w:val="en-US"/>
              </w:rPr>
              <w:t xml:space="preserve"> issuers significantly expanded their M</w:t>
            </w:r>
            <w:r>
              <w:rPr>
                <w:color w:val="000000" w:themeColor="text1"/>
                <w:sz w:val="20"/>
                <w:lang w:val="en-US"/>
              </w:rPr>
              <w:t>D&amp;</w:t>
            </w:r>
            <w:r w:rsidRPr="00664903">
              <w:rPr>
                <w:color w:val="000000" w:themeColor="text1"/>
                <w:sz w:val="20"/>
                <w:lang w:val="en-US"/>
              </w:rPr>
              <w:t xml:space="preserve">A to explain the impact </w:t>
            </w:r>
            <w:r>
              <w:rPr>
                <w:color w:val="000000" w:themeColor="text1"/>
                <w:sz w:val="20"/>
                <w:lang w:val="en-US"/>
              </w:rPr>
              <w:t xml:space="preserve">of COVID-19 </w:t>
            </w:r>
            <w:r w:rsidRPr="00664903">
              <w:rPr>
                <w:color w:val="000000" w:themeColor="text1"/>
                <w:sz w:val="20"/>
                <w:lang w:val="en-US"/>
              </w:rPr>
              <w:t xml:space="preserve">to the issuer’s industry, </w:t>
            </w:r>
            <w:r>
              <w:rPr>
                <w:color w:val="000000" w:themeColor="text1"/>
                <w:sz w:val="20"/>
                <w:lang w:val="en-US"/>
              </w:rPr>
              <w:t>operations,</w:t>
            </w:r>
            <w:r w:rsidRPr="00664903">
              <w:rPr>
                <w:color w:val="000000" w:themeColor="text1"/>
                <w:sz w:val="20"/>
                <w:lang w:val="en-US"/>
              </w:rPr>
              <w:t xml:space="preserve"> customers, suppliers etc. </w:t>
            </w:r>
            <w:r>
              <w:rPr>
                <w:color w:val="000000" w:themeColor="text1"/>
                <w:sz w:val="20"/>
                <w:lang w:val="en-US"/>
              </w:rPr>
              <w:t xml:space="preserve">Several issuers </w:t>
            </w:r>
            <w:r w:rsidRPr="00664903">
              <w:rPr>
                <w:color w:val="000000" w:themeColor="text1"/>
                <w:sz w:val="20"/>
                <w:lang w:val="en-US"/>
              </w:rPr>
              <w:t xml:space="preserve">disclosed industry and relevant operational </w:t>
            </w:r>
            <w:r>
              <w:rPr>
                <w:color w:val="000000" w:themeColor="text1"/>
                <w:sz w:val="20"/>
                <w:lang w:val="en-US"/>
              </w:rPr>
              <w:t>information</w:t>
            </w:r>
            <w:r w:rsidRPr="00664903">
              <w:rPr>
                <w:color w:val="000000" w:themeColor="text1"/>
                <w:sz w:val="20"/>
                <w:lang w:val="en-US"/>
              </w:rPr>
              <w:t xml:space="preserve"> to help </w:t>
            </w:r>
            <w:r w:rsidR="006C7321">
              <w:rPr>
                <w:color w:val="000000" w:themeColor="text1"/>
                <w:sz w:val="20"/>
                <w:lang w:val="en-US"/>
              </w:rPr>
              <w:t xml:space="preserve">users </w:t>
            </w:r>
            <w:r w:rsidRPr="00664903">
              <w:rPr>
                <w:color w:val="000000" w:themeColor="text1"/>
                <w:sz w:val="20"/>
                <w:lang w:val="en-US"/>
              </w:rPr>
              <w:t>frame and understand the</w:t>
            </w:r>
            <w:r>
              <w:rPr>
                <w:color w:val="000000" w:themeColor="text1"/>
                <w:sz w:val="20"/>
                <w:lang w:val="en-US"/>
              </w:rPr>
              <w:t xml:space="preserve"> </w:t>
            </w:r>
            <w:r w:rsidR="007F5E10">
              <w:rPr>
                <w:color w:val="000000" w:themeColor="text1"/>
                <w:sz w:val="20"/>
                <w:lang w:val="en-US"/>
              </w:rPr>
              <w:t>e</w:t>
            </w:r>
            <w:r>
              <w:rPr>
                <w:color w:val="000000" w:themeColor="text1"/>
                <w:sz w:val="20"/>
                <w:lang w:val="en-US"/>
              </w:rPr>
              <w:t>ffects</w:t>
            </w:r>
            <w:r w:rsidRPr="00664903">
              <w:rPr>
                <w:color w:val="000000" w:themeColor="text1"/>
                <w:sz w:val="20"/>
                <w:lang w:val="en-US"/>
              </w:rPr>
              <w:t xml:space="preserve"> </w:t>
            </w:r>
            <w:r w:rsidR="007F5E10">
              <w:rPr>
                <w:color w:val="000000" w:themeColor="text1"/>
                <w:sz w:val="20"/>
                <w:lang w:val="en-US"/>
              </w:rPr>
              <w:t>on</w:t>
            </w:r>
            <w:r w:rsidRPr="00664903">
              <w:rPr>
                <w:color w:val="000000" w:themeColor="text1"/>
                <w:sz w:val="20"/>
                <w:lang w:val="en-US"/>
              </w:rPr>
              <w:t xml:space="preserve"> the issuer’s financial results.</w:t>
            </w:r>
          </w:p>
          <w:p w14:paraId="5FC4D890" w14:textId="77777777" w:rsidR="007B545E" w:rsidRPr="00664903" w:rsidRDefault="007B545E" w:rsidP="00276EA8">
            <w:pPr>
              <w:pStyle w:val="ListParagraph"/>
              <w:spacing w:before="120"/>
              <w:ind w:left="360"/>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p>
          <w:p w14:paraId="3EF6E351" w14:textId="77777777" w:rsidR="00276EA8" w:rsidRPr="00434FE2" w:rsidRDefault="00276EA8" w:rsidP="00276EA8">
            <w:pPr>
              <w:pStyle w:val="ListParagraph"/>
              <w:spacing w:before="120"/>
              <w:ind w:left="360"/>
              <w:cnfStyle w:val="000000100000" w:firstRow="0" w:lastRow="0" w:firstColumn="0" w:lastColumn="0" w:oddVBand="0" w:evenVBand="0" w:oddHBand="1" w:evenHBand="0" w:firstRowFirstColumn="0" w:firstRowLastColumn="0" w:lastRowFirstColumn="0" w:lastRowLastColumn="0"/>
              <w:rPr>
                <w:sz w:val="20"/>
                <w:lang w:eastAsia="fr-CA"/>
              </w:rPr>
            </w:pPr>
          </w:p>
        </w:tc>
        <w:tc>
          <w:tcPr>
            <w:tcW w:w="4399" w:type="dxa"/>
            <w:shd w:val="clear" w:color="auto" w:fill="EEECE1" w:themeFill="background2"/>
          </w:tcPr>
          <w:p w14:paraId="207B7A09" w14:textId="20C88CB4" w:rsidR="00276EA8" w:rsidRPr="00664903" w:rsidRDefault="00276EA8" w:rsidP="00276EA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P</w:t>
            </w:r>
            <w:r w:rsidRPr="00664903">
              <w:rPr>
                <w:color w:val="000000" w:themeColor="text1"/>
                <w:sz w:val="20"/>
              </w:rPr>
              <w:t xml:space="preserve">rovide a detailed and transparent discussion on how COVID-19 has altered the issuer’s industry and day to day operations. Insight should be provided into the issuer’s current operating status and the </w:t>
            </w:r>
            <w:r w:rsidRPr="00E122AE">
              <w:rPr>
                <w:color w:val="000000" w:themeColor="text1"/>
                <w:sz w:val="20"/>
              </w:rPr>
              <w:t>operational challenges that management is monitoring.</w:t>
            </w:r>
            <w:r w:rsidRPr="00664903">
              <w:rPr>
                <w:color w:val="000000" w:themeColor="text1"/>
                <w:sz w:val="20"/>
              </w:rPr>
              <w:t xml:space="preserve"> This will vary materially b</w:t>
            </w:r>
            <w:r>
              <w:rPr>
                <w:color w:val="000000" w:themeColor="text1"/>
                <w:sz w:val="20"/>
              </w:rPr>
              <w:t xml:space="preserve">y </w:t>
            </w:r>
            <w:r w:rsidRPr="00664903">
              <w:rPr>
                <w:color w:val="000000" w:themeColor="text1"/>
                <w:sz w:val="20"/>
              </w:rPr>
              <w:t xml:space="preserve">issuer and </w:t>
            </w:r>
            <w:r w:rsidR="004507ED">
              <w:rPr>
                <w:color w:val="000000" w:themeColor="text1"/>
                <w:sz w:val="20"/>
              </w:rPr>
              <w:t xml:space="preserve">by </w:t>
            </w:r>
            <w:r w:rsidRPr="00664903">
              <w:rPr>
                <w:color w:val="000000" w:themeColor="text1"/>
                <w:sz w:val="20"/>
              </w:rPr>
              <w:t>industry.</w:t>
            </w:r>
          </w:p>
          <w:p w14:paraId="3C057C6B" w14:textId="3819AC69" w:rsidR="00276EA8" w:rsidRPr="00877061" w:rsidRDefault="00276EA8" w:rsidP="00761BD8">
            <w:pPr>
              <w:pStyle w:val="ListParagraph"/>
              <w:numPr>
                <w:ilvl w:val="0"/>
                <w:numId w:val="49"/>
              </w:numP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664903">
              <w:rPr>
                <w:color w:val="000000" w:themeColor="text1"/>
                <w:sz w:val="20"/>
              </w:rPr>
              <w:t xml:space="preserve">MD&amp;A is a standalone document. </w:t>
            </w:r>
            <w:r>
              <w:rPr>
                <w:color w:val="000000" w:themeColor="text1"/>
                <w:sz w:val="20"/>
              </w:rPr>
              <w:t>Material o</w:t>
            </w:r>
            <w:r w:rsidRPr="00664903">
              <w:rPr>
                <w:color w:val="000000" w:themeColor="text1"/>
                <w:sz w:val="20"/>
              </w:rPr>
              <w:t xml:space="preserve">perational updates should be reflected in MD&amp;A filings to provide additional context </w:t>
            </w:r>
            <w:r w:rsidR="00C04846">
              <w:rPr>
                <w:color w:val="000000" w:themeColor="text1"/>
                <w:sz w:val="20"/>
              </w:rPr>
              <w:t>for</w:t>
            </w:r>
            <w:r w:rsidRPr="00664903">
              <w:rPr>
                <w:color w:val="000000" w:themeColor="text1"/>
                <w:sz w:val="20"/>
              </w:rPr>
              <w:t xml:space="preserve"> </w:t>
            </w:r>
            <w:r>
              <w:rPr>
                <w:color w:val="000000" w:themeColor="text1"/>
                <w:sz w:val="20"/>
              </w:rPr>
              <w:t>analyzing</w:t>
            </w:r>
            <w:r w:rsidRPr="00664903">
              <w:rPr>
                <w:color w:val="000000" w:themeColor="text1"/>
                <w:sz w:val="20"/>
              </w:rPr>
              <w:t xml:space="preserve"> financial results.</w:t>
            </w:r>
            <w:r>
              <w:rPr>
                <w:color w:val="000000" w:themeColor="text1"/>
                <w:sz w:val="20"/>
              </w:rPr>
              <w:t xml:space="preserve"> Having a separate “COVID-19” section in the MD&amp;A preceding the discussion of financial results may provide a useful framework in understanding the issuer’s analysis of financial performance, financial condition and liquidity.</w:t>
            </w:r>
          </w:p>
          <w:p w14:paraId="3982E3D9" w14:textId="77777777" w:rsidR="00276EA8" w:rsidRPr="00664903" w:rsidRDefault="00276EA8" w:rsidP="00276EA8">
            <w:pPr>
              <w:cnfStyle w:val="000000100000" w:firstRow="0" w:lastRow="0" w:firstColumn="0" w:lastColumn="0" w:oddVBand="0" w:evenVBand="0" w:oddHBand="1" w:evenHBand="0" w:firstRowFirstColumn="0" w:firstRowLastColumn="0" w:lastRowFirstColumn="0" w:lastRowLastColumn="0"/>
              <w:rPr>
                <w:color w:val="000000" w:themeColor="text1"/>
                <w:sz w:val="20"/>
              </w:rPr>
            </w:pPr>
          </w:p>
          <w:p w14:paraId="6D6BC08A" w14:textId="77777777" w:rsidR="00276EA8" w:rsidRPr="00664903" w:rsidRDefault="00276EA8" w:rsidP="00276EA8">
            <w:pPr>
              <w:shd w:val="clear" w:color="auto" w:fill="DDD9C3" w:themeFill="background2" w:themeFillShade="E6"/>
              <w:cnfStyle w:val="000000100000" w:firstRow="0" w:lastRow="0" w:firstColumn="0" w:lastColumn="0" w:oddVBand="0" w:evenVBand="0" w:oddHBand="1" w:evenHBand="0" w:firstRowFirstColumn="0" w:firstRowLastColumn="0" w:lastRowFirstColumn="0" w:lastRowLastColumn="0"/>
              <w:rPr>
                <w:b/>
                <w:bCs/>
                <w:color w:val="000000" w:themeColor="text1"/>
                <w:sz w:val="20"/>
              </w:rPr>
            </w:pPr>
            <w:r w:rsidRPr="00664903">
              <w:rPr>
                <w:b/>
                <w:bCs/>
                <w:color w:val="000000" w:themeColor="text1"/>
                <w:sz w:val="20"/>
              </w:rPr>
              <w:t>Issuers should consider:</w:t>
            </w:r>
          </w:p>
          <w:p w14:paraId="2E78B3BC" w14:textId="77777777" w:rsidR="00293EF2" w:rsidRDefault="00276EA8" w:rsidP="00761BD8">
            <w:pPr>
              <w:pStyle w:val="ListParagraph"/>
              <w:numPr>
                <w:ilvl w:val="0"/>
                <w:numId w:val="31"/>
              </w:numPr>
              <w:shd w:val="clear" w:color="auto" w:fill="DDD9C3" w:themeFill="background2" w:themeFillShade="E6"/>
              <w:spacing w:after="360"/>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664903">
              <w:rPr>
                <w:color w:val="000000" w:themeColor="text1"/>
                <w:sz w:val="20"/>
              </w:rPr>
              <w:t xml:space="preserve">Impact of health and safety guidelines </w:t>
            </w:r>
            <w:r w:rsidR="00293EF2">
              <w:rPr>
                <w:color w:val="000000" w:themeColor="text1"/>
                <w:sz w:val="20"/>
              </w:rPr>
              <w:t>on operations and on how the issuer conducts its business</w:t>
            </w:r>
          </w:p>
          <w:p w14:paraId="2A02A7C1" w14:textId="3ECBE0B7" w:rsidR="00276EA8" w:rsidRPr="00664903" w:rsidRDefault="00276EA8" w:rsidP="00761BD8">
            <w:pPr>
              <w:pStyle w:val="ListParagraph"/>
              <w:numPr>
                <w:ilvl w:val="0"/>
                <w:numId w:val="31"/>
              </w:numPr>
              <w:shd w:val="clear" w:color="auto" w:fill="DDD9C3" w:themeFill="background2" w:themeFillShade="E6"/>
              <w:spacing w:after="360"/>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664903">
              <w:rPr>
                <w:color w:val="000000" w:themeColor="text1"/>
                <w:sz w:val="20"/>
              </w:rPr>
              <w:t>How the current environment has altered demand or ability to provide products and services (both adversely and positively)</w:t>
            </w:r>
          </w:p>
          <w:p w14:paraId="42EA6EC8" w14:textId="77777777" w:rsidR="00276EA8" w:rsidRPr="00664903" w:rsidRDefault="00276EA8" w:rsidP="00761BD8">
            <w:pPr>
              <w:pStyle w:val="ListParagraph"/>
              <w:numPr>
                <w:ilvl w:val="0"/>
                <w:numId w:val="31"/>
              </w:numPr>
              <w:shd w:val="clear" w:color="auto" w:fill="DDD9C3" w:themeFill="background2" w:themeFillShade="E6"/>
              <w:spacing w:after="360"/>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664903">
              <w:rPr>
                <w:color w:val="000000" w:themeColor="text1"/>
                <w:sz w:val="20"/>
              </w:rPr>
              <w:t>Details of operational closures and restrictions</w:t>
            </w:r>
          </w:p>
          <w:p w14:paraId="36A8B610" w14:textId="2DBA4249" w:rsidR="00276EA8" w:rsidRPr="00664903" w:rsidRDefault="00276EA8" w:rsidP="00761BD8">
            <w:pPr>
              <w:pStyle w:val="ListParagraph"/>
              <w:numPr>
                <w:ilvl w:val="0"/>
                <w:numId w:val="48"/>
              </w:numPr>
              <w:shd w:val="clear" w:color="auto" w:fill="DDD9C3" w:themeFill="background2" w:themeFillShade="E6"/>
              <w:spacing w:after="360"/>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664903">
              <w:rPr>
                <w:color w:val="000000" w:themeColor="text1"/>
                <w:sz w:val="20"/>
              </w:rPr>
              <w:t xml:space="preserve">Providing </w:t>
            </w:r>
            <w:r>
              <w:rPr>
                <w:color w:val="000000" w:themeColor="text1"/>
                <w:sz w:val="20"/>
              </w:rPr>
              <w:t>information</w:t>
            </w:r>
            <w:r w:rsidRPr="00664903">
              <w:rPr>
                <w:color w:val="000000" w:themeColor="text1"/>
                <w:sz w:val="20"/>
              </w:rPr>
              <w:t xml:space="preserve"> to understand the impact of shutdowns and closures</w:t>
            </w:r>
          </w:p>
          <w:p w14:paraId="015D61A0" w14:textId="77777777" w:rsidR="00276EA8" w:rsidRPr="00664903" w:rsidRDefault="00276EA8" w:rsidP="00761BD8">
            <w:pPr>
              <w:pStyle w:val="ListParagraph"/>
              <w:numPr>
                <w:ilvl w:val="0"/>
                <w:numId w:val="48"/>
              </w:numPr>
              <w:shd w:val="clear" w:color="auto" w:fill="DDD9C3" w:themeFill="background2" w:themeFillShade="E6"/>
              <w:spacing w:after="360"/>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664903">
              <w:rPr>
                <w:color w:val="000000" w:themeColor="text1"/>
                <w:sz w:val="20"/>
              </w:rPr>
              <w:t>Disclosing relevant industry data that assists with understanding restrictions and other impacts to the issuer</w:t>
            </w:r>
            <w:r>
              <w:rPr>
                <w:color w:val="000000" w:themeColor="text1"/>
                <w:sz w:val="20"/>
              </w:rPr>
              <w:t>’</w:t>
            </w:r>
            <w:r w:rsidRPr="00664903">
              <w:rPr>
                <w:color w:val="000000" w:themeColor="text1"/>
                <w:sz w:val="20"/>
              </w:rPr>
              <w:t>s business</w:t>
            </w:r>
          </w:p>
          <w:p w14:paraId="7676FA7C" w14:textId="292AA4CC" w:rsidR="00276EA8" w:rsidRPr="00664903" w:rsidRDefault="00276EA8" w:rsidP="00761BD8">
            <w:pPr>
              <w:pStyle w:val="ListParagraph"/>
              <w:numPr>
                <w:ilvl w:val="0"/>
                <w:numId w:val="48"/>
              </w:numPr>
              <w:shd w:val="clear" w:color="auto" w:fill="DDD9C3" w:themeFill="background2" w:themeFillShade="E6"/>
              <w:spacing w:after="360"/>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664903">
              <w:rPr>
                <w:color w:val="000000" w:themeColor="text1"/>
                <w:sz w:val="20"/>
              </w:rPr>
              <w:t xml:space="preserve">Discussing how customers and suppliers have been impacted and the </w:t>
            </w:r>
            <w:r w:rsidR="00293EF2">
              <w:rPr>
                <w:color w:val="000000" w:themeColor="text1"/>
                <w:sz w:val="20"/>
              </w:rPr>
              <w:t>effect on</w:t>
            </w:r>
            <w:r w:rsidRPr="00664903">
              <w:rPr>
                <w:color w:val="000000" w:themeColor="text1"/>
                <w:sz w:val="20"/>
              </w:rPr>
              <w:t xml:space="preserve"> the issuer</w:t>
            </w:r>
          </w:p>
          <w:p w14:paraId="4D744C33" w14:textId="58271512" w:rsidR="00276EA8" w:rsidRDefault="00276EA8" w:rsidP="00761BD8">
            <w:pPr>
              <w:pStyle w:val="ListParagraph"/>
              <w:numPr>
                <w:ilvl w:val="0"/>
                <w:numId w:val="48"/>
              </w:numPr>
              <w:shd w:val="clear" w:color="auto" w:fill="DDD9C3" w:themeFill="background2" w:themeFillShade="E6"/>
              <w:spacing w:after="360"/>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664903">
              <w:rPr>
                <w:color w:val="000000" w:themeColor="text1"/>
                <w:sz w:val="20"/>
              </w:rPr>
              <w:t xml:space="preserve">Providing a discussion </w:t>
            </w:r>
            <w:r w:rsidR="00293EF2">
              <w:rPr>
                <w:color w:val="000000" w:themeColor="text1"/>
                <w:sz w:val="20"/>
              </w:rPr>
              <w:t>for each segment</w:t>
            </w:r>
            <w:r w:rsidRPr="00664903">
              <w:rPr>
                <w:color w:val="000000" w:themeColor="text1"/>
                <w:sz w:val="20"/>
              </w:rPr>
              <w:t xml:space="preserve"> or geographic location to the extent operations </w:t>
            </w:r>
            <w:r>
              <w:rPr>
                <w:color w:val="000000" w:themeColor="text1"/>
                <w:sz w:val="20"/>
              </w:rPr>
              <w:t>are</w:t>
            </w:r>
            <w:r w:rsidRPr="00C26B6F">
              <w:rPr>
                <w:color w:val="000000" w:themeColor="text1"/>
                <w:sz w:val="20"/>
              </w:rPr>
              <w:t xml:space="preserve"> impacted</w:t>
            </w:r>
            <w:r>
              <w:rPr>
                <w:color w:val="000000" w:themeColor="text1"/>
                <w:sz w:val="20"/>
              </w:rPr>
              <w:t xml:space="preserve"> </w:t>
            </w:r>
            <w:r w:rsidRPr="00664903">
              <w:rPr>
                <w:color w:val="000000" w:themeColor="text1"/>
                <w:sz w:val="20"/>
              </w:rPr>
              <w:t>differently</w:t>
            </w:r>
          </w:p>
          <w:p w14:paraId="019C2E27" w14:textId="77777777" w:rsidR="00276EA8" w:rsidRPr="00E122AE" w:rsidRDefault="00276EA8" w:rsidP="00761BD8">
            <w:pPr>
              <w:pStyle w:val="ListParagraph"/>
              <w:numPr>
                <w:ilvl w:val="0"/>
                <w:numId w:val="48"/>
              </w:numPr>
              <w:shd w:val="clear" w:color="auto" w:fill="DDD9C3" w:themeFill="background2" w:themeFillShade="E6"/>
              <w:spacing w:after="360"/>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pacing w:val="-5"/>
                <w:sz w:val="20"/>
              </w:rPr>
              <w:t xml:space="preserve">Explaining how industry and economic factors have uniquely impacted the issuer </w:t>
            </w:r>
          </w:p>
          <w:p w14:paraId="5FA337AD" w14:textId="77777777" w:rsidR="00276EA8" w:rsidRPr="00D93E09" w:rsidRDefault="00276EA8" w:rsidP="00276EA8">
            <w:pPr>
              <w:autoSpaceDE w:val="0"/>
              <w:autoSpaceDN w:val="0"/>
              <w:adjustRightInd w:val="0"/>
              <w:spacing w:before="100"/>
              <w:cnfStyle w:val="000000100000" w:firstRow="0" w:lastRow="0" w:firstColumn="0" w:lastColumn="0" w:oddVBand="0" w:evenVBand="0" w:oddHBand="1" w:evenHBand="0" w:firstRowFirstColumn="0" w:firstRowLastColumn="0" w:lastRowFirstColumn="0" w:lastRowLastColumn="0"/>
              <w:rPr>
                <w:b/>
                <w:bCs/>
                <w:sz w:val="20"/>
                <w:lang w:eastAsia="fr-CA"/>
              </w:rPr>
            </w:pPr>
            <w:r w:rsidRPr="00323586">
              <w:rPr>
                <w:b/>
                <w:bCs/>
                <w:color w:val="000000" w:themeColor="text1"/>
                <w:sz w:val="20"/>
              </w:rPr>
              <w:t>Reference: Part 1</w:t>
            </w:r>
            <w:r>
              <w:rPr>
                <w:b/>
                <w:bCs/>
                <w:color w:val="000000" w:themeColor="text1"/>
                <w:sz w:val="20"/>
              </w:rPr>
              <w:t>,</w:t>
            </w:r>
            <w:r w:rsidRPr="00323586">
              <w:rPr>
                <w:b/>
                <w:bCs/>
                <w:color w:val="000000" w:themeColor="text1"/>
                <w:sz w:val="20"/>
              </w:rPr>
              <w:t xml:space="preserve"> Item</w:t>
            </w:r>
            <w:r>
              <w:rPr>
                <w:b/>
                <w:bCs/>
                <w:color w:val="000000" w:themeColor="text1"/>
                <w:sz w:val="20"/>
              </w:rPr>
              <w:t xml:space="preserve"> </w:t>
            </w:r>
            <w:r w:rsidRPr="00323586">
              <w:rPr>
                <w:b/>
                <w:bCs/>
                <w:color w:val="000000" w:themeColor="text1"/>
                <w:sz w:val="20"/>
              </w:rPr>
              <w:t>1.2</w:t>
            </w:r>
            <w:r>
              <w:rPr>
                <w:b/>
                <w:bCs/>
                <w:color w:val="000000" w:themeColor="text1"/>
                <w:sz w:val="20"/>
              </w:rPr>
              <w:t xml:space="preserve">, Item </w:t>
            </w:r>
            <w:r w:rsidRPr="00323586">
              <w:rPr>
                <w:b/>
                <w:bCs/>
                <w:color w:val="000000" w:themeColor="text1"/>
                <w:sz w:val="20"/>
              </w:rPr>
              <w:t>1.4 of Form 51-102F1</w:t>
            </w:r>
          </w:p>
        </w:tc>
      </w:tr>
      <w:tr w:rsidR="00276EA8" w:rsidRPr="00947F30" w14:paraId="2C10A0C2" w14:textId="77777777" w:rsidTr="00D93E09">
        <w:trPr>
          <w:trHeight w:val="733"/>
        </w:trPr>
        <w:tc>
          <w:tcPr>
            <w:cnfStyle w:val="001000000000" w:firstRow="0" w:lastRow="0" w:firstColumn="1" w:lastColumn="0" w:oddVBand="0" w:evenVBand="0" w:oddHBand="0" w:evenHBand="0" w:firstRowFirstColumn="0" w:firstRowLastColumn="0" w:lastRowFirstColumn="0" w:lastRowLastColumn="0"/>
            <w:tcW w:w="1980" w:type="dxa"/>
            <w:shd w:val="clear" w:color="auto" w:fill="EEECE1" w:themeFill="background2"/>
          </w:tcPr>
          <w:p w14:paraId="5CFFF06E" w14:textId="77777777" w:rsidR="00276EA8" w:rsidRPr="00664903" w:rsidRDefault="00276EA8" w:rsidP="00276EA8">
            <w:pPr>
              <w:rPr>
                <w:color w:val="000000" w:themeColor="text1"/>
                <w:sz w:val="20"/>
              </w:rPr>
            </w:pPr>
            <w:r>
              <w:rPr>
                <w:bCs w:val="0"/>
                <w:color w:val="000000" w:themeColor="text1"/>
                <w:sz w:val="20"/>
              </w:rPr>
              <w:t xml:space="preserve">General: Discussion of Operational Responses </w:t>
            </w:r>
          </w:p>
          <w:p w14:paraId="61B78D11" w14:textId="77777777" w:rsidR="00276EA8" w:rsidRPr="005362CD" w:rsidRDefault="00276EA8" w:rsidP="00276EA8">
            <w:pPr>
              <w:rPr>
                <w:color w:val="000000" w:themeColor="text1"/>
                <w:sz w:val="20"/>
                <w:lang w:val="en-US"/>
              </w:rPr>
            </w:pPr>
          </w:p>
        </w:tc>
        <w:tc>
          <w:tcPr>
            <w:tcW w:w="3402" w:type="dxa"/>
            <w:shd w:val="clear" w:color="auto" w:fill="EEECE1" w:themeFill="background2"/>
          </w:tcPr>
          <w:p w14:paraId="59ABAE99" w14:textId="77777777" w:rsidR="00276EA8" w:rsidRDefault="00276EA8" w:rsidP="00276EA8">
            <w:pPr>
              <w:pStyle w:val="ListParagraph"/>
              <w:numPr>
                <w:ilvl w:val="0"/>
                <w:numId w:val="17"/>
              </w:numPr>
              <w:spacing w:after="240"/>
              <w:cnfStyle w:val="000000000000" w:firstRow="0" w:lastRow="0" w:firstColumn="0" w:lastColumn="0" w:oddVBand="0" w:evenVBand="0" w:oddHBand="0" w:evenHBand="0" w:firstRowFirstColumn="0" w:firstRowLastColumn="0" w:lastRowFirstColumn="0" w:lastRowLastColumn="0"/>
              <w:rPr>
                <w:color w:val="000000" w:themeColor="text1"/>
                <w:sz w:val="20"/>
                <w:lang w:val="en-US"/>
              </w:rPr>
            </w:pPr>
            <w:r w:rsidRPr="00664903">
              <w:rPr>
                <w:color w:val="000000" w:themeColor="text1"/>
                <w:sz w:val="20"/>
                <w:lang w:val="en-US"/>
              </w:rPr>
              <w:t xml:space="preserve">The majority of issuers included qualitative disclosure of the </w:t>
            </w:r>
            <w:r>
              <w:rPr>
                <w:color w:val="000000" w:themeColor="text1"/>
                <w:sz w:val="20"/>
                <w:lang w:val="en-US"/>
              </w:rPr>
              <w:t>measures taken in response</w:t>
            </w:r>
            <w:r w:rsidRPr="00664903">
              <w:rPr>
                <w:color w:val="000000" w:themeColor="text1"/>
                <w:sz w:val="20"/>
                <w:lang w:val="en-US"/>
              </w:rPr>
              <w:t xml:space="preserve"> to COVID-19. However, some issuers only listed </w:t>
            </w:r>
            <w:r>
              <w:rPr>
                <w:color w:val="000000" w:themeColor="text1"/>
                <w:sz w:val="20"/>
                <w:lang w:val="en-US"/>
              </w:rPr>
              <w:t xml:space="preserve">measures taken </w:t>
            </w:r>
            <w:r w:rsidRPr="00664903">
              <w:rPr>
                <w:color w:val="000000" w:themeColor="text1"/>
                <w:sz w:val="20"/>
                <w:lang w:val="en-US"/>
              </w:rPr>
              <w:t xml:space="preserve">without providing sufficient detail </w:t>
            </w:r>
            <w:r>
              <w:rPr>
                <w:color w:val="000000" w:themeColor="text1"/>
                <w:sz w:val="20"/>
                <w:lang w:val="en-US"/>
              </w:rPr>
              <w:t xml:space="preserve">to understand the impact to the issuer. </w:t>
            </w:r>
          </w:p>
          <w:p w14:paraId="2A56133A" w14:textId="77777777" w:rsidR="00276EA8" w:rsidRPr="00E122AE" w:rsidRDefault="00276EA8" w:rsidP="00276EA8">
            <w:pPr>
              <w:cnfStyle w:val="000000000000" w:firstRow="0" w:lastRow="0" w:firstColumn="0" w:lastColumn="0" w:oddVBand="0" w:evenVBand="0" w:oddHBand="0" w:evenHBand="0" w:firstRowFirstColumn="0" w:firstRowLastColumn="0" w:lastRowFirstColumn="0" w:lastRowLastColumn="0"/>
              <w:rPr>
                <w:b/>
                <w:bCs/>
                <w:color w:val="000000" w:themeColor="text1"/>
                <w:sz w:val="20"/>
                <w:lang w:val="en-US"/>
              </w:rPr>
            </w:pPr>
            <w:r>
              <w:rPr>
                <w:b/>
                <w:bCs/>
                <w:color w:val="000000" w:themeColor="text1"/>
                <w:sz w:val="20"/>
                <w:lang w:val="en-US"/>
              </w:rPr>
              <w:t>U</w:t>
            </w:r>
            <w:r w:rsidRPr="00E122AE">
              <w:rPr>
                <w:b/>
                <w:bCs/>
                <w:color w:val="000000" w:themeColor="text1"/>
                <w:sz w:val="20"/>
                <w:lang w:val="en-US"/>
              </w:rPr>
              <w:t xml:space="preserve">seful </w:t>
            </w:r>
            <w:r>
              <w:rPr>
                <w:b/>
                <w:bCs/>
                <w:color w:val="000000" w:themeColor="text1"/>
                <w:sz w:val="20"/>
                <w:lang w:val="en-US"/>
              </w:rPr>
              <w:t>d</w:t>
            </w:r>
            <w:r w:rsidRPr="00E122AE">
              <w:rPr>
                <w:b/>
                <w:bCs/>
                <w:color w:val="000000" w:themeColor="text1"/>
                <w:sz w:val="20"/>
                <w:lang w:val="en-US"/>
              </w:rPr>
              <w:t xml:space="preserve">isclosure </w:t>
            </w:r>
            <w:r>
              <w:rPr>
                <w:b/>
                <w:bCs/>
                <w:color w:val="000000" w:themeColor="text1"/>
                <w:sz w:val="20"/>
                <w:lang w:val="en-US"/>
              </w:rPr>
              <w:t>o</w:t>
            </w:r>
            <w:r w:rsidRPr="00E122AE">
              <w:rPr>
                <w:b/>
                <w:bCs/>
                <w:color w:val="000000" w:themeColor="text1"/>
                <w:sz w:val="20"/>
                <w:lang w:val="en-US"/>
              </w:rPr>
              <w:t>bserved</w:t>
            </w:r>
            <w:r>
              <w:rPr>
                <w:b/>
                <w:bCs/>
                <w:color w:val="000000" w:themeColor="text1"/>
                <w:sz w:val="20"/>
                <w:lang w:val="en-US"/>
              </w:rPr>
              <w:t>:</w:t>
            </w:r>
          </w:p>
          <w:p w14:paraId="432C6446" w14:textId="77777777" w:rsidR="00276EA8" w:rsidRPr="00D93E09" w:rsidRDefault="00276EA8" w:rsidP="00D93E09">
            <w:pPr>
              <w:pStyle w:val="ListParagraph"/>
              <w:numPr>
                <w:ilvl w:val="0"/>
                <w:numId w:val="1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lang w:eastAsia="fr-CA"/>
              </w:rPr>
            </w:pPr>
            <w:r w:rsidRPr="00D93E09">
              <w:rPr>
                <w:color w:val="000000" w:themeColor="text1"/>
                <w:sz w:val="20"/>
                <w:lang w:val="en-US"/>
              </w:rPr>
              <w:t xml:space="preserve">Discussion of the measures taken, the current and expected impact to revenue or expenses and the anticipated time period such measures will remain in effect. </w:t>
            </w:r>
          </w:p>
        </w:tc>
        <w:tc>
          <w:tcPr>
            <w:tcW w:w="4399" w:type="dxa"/>
            <w:shd w:val="clear" w:color="auto" w:fill="EEECE1" w:themeFill="background2"/>
          </w:tcPr>
          <w:p w14:paraId="190FA0DB" w14:textId="0C0B08C9" w:rsidR="00276EA8" w:rsidRPr="00664903" w:rsidRDefault="00276EA8" w:rsidP="00276EA8">
            <w:pPr>
              <w:pStyle w:val="ListParagraph"/>
              <w:numPr>
                <w:ilvl w:val="0"/>
                <w:numId w:val="16"/>
              </w:numPr>
              <w:shd w:val="clear" w:color="auto" w:fill="EEECE1" w:themeFill="background2"/>
              <w:spacing w:before="120"/>
              <w:ind w:left="357" w:hanging="357"/>
              <w:textAlignment w:val="baseline"/>
              <w:cnfStyle w:val="000000000000" w:firstRow="0" w:lastRow="0" w:firstColumn="0" w:lastColumn="0" w:oddVBand="0" w:evenVBand="0" w:oddHBand="0" w:evenHBand="0" w:firstRowFirstColumn="0" w:firstRowLastColumn="0" w:lastRowFirstColumn="0" w:lastRowLastColumn="0"/>
              <w:rPr>
                <w:color w:val="000000"/>
                <w:sz w:val="20"/>
                <w:lang w:eastAsia="en-CA"/>
              </w:rPr>
            </w:pPr>
            <w:r>
              <w:rPr>
                <w:color w:val="000000"/>
                <w:sz w:val="20"/>
                <w:lang w:eastAsia="en-CA"/>
              </w:rPr>
              <w:t xml:space="preserve"> </w:t>
            </w:r>
            <w:r w:rsidRPr="00664903">
              <w:rPr>
                <w:color w:val="000000"/>
                <w:sz w:val="20"/>
                <w:lang w:eastAsia="en-CA"/>
              </w:rPr>
              <w:t xml:space="preserve">It is important for investors to understand </w:t>
            </w:r>
            <w:r>
              <w:rPr>
                <w:color w:val="000000"/>
                <w:sz w:val="20"/>
                <w:lang w:eastAsia="en-CA"/>
              </w:rPr>
              <w:t xml:space="preserve">operational measures taken in </w:t>
            </w:r>
            <w:r w:rsidRPr="00664903">
              <w:rPr>
                <w:color w:val="000000"/>
                <w:sz w:val="20"/>
                <w:lang w:eastAsia="en-CA"/>
              </w:rPr>
              <w:t xml:space="preserve">response to COVID-19 </w:t>
            </w:r>
            <w:r>
              <w:rPr>
                <w:color w:val="000000"/>
                <w:sz w:val="20"/>
                <w:lang w:eastAsia="en-CA"/>
              </w:rPr>
              <w:t xml:space="preserve">that have had a material impact on operations and that may reasonably affect future performance. This includes disclosing in sufficient detail </w:t>
            </w:r>
            <w:r w:rsidRPr="00664903">
              <w:rPr>
                <w:sz w:val="20"/>
              </w:rPr>
              <w:t>cost saving measures, restructuring initiatives or realignment</w:t>
            </w:r>
            <w:r w:rsidR="00293EF2">
              <w:rPr>
                <w:sz w:val="20"/>
              </w:rPr>
              <w:t>s</w:t>
            </w:r>
            <w:r w:rsidRPr="00664903">
              <w:rPr>
                <w:sz w:val="20"/>
              </w:rPr>
              <w:t xml:space="preserve"> of operational and financial resources in response to COVID-19.</w:t>
            </w:r>
          </w:p>
          <w:p w14:paraId="079AB9B8" w14:textId="77777777" w:rsidR="00276EA8" w:rsidRPr="00F50E49" w:rsidRDefault="00276EA8" w:rsidP="00276EA8">
            <w:pPr>
              <w:pStyle w:val="ListParagraph"/>
              <w:cnfStyle w:val="000000000000" w:firstRow="0" w:lastRow="0" w:firstColumn="0" w:lastColumn="0" w:oddVBand="0" w:evenVBand="0" w:oddHBand="0" w:evenHBand="0" w:firstRowFirstColumn="0" w:firstRowLastColumn="0" w:lastRowFirstColumn="0" w:lastRowLastColumn="0"/>
              <w:rPr>
                <w:color w:val="000000"/>
                <w:sz w:val="20"/>
                <w:lang w:eastAsia="en-CA"/>
              </w:rPr>
            </w:pPr>
          </w:p>
          <w:p w14:paraId="55D3783F" w14:textId="578B0CFF" w:rsidR="00276EA8" w:rsidRPr="00664903" w:rsidRDefault="00293EF2" w:rsidP="00276EA8">
            <w:pPr>
              <w:shd w:val="clear" w:color="auto" w:fill="DDD9C3" w:themeFill="background2" w:themeFillShade="E6"/>
              <w:textAlignment w:val="baseline"/>
              <w:cnfStyle w:val="000000000000" w:firstRow="0" w:lastRow="0" w:firstColumn="0" w:lastColumn="0" w:oddVBand="0" w:evenVBand="0" w:oddHBand="0" w:evenHBand="0" w:firstRowFirstColumn="0" w:firstRowLastColumn="0" w:lastRowFirstColumn="0" w:lastRowLastColumn="0"/>
              <w:rPr>
                <w:b/>
                <w:bCs/>
                <w:color w:val="000000"/>
                <w:sz w:val="20"/>
                <w:lang w:eastAsia="en-CA"/>
              </w:rPr>
            </w:pPr>
            <w:r>
              <w:rPr>
                <w:b/>
                <w:bCs/>
                <w:color w:val="000000"/>
                <w:sz w:val="20"/>
                <w:lang w:eastAsia="en-CA"/>
              </w:rPr>
              <w:t>Issuers should consider</w:t>
            </w:r>
            <w:r w:rsidR="00276EA8" w:rsidRPr="00664903">
              <w:rPr>
                <w:b/>
                <w:bCs/>
                <w:color w:val="000000"/>
                <w:sz w:val="20"/>
                <w:lang w:eastAsia="en-CA"/>
              </w:rPr>
              <w:t>:</w:t>
            </w:r>
          </w:p>
          <w:p w14:paraId="2CB8EFC4" w14:textId="77777777" w:rsidR="00276EA8" w:rsidRPr="00664903" w:rsidRDefault="00276EA8" w:rsidP="00761BD8">
            <w:pPr>
              <w:pStyle w:val="ListParagraph"/>
              <w:numPr>
                <w:ilvl w:val="0"/>
                <w:numId w:val="32"/>
              </w:numPr>
              <w:shd w:val="clear" w:color="auto" w:fill="DDD9C3" w:themeFill="background2" w:themeFillShade="E6"/>
              <w:textAlignment w:val="baseline"/>
              <w:cnfStyle w:val="000000000000" w:firstRow="0" w:lastRow="0" w:firstColumn="0" w:lastColumn="0" w:oddVBand="0" w:evenVBand="0" w:oddHBand="0" w:evenHBand="0" w:firstRowFirstColumn="0" w:firstRowLastColumn="0" w:lastRowFirstColumn="0" w:lastRowLastColumn="0"/>
              <w:rPr>
                <w:color w:val="000000"/>
                <w:sz w:val="20"/>
                <w:lang w:eastAsia="en-CA"/>
              </w:rPr>
            </w:pPr>
            <w:r>
              <w:rPr>
                <w:color w:val="000000"/>
                <w:sz w:val="20"/>
                <w:lang w:eastAsia="en-CA"/>
              </w:rPr>
              <w:t xml:space="preserve">Discuss the impact of operational measures taken that may increase costs </w:t>
            </w:r>
            <w:r w:rsidRPr="00664903">
              <w:rPr>
                <w:color w:val="000000"/>
                <w:sz w:val="20"/>
                <w:lang w:eastAsia="en-CA"/>
              </w:rPr>
              <w:t>(</w:t>
            </w:r>
            <w:r>
              <w:rPr>
                <w:color w:val="000000"/>
                <w:sz w:val="20"/>
                <w:lang w:eastAsia="en-CA"/>
              </w:rPr>
              <w:t>e.g.,</w:t>
            </w:r>
            <w:r w:rsidRPr="00664903">
              <w:rPr>
                <w:color w:val="000000"/>
                <w:sz w:val="20"/>
                <w:lang w:eastAsia="en-CA"/>
              </w:rPr>
              <w:t xml:space="preserve"> salary premiums)</w:t>
            </w:r>
          </w:p>
          <w:p w14:paraId="4DD2F4BD" w14:textId="77777777" w:rsidR="00276EA8" w:rsidRDefault="00276EA8" w:rsidP="00761BD8">
            <w:pPr>
              <w:pStyle w:val="ListParagraph"/>
              <w:numPr>
                <w:ilvl w:val="0"/>
                <w:numId w:val="32"/>
              </w:numPr>
              <w:shd w:val="clear" w:color="auto" w:fill="DDD9C3" w:themeFill="background2" w:themeFillShade="E6"/>
              <w:spacing w:before="120" w:after="240"/>
              <w:textAlignment w:val="baseline"/>
              <w:cnfStyle w:val="000000000000" w:firstRow="0" w:lastRow="0" w:firstColumn="0" w:lastColumn="0" w:oddVBand="0" w:evenVBand="0" w:oddHBand="0" w:evenHBand="0" w:firstRowFirstColumn="0" w:firstRowLastColumn="0" w:lastRowFirstColumn="0" w:lastRowLastColumn="0"/>
              <w:rPr>
                <w:color w:val="000000"/>
                <w:sz w:val="20"/>
                <w:lang w:eastAsia="en-CA"/>
              </w:rPr>
            </w:pPr>
            <w:r>
              <w:rPr>
                <w:color w:val="000000"/>
                <w:sz w:val="20"/>
                <w:lang w:eastAsia="en-CA"/>
              </w:rPr>
              <w:t>Describe</w:t>
            </w:r>
            <w:r w:rsidRPr="00664903">
              <w:rPr>
                <w:color w:val="000000"/>
                <w:sz w:val="20"/>
                <w:lang w:eastAsia="en-CA"/>
              </w:rPr>
              <w:t xml:space="preserve"> how </w:t>
            </w:r>
            <w:r>
              <w:rPr>
                <w:color w:val="000000"/>
                <w:sz w:val="20"/>
                <w:lang w:eastAsia="en-CA"/>
              </w:rPr>
              <w:t xml:space="preserve">operational responses </w:t>
            </w:r>
            <w:r w:rsidRPr="00664903">
              <w:rPr>
                <w:color w:val="000000"/>
                <w:sz w:val="20"/>
                <w:lang w:eastAsia="en-CA"/>
              </w:rPr>
              <w:t>change as conditions evolve</w:t>
            </w:r>
          </w:p>
          <w:p w14:paraId="3103DBE4" w14:textId="77777777" w:rsidR="00276EA8" w:rsidRDefault="00276EA8" w:rsidP="00276EA8">
            <w:pPr>
              <w:cnfStyle w:val="000000000000" w:firstRow="0" w:lastRow="0" w:firstColumn="0" w:lastColumn="0" w:oddVBand="0" w:evenVBand="0" w:oddHBand="0" w:evenHBand="0" w:firstRowFirstColumn="0" w:firstRowLastColumn="0" w:lastRowFirstColumn="0" w:lastRowLastColumn="0"/>
              <w:rPr>
                <w:b/>
                <w:bCs/>
                <w:color w:val="000000" w:themeColor="text1"/>
                <w:sz w:val="20"/>
              </w:rPr>
            </w:pPr>
          </w:p>
          <w:p w14:paraId="7C177C83" w14:textId="77777777" w:rsidR="00276EA8" w:rsidRPr="005362CD" w:rsidRDefault="00276EA8" w:rsidP="00276EA8">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i/>
                <w:iCs/>
                <w:color w:val="000000" w:themeColor="text1"/>
                <w:sz w:val="20"/>
              </w:rPr>
            </w:pPr>
            <w:r w:rsidRPr="00323586">
              <w:rPr>
                <w:b/>
                <w:bCs/>
                <w:color w:val="000000" w:themeColor="text1"/>
                <w:sz w:val="20"/>
              </w:rPr>
              <w:t>Reference: Part 1</w:t>
            </w:r>
            <w:r>
              <w:rPr>
                <w:b/>
                <w:bCs/>
                <w:color w:val="000000" w:themeColor="text1"/>
                <w:sz w:val="20"/>
              </w:rPr>
              <w:t>,</w:t>
            </w:r>
            <w:r w:rsidRPr="00323586">
              <w:rPr>
                <w:b/>
                <w:bCs/>
                <w:color w:val="000000" w:themeColor="text1"/>
                <w:sz w:val="20"/>
              </w:rPr>
              <w:t xml:space="preserve"> Item</w:t>
            </w:r>
            <w:r>
              <w:rPr>
                <w:b/>
                <w:bCs/>
                <w:color w:val="000000" w:themeColor="text1"/>
                <w:sz w:val="20"/>
              </w:rPr>
              <w:t xml:space="preserve"> </w:t>
            </w:r>
            <w:r w:rsidRPr="00323586">
              <w:rPr>
                <w:b/>
                <w:bCs/>
                <w:color w:val="000000" w:themeColor="text1"/>
                <w:sz w:val="20"/>
              </w:rPr>
              <w:t>1.2</w:t>
            </w:r>
            <w:r>
              <w:rPr>
                <w:b/>
                <w:bCs/>
                <w:color w:val="000000" w:themeColor="text1"/>
                <w:sz w:val="20"/>
              </w:rPr>
              <w:t xml:space="preserve">, Item </w:t>
            </w:r>
            <w:r w:rsidRPr="00323586">
              <w:rPr>
                <w:b/>
                <w:bCs/>
                <w:color w:val="000000" w:themeColor="text1"/>
                <w:sz w:val="20"/>
              </w:rPr>
              <w:t>1.4 of Form 51-102F1</w:t>
            </w:r>
          </w:p>
        </w:tc>
      </w:tr>
      <w:tr w:rsidR="00276EA8" w:rsidRPr="00947F30" w14:paraId="09E15F5B" w14:textId="77777777" w:rsidTr="00724DCB">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1980" w:type="dxa"/>
            <w:shd w:val="clear" w:color="auto" w:fill="EEECE1" w:themeFill="background2"/>
          </w:tcPr>
          <w:p w14:paraId="14F3ED00" w14:textId="77777777" w:rsidR="00276EA8" w:rsidRDefault="00276EA8" w:rsidP="00276EA8">
            <w:pPr>
              <w:rPr>
                <w:bCs w:val="0"/>
                <w:color w:val="000000" w:themeColor="text1"/>
                <w:sz w:val="20"/>
              </w:rPr>
            </w:pPr>
            <w:r>
              <w:rPr>
                <w:bCs w:val="0"/>
                <w:color w:val="000000" w:themeColor="text1"/>
                <w:sz w:val="20"/>
              </w:rPr>
              <w:t>Analysis of Overall Performance and Operations</w:t>
            </w:r>
          </w:p>
        </w:tc>
        <w:tc>
          <w:tcPr>
            <w:tcW w:w="3402" w:type="dxa"/>
            <w:shd w:val="clear" w:color="auto" w:fill="EEECE1" w:themeFill="background2"/>
          </w:tcPr>
          <w:p w14:paraId="6CD7C727" w14:textId="77777777" w:rsidR="00276EA8" w:rsidRDefault="00276EA8" w:rsidP="00276EA8">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r>
              <w:rPr>
                <w:color w:val="000000" w:themeColor="text1"/>
                <w:sz w:val="20"/>
                <w:lang w:val="en-US"/>
              </w:rPr>
              <w:t>Approximately 20% of issuers</w:t>
            </w:r>
            <w:r w:rsidRPr="00664903">
              <w:rPr>
                <w:color w:val="000000" w:themeColor="text1"/>
                <w:sz w:val="20"/>
                <w:lang w:val="en-US"/>
              </w:rPr>
              <w:t xml:space="preserve"> disclosed COVID-19 as the reason for period over period variances without </w:t>
            </w:r>
            <w:r>
              <w:rPr>
                <w:color w:val="000000" w:themeColor="text1"/>
                <w:sz w:val="20"/>
                <w:lang w:val="en-US"/>
              </w:rPr>
              <w:t>analyzing entity-specific factors.</w:t>
            </w:r>
          </w:p>
          <w:p w14:paraId="78B8CC7F" w14:textId="77777777" w:rsidR="00276EA8" w:rsidRPr="00985B5F" w:rsidRDefault="00276EA8" w:rsidP="00276EA8">
            <w:p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p>
          <w:p w14:paraId="648A2B75" w14:textId="390A56EB" w:rsidR="00276EA8" w:rsidRDefault="00276EA8" w:rsidP="00276EA8">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r w:rsidRPr="00664903">
              <w:rPr>
                <w:color w:val="000000" w:themeColor="text1"/>
                <w:sz w:val="20"/>
                <w:lang w:val="en-US"/>
              </w:rPr>
              <w:t xml:space="preserve">It was unclear for some issuers how certain costs, in particular restructuring costs, were fully attributable to COVID-19 when the issuer had pre-existing operational issues. </w:t>
            </w:r>
          </w:p>
          <w:p w14:paraId="5CB53BBA" w14:textId="77777777" w:rsidR="008D2CE0" w:rsidRPr="008D2CE0" w:rsidRDefault="008D2CE0" w:rsidP="008D2CE0">
            <w:p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p>
          <w:p w14:paraId="56D78058" w14:textId="7166B340" w:rsidR="00276EA8" w:rsidRPr="008D2CE0" w:rsidRDefault="00276EA8" w:rsidP="00276EA8">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r w:rsidRPr="00E122AE">
              <w:rPr>
                <w:color w:val="000000" w:themeColor="text1"/>
                <w:sz w:val="20"/>
                <w:lang w:val="en-US"/>
              </w:rPr>
              <w:t xml:space="preserve">Most issuers that quantitatively disclosed variances related to COVID-19 </w:t>
            </w:r>
            <w:r>
              <w:rPr>
                <w:color w:val="000000" w:themeColor="text1"/>
                <w:sz w:val="20"/>
                <w:lang w:val="en-US"/>
              </w:rPr>
              <w:t xml:space="preserve">(e.g., impact to sales) </w:t>
            </w:r>
            <w:r w:rsidRPr="00E122AE">
              <w:rPr>
                <w:color w:val="000000" w:themeColor="text1"/>
                <w:sz w:val="20"/>
                <w:lang w:val="en-US"/>
              </w:rPr>
              <w:t xml:space="preserve">did not explain the methodology used by management in determining that fluctuations were isolated to COVID-19.  </w:t>
            </w:r>
          </w:p>
          <w:p w14:paraId="24638743" w14:textId="77777777" w:rsidR="00276EA8" w:rsidRPr="00A508E1" w:rsidRDefault="00276EA8" w:rsidP="00276EA8">
            <w:p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p>
          <w:p w14:paraId="1948E045" w14:textId="2CF3ADF4" w:rsidR="00276EA8" w:rsidRPr="00B631C1" w:rsidRDefault="00276EA8" w:rsidP="00276EA8">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r w:rsidRPr="00B631C1">
              <w:rPr>
                <w:color w:val="000000" w:themeColor="text1"/>
                <w:sz w:val="20"/>
                <w:lang w:val="en-US"/>
              </w:rPr>
              <w:t>Some issuers did not disclose the impact</w:t>
            </w:r>
            <w:r w:rsidR="002E5940">
              <w:rPr>
                <w:color w:val="000000" w:themeColor="text1"/>
                <w:sz w:val="20"/>
                <w:lang w:val="en-US"/>
              </w:rPr>
              <w:t>s</w:t>
            </w:r>
            <w:r w:rsidRPr="00B631C1">
              <w:rPr>
                <w:color w:val="000000" w:themeColor="text1"/>
                <w:sz w:val="20"/>
                <w:lang w:val="en-US"/>
              </w:rPr>
              <w:t xml:space="preserve"> that government assistance attributable to COVID-19 </w:t>
            </w:r>
            <w:r>
              <w:rPr>
                <w:color w:val="000000" w:themeColor="text1"/>
                <w:sz w:val="20"/>
                <w:lang w:val="en-US"/>
              </w:rPr>
              <w:t xml:space="preserve">had </w:t>
            </w:r>
            <w:r w:rsidRPr="00B631C1">
              <w:rPr>
                <w:color w:val="000000" w:themeColor="text1"/>
                <w:sz w:val="20"/>
                <w:lang w:val="en-US"/>
              </w:rPr>
              <w:t xml:space="preserve">on their performance, operations and cash flows. </w:t>
            </w:r>
          </w:p>
          <w:p w14:paraId="1BD0831F" w14:textId="77777777" w:rsidR="00276EA8" w:rsidRDefault="00276EA8" w:rsidP="00276EA8">
            <w:p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p>
          <w:p w14:paraId="2942FDC0" w14:textId="77777777" w:rsidR="00276EA8" w:rsidRDefault="00276EA8" w:rsidP="00276EA8">
            <w:p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p>
          <w:p w14:paraId="0A0D7F27" w14:textId="77777777" w:rsidR="00276EA8" w:rsidRDefault="00276EA8" w:rsidP="00276EA8">
            <w:p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p>
          <w:p w14:paraId="42D3AAD3" w14:textId="3CE547DC" w:rsidR="00276EA8" w:rsidRDefault="00276EA8" w:rsidP="00276EA8">
            <w:p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p>
          <w:p w14:paraId="43028529" w14:textId="52BB3F40" w:rsidR="00A740C0" w:rsidRDefault="00A740C0" w:rsidP="00276EA8">
            <w:p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p>
          <w:p w14:paraId="74764D6B" w14:textId="7984F389" w:rsidR="00A740C0" w:rsidRDefault="00A740C0" w:rsidP="00276EA8">
            <w:p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p>
          <w:p w14:paraId="7C7FBDBC" w14:textId="4B9ED5F3" w:rsidR="00A740C0" w:rsidRDefault="00A740C0" w:rsidP="00276EA8">
            <w:p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p>
          <w:p w14:paraId="2782A079" w14:textId="77777777" w:rsidR="00A740C0" w:rsidRDefault="00A740C0" w:rsidP="00276EA8">
            <w:p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p>
          <w:p w14:paraId="4D4D2835" w14:textId="77777777" w:rsidR="00276EA8" w:rsidRDefault="00276EA8" w:rsidP="00276EA8">
            <w:p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p>
          <w:p w14:paraId="240C6501" w14:textId="77777777" w:rsidR="00276EA8" w:rsidRDefault="00276EA8" w:rsidP="00276EA8">
            <w:p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p>
          <w:p w14:paraId="0A8B927C" w14:textId="77777777" w:rsidR="00276EA8" w:rsidRPr="00B631C1" w:rsidRDefault="00276EA8" w:rsidP="00276EA8">
            <w:pPr>
              <w:cnfStyle w:val="000000100000" w:firstRow="0" w:lastRow="0" w:firstColumn="0" w:lastColumn="0" w:oddVBand="0" w:evenVBand="0" w:oddHBand="1" w:evenHBand="0" w:firstRowFirstColumn="0" w:firstRowLastColumn="0" w:lastRowFirstColumn="0" w:lastRowLastColumn="0"/>
              <w:rPr>
                <w:b/>
                <w:bCs/>
                <w:color w:val="000000" w:themeColor="text1"/>
                <w:sz w:val="20"/>
                <w:lang w:val="en-US"/>
              </w:rPr>
            </w:pPr>
            <w:r w:rsidRPr="00B631C1">
              <w:rPr>
                <w:b/>
                <w:bCs/>
                <w:color w:val="000000" w:themeColor="text1"/>
                <w:sz w:val="20"/>
                <w:lang w:val="en-US"/>
              </w:rPr>
              <w:t>Industry observations:</w:t>
            </w:r>
          </w:p>
          <w:p w14:paraId="277F5E97" w14:textId="77777777" w:rsidR="00276EA8" w:rsidRPr="00236FBC" w:rsidRDefault="00276EA8" w:rsidP="00276EA8">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r>
              <w:rPr>
                <w:sz w:val="20"/>
                <w:lang w:eastAsia="fr-CA"/>
              </w:rPr>
              <w:t xml:space="preserve">We observed additional disclosures to assist in understanding COVID-19 impacts. For example: </w:t>
            </w:r>
          </w:p>
          <w:p w14:paraId="5C5C7B87" w14:textId="77777777" w:rsidR="00276EA8" w:rsidRPr="00E115D0" w:rsidRDefault="00276EA8" w:rsidP="00276EA8">
            <w:pPr>
              <w:pStyle w:val="ListParagraph"/>
              <w:numPr>
                <w:ilvl w:val="1"/>
                <w:numId w:val="6"/>
              </w:num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r w:rsidRPr="00E115D0">
              <w:rPr>
                <w:b/>
                <w:bCs/>
                <w:sz w:val="20"/>
                <w:lang w:eastAsia="fr-CA"/>
              </w:rPr>
              <w:t>Retail/service industry</w:t>
            </w:r>
            <w:r>
              <w:rPr>
                <w:sz w:val="20"/>
                <w:lang w:eastAsia="fr-CA"/>
              </w:rPr>
              <w:t xml:space="preserve"> – details of store closures, # of weeks operating, ecommerce sales vs in store sales</w:t>
            </w:r>
          </w:p>
          <w:p w14:paraId="62FBDE7B" w14:textId="77777777" w:rsidR="00276EA8" w:rsidRPr="00E115D0" w:rsidRDefault="00276EA8" w:rsidP="00276EA8">
            <w:pPr>
              <w:pStyle w:val="ListParagraph"/>
              <w:numPr>
                <w:ilvl w:val="1"/>
                <w:numId w:val="6"/>
              </w:num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r w:rsidRPr="00E115D0">
              <w:rPr>
                <w:b/>
                <w:bCs/>
                <w:color w:val="000000" w:themeColor="text1"/>
                <w:sz w:val="20"/>
                <w:lang w:val="en-US"/>
              </w:rPr>
              <w:t xml:space="preserve">Real estate industry </w:t>
            </w:r>
            <w:r>
              <w:rPr>
                <w:color w:val="000000" w:themeColor="text1"/>
                <w:sz w:val="20"/>
                <w:lang w:val="en-US"/>
              </w:rPr>
              <w:t>-</w:t>
            </w:r>
            <w:r w:rsidRPr="00664903">
              <w:rPr>
                <w:color w:val="000000" w:themeColor="text1"/>
                <w:sz w:val="20"/>
                <w:lang w:val="en-US"/>
              </w:rPr>
              <w:t xml:space="preserve"> an analysis of space leased by customers that </w:t>
            </w:r>
            <w:r>
              <w:rPr>
                <w:color w:val="000000" w:themeColor="text1"/>
                <w:sz w:val="20"/>
                <w:lang w:val="en-US"/>
              </w:rPr>
              <w:t>were</w:t>
            </w:r>
            <w:r w:rsidRPr="00664903">
              <w:rPr>
                <w:color w:val="000000" w:themeColor="text1"/>
                <w:sz w:val="20"/>
                <w:lang w:val="en-US"/>
              </w:rPr>
              <w:t xml:space="preserve"> negatively affected/unaffected/ positively affected by the pandemic and the proportion of tenants that have applied for government assistance</w:t>
            </w:r>
          </w:p>
          <w:p w14:paraId="7392F8DC" w14:textId="77777777" w:rsidR="00276EA8" w:rsidRPr="00664903" w:rsidRDefault="00276EA8" w:rsidP="00D93E09">
            <w:pPr>
              <w:pStyle w:val="ListParagraph"/>
              <w:spacing w:after="240"/>
              <w:ind w:left="360"/>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p>
        </w:tc>
        <w:tc>
          <w:tcPr>
            <w:tcW w:w="4399" w:type="dxa"/>
            <w:shd w:val="clear" w:color="auto" w:fill="EEECE1" w:themeFill="background2"/>
          </w:tcPr>
          <w:p w14:paraId="68620A81" w14:textId="0A552E6C" w:rsidR="00276EA8" w:rsidRPr="00985B5F" w:rsidRDefault="00276EA8" w:rsidP="00276EA8">
            <w:pPr>
              <w:pStyle w:val="CommentText"/>
              <w:numPr>
                <w:ilvl w:val="0"/>
                <w:numId w:val="18"/>
              </w:numPr>
              <w:spacing w:after="0"/>
              <w:ind w:left="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Pr>
                <w:rFonts w:ascii="Times New Roman" w:hAnsi="Times New Roman" w:cs="Times New Roman"/>
              </w:rPr>
              <w:t>A</w:t>
            </w:r>
            <w:r w:rsidRPr="00664903">
              <w:rPr>
                <w:rFonts w:ascii="Times New Roman" w:hAnsi="Times New Roman" w:cs="Times New Roman"/>
              </w:rPr>
              <w:t xml:space="preserve">void </w:t>
            </w:r>
            <w:r w:rsidR="00293EF2">
              <w:rPr>
                <w:rFonts w:ascii="Times New Roman" w:hAnsi="Times New Roman" w:cs="Times New Roman"/>
              </w:rPr>
              <w:t xml:space="preserve">simply making </w:t>
            </w:r>
            <w:r>
              <w:rPr>
                <w:rFonts w:ascii="Times New Roman" w:hAnsi="Times New Roman" w:cs="Times New Roman"/>
              </w:rPr>
              <w:t>statements attributing negative results to</w:t>
            </w:r>
            <w:r w:rsidRPr="00664903">
              <w:rPr>
                <w:rFonts w:ascii="Times New Roman" w:hAnsi="Times New Roman" w:cs="Times New Roman"/>
              </w:rPr>
              <w:t xml:space="preserve"> COVID-19</w:t>
            </w:r>
            <w:r>
              <w:rPr>
                <w:rFonts w:ascii="Times New Roman" w:hAnsi="Times New Roman" w:cs="Times New Roman"/>
              </w:rPr>
              <w:t>.</w:t>
            </w:r>
            <w:r w:rsidRPr="00664903">
              <w:rPr>
                <w:rFonts w:ascii="Times New Roman" w:hAnsi="Times New Roman" w:cs="Times New Roman"/>
              </w:rPr>
              <w:t xml:space="preserve">  Instead, provide a meaningful discussion on the material impacts (both positive and negative) of COVID-19 on the </w:t>
            </w:r>
            <w:r>
              <w:rPr>
                <w:rFonts w:ascii="Times New Roman" w:hAnsi="Times New Roman" w:cs="Times New Roman"/>
              </w:rPr>
              <w:t>i</w:t>
            </w:r>
            <w:r w:rsidRPr="00664903">
              <w:rPr>
                <w:rFonts w:ascii="Times New Roman" w:hAnsi="Times New Roman" w:cs="Times New Roman"/>
              </w:rPr>
              <w:t xml:space="preserve">ssuer’s operations. </w:t>
            </w:r>
            <w:r>
              <w:rPr>
                <w:rFonts w:ascii="Times New Roman" w:hAnsi="Times New Roman" w:cs="Times New Roman"/>
              </w:rPr>
              <w:t>Disclose</w:t>
            </w:r>
            <w:r w:rsidRPr="00664903">
              <w:rPr>
                <w:rFonts w:ascii="Times New Roman" w:hAnsi="Times New Roman" w:cs="Times New Roman"/>
              </w:rPr>
              <w:t xml:space="preserve"> issuer-specific impacts on both revenues and expenses and provide</w:t>
            </w:r>
            <w:r>
              <w:rPr>
                <w:rFonts w:ascii="Times New Roman" w:hAnsi="Times New Roman" w:cs="Times New Roman"/>
              </w:rPr>
              <w:t xml:space="preserve"> disclosure</w:t>
            </w:r>
            <w:r w:rsidRPr="00664903">
              <w:rPr>
                <w:rFonts w:ascii="Times New Roman" w:hAnsi="Times New Roman" w:cs="Times New Roman"/>
              </w:rPr>
              <w:t xml:space="preserve"> by segment.</w:t>
            </w:r>
            <w:r>
              <w:rPr>
                <w:rFonts w:ascii="Times New Roman" w:hAnsi="Times New Roman" w:cs="Times New Roman"/>
              </w:rPr>
              <w:t xml:space="preserve"> </w:t>
            </w:r>
          </w:p>
          <w:p w14:paraId="1439D700" w14:textId="77777777" w:rsidR="00276EA8" w:rsidRPr="00CF51F6" w:rsidRDefault="00276EA8" w:rsidP="00276EA8">
            <w:pPr>
              <w:pStyle w:val="CommentText"/>
              <w:numPr>
                <w:ilvl w:val="0"/>
                <w:numId w:val="18"/>
              </w:num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rPr>
              <w:t xml:space="preserve">Issuers </w:t>
            </w:r>
            <w:r>
              <w:rPr>
                <w:rFonts w:ascii="Times New Roman" w:hAnsi="Times New Roman" w:cs="Times New Roman"/>
              </w:rPr>
              <w:t>must</w:t>
            </w:r>
            <w:r w:rsidRPr="00664903">
              <w:rPr>
                <w:rFonts w:ascii="Times New Roman" w:hAnsi="Times New Roman" w:cs="Times New Roman"/>
              </w:rPr>
              <w:t xml:space="preserve"> have a basis for attributing </w:t>
            </w:r>
            <w:r>
              <w:rPr>
                <w:rFonts w:ascii="Times New Roman" w:hAnsi="Times New Roman" w:cs="Times New Roman"/>
              </w:rPr>
              <w:t>costs</w:t>
            </w:r>
            <w:r w:rsidRPr="00664903">
              <w:rPr>
                <w:rFonts w:ascii="Times New Roman" w:hAnsi="Times New Roman" w:cs="Times New Roman"/>
              </w:rPr>
              <w:t xml:space="preserve"> to COVID-19, especially when certain conditions existed prior to COVID-19. Other reasons for material fluctuations not related to COVID-19 should be disclosed with equal prominence. </w:t>
            </w:r>
          </w:p>
          <w:p w14:paraId="09F9D034" w14:textId="40A528E5" w:rsidR="00276EA8" w:rsidRPr="00664903" w:rsidRDefault="00276EA8" w:rsidP="00276EA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20"/>
              </w:rPr>
            </w:pPr>
            <w:r w:rsidRPr="00664903">
              <w:rPr>
                <w:color w:val="000000" w:themeColor="text1"/>
                <w:spacing w:val="-5"/>
                <w:sz w:val="20"/>
              </w:rPr>
              <w:t>Quantification of material factors</w:t>
            </w:r>
            <w:r>
              <w:rPr>
                <w:color w:val="000000" w:themeColor="text1"/>
                <w:spacing w:val="-5"/>
                <w:sz w:val="20"/>
              </w:rPr>
              <w:t>, where practicable,</w:t>
            </w:r>
            <w:r w:rsidRPr="00664903">
              <w:rPr>
                <w:color w:val="000000" w:themeColor="text1"/>
                <w:spacing w:val="-5"/>
                <w:sz w:val="20"/>
              </w:rPr>
              <w:t xml:space="preserve"> can provide a</w:t>
            </w:r>
            <w:r>
              <w:rPr>
                <w:color w:val="000000" w:themeColor="text1"/>
                <w:spacing w:val="-5"/>
                <w:sz w:val="20"/>
              </w:rPr>
              <w:t>n</w:t>
            </w:r>
            <w:r w:rsidRPr="00664903">
              <w:rPr>
                <w:color w:val="000000" w:themeColor="text1"/>
                <w:spacing w:val="-5"/>
                <w:sz w:val="20"/>
              </w:rPr>
              <w:t xml:space="preserve"> understanding of an issuer’s performance. However, </w:t>
            </w:r>
            <w:r>
              <w:rPr>
                <w:color w:val="000000" w:themeColor="text1"/>
                <w:spacing w:val="-5"/>
                <w:sz w:val="20"/>
              </w:rPr>
              <w:t>i</w:t>
            </w:r>
            <w:r w:rsidRPr="00664903">
              <w:rPr>
                <w:sz w:val="20"/>
              </w:rPr>
              <w:t>t may be difficult for an issuer to determine with accuracy the quantitative impact of COVID-19</w:t>
            </w:r>
            <w:r>
              <w:rPr>
                <w:sz w:val="20"/>
              </w:rPr>
              <w:t xml:space="preserve">. </w:t>
            </w:r>
            <w:r w:rsidRPr="00664903">
              <w:rPr>
                <w:sz w:val="20"/>
              </w:rPr>
              <w:t xml:space="preserve">In order to avoid misleading investors, issuers should explain the methodology used in </w:t>
            </w:r>
            <w:r w:rsidR="00E74E3B">
              <w:rPr>
                <w:sz w:val="20"/>
              </w:rPr>
              <w:t>their</w:t>
            </w:r>
            <w:r w:rsidRPr="00664903">
              <w:rPr>
                <w:sz w:val="20"/>
              </w:rPr>
              <w:t xml:space="preserve"> calculation and provide information about the judgements and estimations made by management </w:t>
            </w:r>
            <w:r>
              <w:rPr>
                <w:sz w:val="20"/>
              </w:rPr>
              <w:t>when</w:t>
            </w:r>
            <w:r w:rsidRPr="00664903">
              <w:rPr>
                <w:sz w:val="20"/>
              </w:rPr>
              <w:t xml:space="preserve"> quantifying impacts.</w:t>
            </w:r>
          </w:p>
          <w:p w14:paraId="4FB50D04" w14:textId="77777777" w:rsidR="00276EA8" w:rsidRPr="00664903" w:rsidRDefault="00276EA8" w:rsidP="00276EA8">
            <w:pPr>
              <w:pStyle w:val="CommentText"/>
              <w:numPr>
                <w:ilvl w:val="0"/>
                <w:numId w:val="18"/>
              </w:num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Pr>
                <w:rFonts w:ascii="Times New Roman" w:hAnsi="Times New Roman" w:cs="Times New Roman"/>
                <w:color w:val="000000" w:themeColor="text1"/>
                <w:spacing w:val="-5"/>
              </w:rPr>
              <w:t xml:space="preserve">An understanding of </w:t>
            </w:r>
            <w:r w:rsidRPr="00664903">
              <w:rPr>
                <w:rFonts w:ascii="Times New Roman" w:hAnsi="Times New Roman" w:cs="Times New Roman"/>
                <w:color w:val="000000" w:themeColor="text1"/>
                <w:spacing w:val="-5"/>
              </w:rPr>
              <w:t xml:space="preserve">the amounts </w:t>
            </w:r>
            <w:r>
              <w:rPr>
                <w:rFonts w:ascii="Times New Roman" w:hAnsi="Times New Roman" w:cs="Times New Roman"/>
                <w:color w:val="000000" w:themeColor="text1"/>
                <w:spacing w:val="-5"/>
              </w:rPr>
              <w:t xml:space="preserve">of government assistance </w:t>
            </w:r>
            <w:r w:rsidRPr="00664903">
              <w:rPr>
                <w:rFonts w:ascii="Times New Roman" w:hAnsi="Times New Roman" w:cs="Times New Roman"/>
                <w:color w:val="000000" w:themeColor="text1"/>
                <w:spacing w:val="-5"/>
              </w:rPr>
              <w:t>received and where such funding is recorded in the financial statements</w:t>
            </w:r>
            <w:r>
              <w:rPr>
                <w:rFonts w:ascii="Times New Roman" w:hAnsi="Times New Roman" w:cs="Times New Roman"/>
                <w:color w:val="000000" w:themeColor="text1"/>
                <w:spacing w:val="-5"/>
              </w:rPr>
              <w:t xml:space="preserve"> may be necessary to understand historical results and future trends</w:t>
            </w:r>
            <w:r w:rsidR="00B90828">
              <w:rPr>
                <w:rFonts w:ascii="Times New Roman" w:hAnsi="Times New Roman" w:cs="Times New Roman"/>
                <w:color w:val="000000" w:themeColor="text1"/>
                <w:spacing w:val="-5"/>
              </w:rPr>
              <w:t>,</w:t>
            </w:r>
            <w:r>
              <w:rPr>
                <w:rFonts w:ascii="Times New Roman" w:hAnsi="Times New Roman" w:cs="Times New Roman"/>
                <w:color w:val="000000" w:themeColor="text1"/>
                <w:spacing w:val="-5"/>
              </w:rPr>
              <w:t xml:space="preserve"> when material. Issuers are reminded to provide balanced disclosure of both the positive and adverse impacts to operations, financial condition and cash flows. </w:t>
            </w:r>
            <w:r w:rsidRPr="00664903">
              <w:rPr>
                <w:rFonts w:ascii="Times New Roman" w:hAnsi="Times New Roman" w:cs="Times New Roman"/>
                <w:color w:val="000000" w:themeColor="text1"/>
                <w:spacing w:val="-5"/>
              </w:rPr>
              <w:t xml:space="preserve"> Also see “</w:t>
            </w:r>
            <w:r w:rsidRPr="00514C6D">
              <w:rPr>
                <w:rFonts w:ascii="Times New Roman" w:hAnsi="Times New Roman" w:cs="Times New Roman"/>
                <w:i/>
                <w:iCs/>
                <w:color w:val="000000" w:themeColor="text1"/>
                <w:spacing w:val="-5"/>
              </w:rPr>
              <w:t xml:space="preserve">Appendix </w:t>
            </w:r>
            <w:r w:rsidR="001B7DA6" w:rsidRPr="00514C6D">
              <w:rPr>
                <w:rFonts w:ascii="Times New Roman" w:hAnsi="Times New Roman" w:cs="Times New Roman"/>
                <w:i/>
                <w:iCs/>
                <w:color w:val="000000" w:themeColor="text1"/>
                <w:spacing w:val="-5"/>
              </w:rPr>
              <w:t>A.2</w:t>
            </w:r>
            <w:r w:rsidRPr="00514C6D">
              <w:rPr>
                <w:rFonts w:ascii="Times New Roman" w:hAnsi="Times New Roman" w:cs="Times New Roman"/>
                <w:i/>
                <w:iCs/>
                <w:color w:val="000000" w:themeColor="text1"/>
                <w:spacing w:val="-5"/>
              </w:rPr>
              <w:t xml:space="preserve">– </w:t>
            </w:r>
            <w:r w:rsidR="001B7DA6" w:rsidRPr="00514C6D">
              <w:rPr>
                <w:rFonts w:ascii="Times New Roman" w:hAnsi="Times New Roman" w:cs="Times New Roman"/>
                <w:i/>
                <w:iCs/>
                <w:color w:val="000000" w:themeColor="text1"/>
                <w:spacing w:val="-5"/>
              </w:rPr>
              <w:t xml:space="preserve">Key Observations and Considerations </w:t>
            </w:r>
            <w:r w:rsidR="00514C6D" w:rsidRPr="00514C6D">
              <w:rPr>
                <w:rFonts w:ascii="Times New Roman" w:hAnsi="Times New Roman" w:cs="Times New Roman"/>
                <w:i/>
                <w:iCs/>
                <w:color w:val="000000" w:themeColor="text1"/>
                <w:spacing w:val="-5"/>
              </w:rPr>
              <w:t>on</w:t>
            </w:r>
            <w:r w:rsidR="00514C6D">
              <w:rPr>
                <w:rFonts w:ascii="Times New Roman" w:hAnsi="Times New Roman" w:cs="Times New Roman"/>
                <w:color w:val="000000" w:themeColor="text1"/>
                <w:spacing w:val="-5"/>
              </w:rPr>
              <w:t xml:space="preserve"> </w:t>
            </w:r>
            <w:r w:rsidRPr="00552984">
              <w:rPr>
                <w:rFonts w:ascii="Times New Roman" w:hAnsi="Times New Roman" w:cs="Times New Roman"/>
                <w:i/>
                <w:iCs/>
                <w:color w:val="000000" w:themeColor="text1"/>
                <w:spacing w:val="-5"/>
              </w:rPr>
              <w:t>Financial Statements</w:t>
            </w:r>
            <w:r w:rsidR="00514C6D">
              <w:rPr>
                <w:rFonts w:ascii="Times New Roman" w:hAnsi="Times New Roman" w:cs="Times New Roman"/>
                <w:i/>
                <w:iCs/>
                <w:color w:val="000000" w:themeColor="text1"/>
                <w:spacing w:val="-5"/>
              </w:rPr>
              <w:t>.</w:t>
            </w:r>
            <w:r w:rsidRPr="00664903">
              <w:rPr>
                <w:rFonts w:ascii="Times New Roman" w:hAnsi="Times New Roman" w:cs="Times New Roman"/>
                <w:color w:val="000000" w:themeColor="text1"/>
                <w:spacing w:val="-5"/>
              </w:rPr>
              <w:t xml:space="preserve">” </w:t>
            </w:r>
          </w:p>
          <w:p w14:paraId="6FC14025" w14:textId="218B37B7" w:rsidR="00276EA8" w:rsidRDefault="00276EA8" w:rsidP="00276EA8">
            <w:pPr>
              <w:pStyle w:val="CommentText"/>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p>
          <w:p w14:paraId="74E53DB8" w14:textId="77777777" w:rsidR="00A279EC" w:rsidRPr="00664903" w:rsidRDefault="00A279EC" w:rsidP="00276EA8">
            <w:pPr>
              <w:pStyle w:val="CommentText"/>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p>
          <w:p w14:paraId="63C6C8A5" w14:textId="77777777" w:rsidR="00276EA8" w:rsidRPr="00664903" w:rsidRDefault="00276EA8" w:rsidP="00276EA8">
            <w:pPr>
              <w:pStyle w:val="CommentText"/>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pacing w:val="-5"/>
              </w:rPr>
            </w:pPr>
            <w:r w:rsidRPr="00664903">
              <w:rPr>
                <w:rFonts w:ascii="Times New Roman" w:hAnsi="Times New Roman" w:cs="Times New Roman"/>
                <w:b/>
                <w:bCs/>
                <w:color w:val="000000" w:themeColor="text1"/>
                <w:spacing w:val="-5"/>
              </w:rPr>
              <w:t>Issuers should consider:</w:t>
            </w:r>
          </w:p>
          <w:p w14:paraId="5C0C4FDC" w14:textId="77777777" w:rsidR="00276EA8" w:rsidRPr="00664903" w:rsidRDefault="00276EA8" w:rsidP="00761BD8">
            <w:pPr>
              <w:pStyle w:val="ListParagraph"/>
              <w:numPr>
                <w:ilvl w:val="0"/>
                <w:numId w:val="33"/>
              </w:numPr>
              <w:shd w:val="clear" w:color="auto" w:fill="DDD9C3" w:themeFill="background2" w:themeFillShade="E6"/>
              <w:spacing w:after="75"/>
              <w:ind w:left="317" w:hanging="270"/>
              <w:textAlignment w:val="baseline"/>
              <w:cnfStyle w:val="000000100000" w:firstRow="0" w:lastRow="0" w:firstColumn="0" w:lastColumn="0" w:oddVBand="0" w:evenVBand="0" w:oddHBand="1" w:evenHBand="0" w:firstRowFirstColumn="0" w:firstRowLastColumn="0" w:lastRowFirstColumn="0" w:lastRowLastColumn="0"/>
              <w:rPr>
                <w:color w:val="000000"/>
                <w:sz w:val="20"/>
                <w:lang w:eastAsia="en-CA"/>
              </w:rPr>
            </w:pPr>
            <w:r w:rsidRPr="00664903">
              <w:rPr>
                <w:color w:val="000000"/>
                <w:sz w:val="20"/>
              </w:rPr>
              <w:t>How decreases or increases in demand for products and services impacted financial results</w:t>
            </w:r>
          </w:p>
          <w:p w14:paraId="5F6096AB" w14:textId="77777777" w:rsidR="00276EA8" w:rsidRPr="00664903" w:rsidRDefault="00276EA8" w:rsidP="00761BD8">
            <w:pPr>
              <w:pStyle w:val="ListParagraph"/>
              <w:numPr>
                <w:ilvl w:val="0"/>
                <w:numId w:val="33"/>
              </w:numPr>
              <w:shd w:val="clear" w:color="auto" w:fill="DDD9C3" w:themeFill="background2" w:themeFillShade="E6"/>
              <w:spacing w:after="75"/>
              <w:ind w:left="317" w:hanging="270"/>
              <w:textAlignment w:val="baseline"/>
              <w:cnfStyle w:val="000000100000" w:firstRow="0" w:lastRow="0" w:firstColumn="0" w:lastColumn="0" w:oddVBand="0" w:evenVBand="0" w:oddHBand="1" w:evenHBand="0" w:firstRowFirstColumn="0" w:firstRowLastColumn="0" w:lastRowFirstColumn="0" w:lastRowLastColumn="0"/>
              <w:rPr>
                <w:color w:val="000000"/>
                <w:sz w:val="20"/>
                <w:lang w:eastAsia="en-CA"/>
              </w:rPr>
            </w:pPr>
            <w:r w:rsidRPr="00664903">
              <w:rPr>
                <w:color w:val="000000"/>
                <w:sz w:val="20"/>
              </w:rPr>
              <w:t>Impact of operational closures</w:t>
            </w:r>
          </w:p>
          <w:p w14:paraId="1780FF9B" w14:textId="77777777" w:rsidR="00276EA8" w:rsidRPr="00664903" w:rsidRDefault="00276EA8" w:rsidP="00761BD8">
            <w:pPr>
              <w:pStyle w:val="ListParagraph"/>
              <w:numPr>
                <w:ilvl w:val="0"/>
                <w:numId w:val="33"/>
              </w:numPr>
              <w:shd w:val="clear" w:color="auto" w:fill="DDD9C3" w:themeFill="background2" w:themeFillShade="E6"/>
              <w:spacing w:after="75"/>
              <w:ind w:left="317" w:hanging="270"/>
              <w:textAlignment w:val="baseline"/>
              <w:cnfStyle w:val="000000100000" w:firstRow="0" w:lastRow="0" w:firstColumn="0" w:lastColumn="0" w:oddVBand="0" w:evenVBand="0" w:oddHBand="1" w:evenHBand="0" w:firstRowFirstColumn="0" w:firstRowLastColumn="0" w:lastRowFirstColumn="0" w:lastRowLastColumn="0"/>
              <w:rPr>
                <w:color w:val="000000"/>
                <w:sz w:val="20"/>
                <w:lang w:eastAsia="en-CA"/>
              </w:rPr>
            </w:pPr>
            <w:r w:rsidRPr="00664903">
              <w:rPr>
                <w:color w:val="000000" w:themeColor="text1"/>
                <w:spacing w:val="-5"/>
                <w:sz w:val="20"/>
              </w:rPr>
              <w:t xml:space="preserve">How costs, including changes in prices, </w:t>
            </w:r>
            <w:r>
              <w:rPr>
                <w:color w:val="000000" w:themeColor="text1"/>
                <w:spacing w:val="-5"/>
                <w:sz w:val="20"/>
              </w:rPr>
              <w:t>influenced results</w:t>
            </w:r>
            <w:r w:rsidRPr="00664903">
              <w:rPr>
                <w:color w:val="000000" w:themeColor="text1"/>
                <w:spacing w:val="-5"/>
                <w:sz w:val="20"/>
              </w:rPr>
              <w:t xml:space="preserve"> </w:t>
            </w:r>
          </w:p>
          <w:p w14:paraId="4ADA9CD9" w14:textId="77777777" w:rsidR="00276EA8" w:rsidRPr="00664903" w:rsidRDefault="00276EA8" w:rsidP="00761BD8">
            <w:pPr>
              <w:pStyle w:val="ListParagraph"/>
              <w:numPr>
                <w:ilvl w:val="0"/>
                <w:numId w:val="33"/>
              </w:numPr>
              <w:shd w:val="clear" w:color="auto" w:fill="DDD9C3" w:themeFill="background2" w:themeFillShade="E6"/>
              <w:spacing w:after="75"/>
              <w:ind w:left="317" w:hanging="270"/>
              <w:textAlignment w:val="baseline"/>
              <w:cnfStyle w:val="000000100000" w:firstRow="0" w:lastRow="0" w:firstColumn="0" w:lastColumn="0" w:oddVBand="0" w:evenVBand="0" w:oddHBand="1" w:evenHBand="0" w:firstRowFirstColumn="0" w:firstRowLastColumn="0" w:lastRowFirstColumn="0" w:lastRowLastColumn="0"/>
              <w:rPr>
                <w:color w:val="000000"/>
                <w:sz w:val="20"/>
                <w:lang w:eastAsia="en-CA"/>
              </w:rPr>
            </w:pPr>
            <w:r>
              <w:rPr>
                <w:color w:val="000000" w:themeColor="text1"/>
                <w:spacing w:val="-5"/>
                <w:sz w:val="20"/>
              </w:rPr>
              <w:t>Effect</w:t>
            </w:r>
            <w:r w:rsidRPr="00664903">
              <w:rPr>
                <w:color w:val="000000" w:themeColor="text1"/>
                <w:spacing w:val="-5"/>
                <w:sz w:val="20"/>
              </w:rPr>
              <w:t xml:space="preserve"> of altered terms with customers / lessees / borrowers</w:t>
            </w:r>
          </w:p>
          <w:p w14:paraId="3FC00BDF" w14:textId="77777777" w:rsidR="00276EA8" w:rsidRPr="00664903" w:rsidRDefault="00276EA8" w:rsidP="00761BD8">
            <w:pPr>
              <w:pStyle w:val="ListParagraph"/>
              <w:numPr>
                <w:ilvl w:val="0"/>
                <w:numId w:val="33"/>
              </w:numPr>
              <w:shd w:val="clear" w:color="auto" w:fill="DDD9C3" w:themeFill="background2" w:themeFillShade="E6"/>
              <w:spacing w:after="75"/>
              <w:ind w:left="317" w:hanging="270"/>
              <w:textAlignment w:val="baseline"/>
              <w:cnfStyle w:val="000000100000" w:firstRow="0" w:lastRow="0" w:firstColumn="0" w:lastColumn="0" w:oddVBand="0" w:evenVBand="0" w:oddHBand="1" w:evenHBand="0" w:firstRowFirstColumn="0" w:firstRowLastColumn="0" w:lastRowFirstColumn="0" w:lastRowLastColumn="0"/>
              <w:rPr>
                <w:color w:val="000000"/>
                <w:sz w:val="20"/>
                <w:lang w:eastAsia="en-CA"/>
              </w:rPr>
            </w:pPr>
            <w:r w:rsidRPr="00664903">
              <w:rPr>
                <w:color w:val="000000" w:themeColor="text1"/>
                <w:spacing w:val="-5"/>
                <w:sz w:val="20"/>
              </w:rPr>
              <w:t xml:space="preserve">Impact </w:t>
            </w:r>
            <w:r>
              <w:rPr>
                <w:color w:val="000000" w:themeColor="text1"/>
                <w:spacing w:val="-5"/>
                <w:sz w:val="20"/>
              </w:rPr>
              <w:t xml:space="preserve">on </w:t>
            </w:r>
            <w:r w:rsidRPr="00664903">
              <w:rPr>
                <w:color w:val="000000" w:themeColor="text1"/>
                <w:spacing w:val="-5"/>
                <w:sz w:val="20"/>
              </w:rPr>
              <w:t>customers</w:t>
            </w:r>
            <w:r>
              <w:rPr>
                <w:color w:val="000000" w:themeColor="text1"/>
                <w:spacing w:val="-5"/>
                <w:sz w:val="20"/>
              </w:rPr>
              <w:t xml:space="preserve">’ </w:t>
            </w:r>
            <w:r w:rsidRPr="00664903">
              <w:rPr>
                <w:color w:val="000000" w:themeColor="text1"/>
                <w:spacing w:val="-5"/>
                <w:sz w:val="20"/>
              </w:rPr>
              <w:t>supply chain</w:t>
            </w:r>
            <w:r>
              <w:rPr>
                <w:color w:val="000000" w:themeColor="text1"/>
                <w:spacing w:val="-5"/>
                <w:sz w:val="20"/>
              </w:rPr>
              <w:t>s</w:t>
            </w:r>
            <w:r w:rsidRPr="00664903">
              <w:rPr>
                <w:color w:val="000000" w:themeColor="text1"/>
                <w:spacing w:val="-5"/>
                <w:sz w:val="20"/>
              </w:rPr>
              <w:t xml:space="preserve"> or distribution channels</w:t>
            </w:r>
          </w:p>
          <w:p w14:paraId="45943816" w14:textId="77777777" w:rsidR="00276EA8" w:rsidRPr="00664903" w:rsidRDefault="00276EA8" w:rsidP="00761BD8">
            <w:pPr>
              <w:pStyle w:val="ListParagraph"/>
              <w:numPr>
                <w:ilvl w:val="0"/>
                <w:numId w:val="33"/>
              </w:numPr>
              <w:shd w:val="clear" w:color="auto" w:fill="DDD9C3" w:themeFill="background2" w:themeFillShade="E6"/>
              <w:spacing w:after="75"/>
              <w:ind w:left="317" w:hanging="270"/>
              <w:textAlignment w:val="baseline"/>
              <w:cnfStyle w:val="000000100000" w:firstRow="0" w:lastRow="0" w:firstColumn="0" w:lastColumn="0" w:oddVBand="0" w:evenVBand="0" w:oddHBand="1" w:evenHBand="0" w:firstRowFirstColumn="0" w:firstRowLastColumn="0" w:lastRowFirstColumn="0" w:lastRowLastColumn="0"/>
              <w:rPr>
                <w:color w:val="000000"/>
                <w:sz w:val="20"/>
                <w:lang w:eastAsia="en-CA"/>
              </w:rPr>
            </w:pPr>
            <w:r>
              <w:rPr>
                <w:color w:val="000000" w:themeColor="text1"/>
                <w:spacing w:val="-5"/>
                <w:sz w:val="20"/>
              </w:rPr>
              <w:t>Changes to</w:t>
            </w:r>
            <w:r w:rsidRPr="00664903">
              <w:rPr>
                <w:color w:val="000000" w:themeColor="text1"/>
                <w:spacing w:val="-5"/>
                <w:sz w:val="20"/>
              </w:rPr>
              <w:t xml:space="preserve"> planned projects and development activities </w:t>
            </w:r>
          </w:p>
          <w:p w14:paraId="6238882B" w14:textId="77777777" w:rsidR="00276EA8" w:rsidRPr="00664903" w:rsidRDefault="00276EA8" w:rsidP="00761BD8">
            <w:pPr>
              <w:pStyle w:val="ListParagraph"/>
              <w:numPr>
                <w:ilvl w:val="0"/>
                <w:numId w:val="33"/>
              </w:numPr>
              <w:shd w:val="clear" w:color="auto" w:fill="DDD9C3" w:themeFill="background2" w:themeFillShade="E6"/>
              <w:spacing w:after="75"/>
              <w:ind w:left="317" w:hanging="270"/>
              <w:textAlignment w:val="baseline"/>
              <w:cnfStyle w:val="000000100000" w:firstRow="0" w:lastRow="0" w:firstColumn="0" w:lastColumn="0" w:oddVBand="0" w:evenVBand="0" w:oddHBand="1" w:evenHBand="0" w:firstRowFirstColumn="0" w:firstRowLastColumn="0" w:lastRowFirstColumn="0" w:lastRowLastColumn="0"/>
              <w:rPr>
                <w:color w:val="000000"/>
                <w:sz w:val="20"/>
                <w:lang w:eastAsia="en-CA"/>
              </w:rPr>
            </w:pPr>
            <w:r w:rsidRPr="00664903">
              <w:rPr>
                <w:color w:val="000000" w:themeColor="text1"/>
                <w:spacing w:val="-5"/>
                <w:sz w:val="20"/>
              </w:rPr>
              <w:t>Impact of government support</w:t>
            </w:r>
          </w:p>
          <w:p w14:paraId="2DCCD435" w14:textId="77777777" w:rsidR="00276EA8" w:rsidRPr="00664903" w:rsidRDefault="00276EA8" w:rsidP="00761BD8">
            <w:pPr>
              <w:pStyle w:val="ListParagraph"/>
              <w:numPr>
                <w:ilvl w:val="0"/>
                <w:numId w:val="33"/>
              </w:numPr>
              <w:shd w:val="clear" w:color="auto" w:fill="DDD9C3" w:themeFill="background2" w:themeFillShade="E6"/>
              <w:ind w:left="317" w:hanging="270"/>
              <w:textAlignment w:val="baseline"/>
              <w:cnfStyle w:val="000000100000" w:firstRow="0" w:lastRow="0" w:firstColumn="0" w:lastColumn="0" w:oddVBand="0" w:evenVBand="0" w:oddHBand="1" w:evenHBand="0" w:firstRowFirstColumn="0" w:firstRowLastColumn="0" w:lastRowFirstColumn="0" w:lastRowLastColumn="0"/>
              <w:rPr>
                <w:color w:val="000000"/>
                <w:sz w:val="20"/>
                <w:lang w:eastAsia="en-CA"/>
              </w:rPr>
            </w:pPr>
            <w:r w:rsidRPr="00664903">
              <w:rPr>
                <w:color w:val="000000"/>
                <w:sz w:val="20"/>
              </w:rPr>
              <w:t xml:space="preserve">Reasons for fair value changes/impairment charges/credit losses </w:t>
            </w:r>
          </w:p>
          <w:p w14:paraId="25F5AF07" w14:textId="77777777" w:rsidR="00276EA8" w:rsidRPr="00664903" w:rsidRDefault="00276EA8" w:rsidP="00761BD8">
            <w:pPr>
              <w:pStyle w:val="ListParagraph"/>
              <w:numPr>
                <w:ilvl w:val="0"/>
                <w:numId w:val="33"/>
              </w:numPr>
              <w:shd w:val="clear" w:color="auto" w:fill="DDD9C3" w:themeFill="background2" w:themeFillShade="E6"/>
              <w:ind w:left="317" w:hanging="270"/>
              <w:textAlignment w:val="baseline"/>
              <w:cnfStyle w:val="000000100000" w:firstRow="0" w:lastRow="0" w:firstColumn="0" w:lastColumn="0" w:oddVBand="0" w:evenVBand="0" w:oddHBand="1" w:evenHBand="0" w:firstRowFirstColumn="0" w:firstRowLastColumn="0" w:lastRowFirstColumn="0" w:lastRowLastColumn="0"/>
              <w:rPr>
                <w:color w:val="000000"/>
                <w:sz w:val="20"/>
                <w:lang w:eastAsia="en-CA"/>
              </w:rPr>
            </w:pPr>
            <w:r w:rsidRPr="00664903">
              <w:rPr>
                <w:color w:val="000000"/>
                <w:sz w:val="20"/>
              </w:rPr>
              <w:t>Details of restructuring plans and related costs</w:t>
            </w:r>
          </w:p>
          <w:p w14:paraId="5D4854BE" w14:textId="77777777" w:rsidR="00276EA8" w:rsidRPr="00664903" w:rsidRDefault="00276EA8" w:rsidP="00761BD8">
            <w:pPr>
              <w:pStyle w:val="ListParagraph"/>
              <w:numPr>
                <w:ilvl w:val="0"/>
                <w:numId w:val="33"/>
              </w:numPr>
              <w:shd w:val="clear" w:color="auto" w:fill="DDD9C3" w:themeFill="background2" w:themeFillShade="E6"/>
              <w:ind w:left="317" w:hanging="270"/>
              <w:textAlignment w:val="baseline"/>
              <w:cnfStyle w:val="000000100000" w:firstRow="0" w:lastRow="0" w:firstColumn="0" w:lastColumn="0" w:oddVBand="0" w:evenVBand="0" w:oddHBand="1" w:evenHBand="0" w:firstRowFirstColumn="0" w:firstRowLastColumn="0" w:lastRowFirstColumn="0" w:lastRowLastColumn="0"/>
              <w:rPr>
                <w:color w:val="000000"/>
                <w:sz w:val="20"/>
                <w:lang w:eastAsia="en-CA"/>
              </w:rPr>
            </w:pPr>
            <w:r>
              <w:rPr>
                <w:color w:val="000000"/>
                <w:sz w:val="20"/>
              </w:rPr>
              <w:t>Material variations in</w:t>
            </w:r>
            <w:r w:rsidRPr="00664903">
              <w:rPr>
                <w:color w:val="000000"/>
                <w:sz w:val="20"/>
              </w:rPr>
              <w:t xml:space="preserve"> other expenses related to COVID-19</w:t>
            </w:r>
          </w:p>
          <w:p w14:paraId="3AE7D584" w14:textId="77777777" w:rsidR="00276EA8" w:rsidRPr="001C5BF7" w:rsidRDefault="00276EA8" w:rsidP="00761BD8">
            <w:pPr>
              <w:pStyle w:val="ListParagraph"/>
              <w:numPr>
                <w:ilvl w:val="0"/>
                <w:numId w:val="33"/>
              </w:numPr>
              <w:shd w:val="clear" w:color="auto" w:fill="DDD9C3" w:themeFill="background2" w:themeFillShade="E6"/>
              <w:ind w:left="317" w:hanging="270"/>
              <w:textAlignment w:val="baseline"/>
              <w:cnfStyle w:val="000000100000" w:firstRow="0" w:lastRow="0" w:firstColumn="0" w:lastColumn="0" w:oddVBand="0" w:evenVBand="0" w:oddHBand="1" w:evenHBand="0" w:firstRowFirstColumn="0" w:firstRowLastColumn="0" w:lastRowFirstColumn="0" w:lastRowLastColumn="0"/>
              <w:rPr>
                <w:color w:val="000000"/>
                <w:sz w:val="20"/>
                <w:lang w:eastAsia="en-CA"/>
              </w:rPr>
            </w:pPr>
            <w:r w:rsidRPr="00664903">
              <w:rPr>
                <w:color w:val="000000" w:themeColor="text1"/>
                <w:spacing w:val="-5"/>
                <w:sz w:val="20"/>
              </w:rPr>
              <w:t>A discussion of any breaches of material contracts</w:t>
            </w:r>
          </w:p>
          <w:p w14:paraId="6AF6F048" w14:textId="77777777" w:rsidR="00276EA8" w:rsidRPr="00664903" w:rsidRDefault="00276EA8" w:rsidP="00761BD8">
            <w:pPr>
              <w:pStyle w:val="ListParagraph"/>
              <w:numPr>
                <w:ilvl w:val="0"/>
                <w:numId w:val="33"/>
              </w:numPr>
              <w:shd w:val="clear" w:color="auto" w:fill="DDD9C3" w:themeFill="background2" w:themeFillShade="E6"/>
              <w:ind w:left="317" w:hanging="270"/>
              <w:textAlignment w:val="baseline"/>
              <w:cnfStyle w:val="000000100000" w:firstRow="0" w:lastRow="0" w:firstColumn="0" w:lastColumn="0" w:oddVBand="0" w:evenVBand="0" w:oddHBand="1" w:evenHBand="0" w:firstRowFirstColumn="0" w:firstRowLastColumn="0" w:lastRowFirstColumn="0" w:lastRowLastColumn="0"/>
              <w:rPr>
                <w:color w:val="000000"/>
                <w:sz w:val="20"/>
                <w:lang w:eastAsia="en-CA"/>
              </w:rPr>
            </w:pPr>
            <w:r>
              <w:rPr>
                <w:color w:val="000000" w:themeColor="text1"/>
                <w:spacing w:val="-5"/>
                <w:sz w:val="20"/>
              </w:rPr>
              <w:t xml:space="preserve">Explaining any changes in use of proceeds from financing as compared to prior disclosures and the impact on the issuer’s ability to achieve business objectives/milestones </w:t>
            </w:r>
          </w:p>
          <w:p w14:paraId="1E6CF75D" w14:textId="77777777" w:rsidR="00276EA8" w:rsidRPr="006E72AA" w:rsidRDefault="00276EA8" w:rsidP="00276EA8">
            <w:pPr>
              <w:pStyle w:val="CommentText"/>
              <w:spacing w:after="0"/>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p>
          <w:p w14:paraId="555A7257" w14:textId="77777777" w:rsidR="00276EA8" w:rsidRPr="00724DCB" w:rsidRDefault="00276EA8" w:rsidP="00D93E09">
            <w:pPr>
              <w:shd w:val="clear" w:color="auto" w:fill="EEECE1" w:themeFill="background2"/>
              <w:spacing w:before="120"/>
              <w:textAlignment w:val="baseline"/>
              <w:cnfStyle w:val="000000100000" w:firstRow="0" w:lastRow="0" w:firstColumn="0" w:lastColumn="0" w:oddVBand="0" w:evenVBand="0" w:oddHBand="1" w:evenHBand="0" w:firstRowFirstColumn="0" w:firstRowLastColumn="0" w:lastRowFirstColumn="0" w:lastRowLastColumn="0"/>
              <w:rPr>
                <w:color w:val="000000"/>
                <w:sz w:val="20"/>
                <w:lang w:eastAsia="en-CA"/>
              </w:rPr>
            </w:pPr>
            <w:r w:rsidRPr="00D93E09">
              <w:rPr>
                <w:b/>
                <w:bCs/>
                <w:color w:val="000000" w:themeColor="text1"/>
                <w:spacing w:val="-5"/>
                <w:sz w:val="20"/>
              </w:rPr>
              <w:t>Reference: Item 1.2, Item 1.4 of Form 51-102F1</w:t>
            </w:r>
          </w:p>
        </w:tc>
      </w:tr>
      <w:tr w:rsidR="00276EA8" w:rsidRPr="00947F30" w14:paraId="0D228A61" w14:textId="77777777" w:rsidTr="00724DCB">
        <w:trPr>
          <w:trHeight w:val="733"/>
        </w:trPr>
        <w:tc>
          <w:tcPr>
            <w:cnfStyle w:val="001000000000" w:firstRow="0" w:lastRow="0" w:firstColumn="1" w:lastColumn="0" w:oddVBand="0" w:evenVBand="0" w:oddHBand="0" w:evenHBand="0" w:firstRowFirstColumn="0" w:firstRowLastColumn="0" w:lastRowFirstColumn="0" w:lastRowLastColumn="0"/>
            <w:tcW w:w="1980" w:type="dxa"/>
            <w:shd w:val="clear" w:color="auto" w:fill="EEECE1" w:themeFill="background2"/>
          </w:tcPr>
          <w:p w14:paraId="2613E12E" w14:textId="77777777" w:rsidR="00276EA8" w:rsidRDefault="00276EA8" w:rsidP="00276EA8">
            <w:pPr>
              <w:rPr>
                <w:bCs w:val="0"/>
                <w:color w:val="000000" w:themeColor="text1"/>
                <w:sz w:val="20"/>
              </w:rPr>
            </w:pPr>
            <w:r w:rsidRPr="00664903">
              <w:rPr>
                <w:sz w:val="20"/>
              </w:rPr>
              <w:t>K</w:t>
            </w:r>
            <w:r>
              <w:rPr>
                <w:sz w:val="20"/>
              </w:rPr>
              <w:t>nown Trends and Events that are Reasonably Likely to Affect Future Performance</w:t>
            </w:r>
          </w:p>
        </w:tc>
        <w:tc>
          <w:tcPr>
            <w:tcW w:w="3402" w:type="dxa"/>
            <w:shd w:val="clear" w:color="auto" w:fill="EEECE1" w:themeFill="background2"/>
          </w:tcPr>
          <w:p w14:paraId="63B26140" w14:textId="3655914D" w:rsidR="00276EA8" w:rsidRPr="00E213C4" w:rsidRDefault="00276EA8" w:rsidP="00276EA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color w:val="000000" w:themeColor="text1"/>
                <w:sz w:val="20"/>
                <w:lang w:val="en-US"/>
              </w:rPr>
            </w:pPr>
            <w:r>
              <w:rPr>
                <w:sz w:val="20"/>
              </w:rPr>
              <w:t>Approximately one third of issuers provided boilerplate disclosure in this area. Some issuers cited</w:t>
            </w:r>
            <w:r w:rsidRPr="00664903">
              <w:rPr>
                <w:sz w:val="20"/>
              </w:rPr>
              <w:t xml:space="preserve"> the degree of uncertainty related to COVID-19 making it too difficult to predict the overall impact of COVID-19 on the issuer’s future performance.</w:t>
            </w:r>
          </w:p>
          <w:p w14:paraId="4D49AF4A" w14:textId="77777777" w:rsidR="00276EA8" w:rsidRPr="00E213C4" w:rsidRDefault="00276EA8" w:rsidP="00276EA8">
            <w:pPr>
              <w:pStyle w:val="ListParagraph"/>
              <w:ind w:left="360"/>
              <w:cnfStyle w:val="000000000000" w:firstRow="0" w:lastRow="0" w:firstColumn="0" w:lastColumn="0" w:oddVBand="0" w:evenVBand="0" w:oddHBand="0" w:evenHBand="0" w:firstRowFirstColumn="0" w:firstRowLastColumn="0" w:lastRowFirstColumn="0" w:lastRowLastColumn="0"/>
              <w:rPr>
                <w:color w:val="000000" w:themeColor="text1"/>
                <w:sz w:val="20"/>
                <w:lang w:val="en-US"/>
              </w:rPr>
            </w:pPr>
          </w:p>
          <w:p w14:paraId="1ED677F6" w14:textId="77777777" w:rsidR="00276EA8" w:rsidRPr="00E122AE" w:rsidRDefault="00276EA8" w:rsidP="00276EA8">
            <w:pPr>
              <w:cnfStyle w:val="000000000000" w:firstRow="0" w:lastRow="0" w:firstColumn="0" w:lastColumn="0" w:oddVBand="0" w:evenVBand="0" w:oddHBand="0" w:evenHBand="0" w:firstRowFirstColumn="0" w:firstRowLastColumn="0" w:lastRowFirstColumn="0" w:lastRowLastColumn="0"/>
              <w:rPr>
                <w:b/>
                <w:bCs/>
                <w:color w:val="000000" w:themeColor="text1"/>
                <w:sz w:val="20"/>
                <w:lang w:val="en-US"/>
              </w:rPr>
            </w:pPr>
            <w:r w:rsidRPr="00E122AE">
              <w:rPr>
                <w:b/>
                <w:bCs/>
                <w:color w:val="000000" w:themeColor="text1"/>
                <w:sz w:val="20"/>
                <w:lang w:val="en-US"/>
              </w:rPr>
              <w:t xml:space="preserve">Useful </w:t>
            </w:r>
            <w:r>
              <w:rPr>
                <w:b/>
                <w:bCs/>
                <w:color w:val="000000" w:themeColor="text1"/>
                <w:sz w:val="20"/>
                <w:lang w:val="en-US"/>
              </w:rPr>
              <w:t>d</w:t>
            </w:r>
            <w:r w:rsidRPr="00E122AE">
              <w:rPr>
                <w:b/>
                <w:bCs/>
                <w:color w:val="000000" w:themeColor="text1"/>
                <w:sz w:val="20"/>
                <w:lang w:val="en-US"/>
              </w:rPr>
              <w:t xml:space="preserve">isclosure </w:t>
            </w:r>
            <w:r>
              <w:rPr>
                <w:b/>
                <w:bCs/>
                <w:color w:val="000000" w:themeColor="text1"/>
                <w:sz w:val="20"/>
                <w:lang w:val="en-US"/>
              </w:rPr>
              <w:t>o</w:t>
            </w:r>
            <w:r w:rsidRPr="00E122AE">
              <w:rPr>
                <w:b/>
                <w:bCs/>
                <w:color w:val="000000" w:themeColor="text1"/>
                <w:sz w:val="20"/>
                <w:lang w:val="en-US"/>
              </w:rPr>
              <w:t>bserved</w:t>
            </w:r>
            <w:r>
              <w:rPr>
                <w:b/>
                <w:bCs/>
                <w:color w:val="000000" w:themeColor="text1"/>
                <w:sz w:val="20"/>
                <w:lang w:val="en-US"/>
              </w:rPr>
              <w:t>:</w:t>
            </w:r>
          </w:p>
          <w:p w14:paraId="24C4D62F" w14:textId="77777777" w:rsidR="00276EA8" w:rsidRPr="00664903" w:rsidRDefault="00276EA8" w:rsidP="00276EA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color w:val="000000" w:themeColor="text1"/>
                <w:sz w:val="20"/>
                <w:lang w:val="en-US"/>
              </w:rPr>
            </w:pPr>
            <w:r w:rsidRPr="00664903">
              <w:rPr>
                <w:color w:val="000000" w:themeColor="text1"/>
                <w:sz w:val="20"/>
                <w:lang w:val="en-US"/>
              </w:rPr>
              <w:t>“</w:t>
            </w:r>
            <w:r>
              <w:rPr>
                <w:color w:val="000000" w:themeColor="text1"/>
                <w:sz w:val="20"/>
                <w:lang w:val="en-US"/>
              </w:rPr>
              <w:t>O</w:t>
            </w:r>
            <w:r w:rsidRPr="00664903">
              <w:rPr>
                <w:color w:val="000000" w:themeColor="text1"/>
                <w:sz w:val="20"/>
                <w:lang w:val="en-US"/>
              </w:rPr>
              <w:t xml:space="preserve">utlook” sections discussing the anticipated medium to longer term impact of </w:t>
            </w:r>
            <w:r>
              <w:rPr>
                <w:color w:val="000000" w:themeColor="text1"/>
                <w:sz w:val="20"/>
                <w:lang w:val="en-US"/>
              </w:rPr>
              <w:t>a continuing pandemic</w:t>
            </w:r>
            <w:r w:rsidRPr="00664903">
              <w:rPr>
                <w:color w:val="000000" w:themeColor="text1"/>
                <w:sz w:val="20"/>
                <w:lang w:val="en-US"/>
              </w:rPr>
              <w:t xml:space="preserve"> to the issuer’s business and industry.</w:t>
            </w:r>
          </w:p>
          <w:p w14:paraId="2E599D4C" w14:textId="2AFE1DE7" w:rsidR="00276EA8" w:rsidRPr="00664903" w:rsidRDefault="00276EA8" w:rsidP="00276EA8">
            <w:pPr>
              <w:pStyle w:val="ListParagraph"/>
              <w:numPr>
                <w:ilvl w:val="0"/>
                <w:numId w:val="17"/>
              </w:numPr>
              <w:spacing w:after="240"/>
              <w:cnfStyle w:val="000000000000" w:firstRow="0" w:lastRow="0" w:firstColumn="0" w:lastColumn="0" w:oddVBand="0" w:evenVBand="0" w:oddHBand="0" w:evenHBand="0" w:firstRowFirstColumn="0" w:firstRowLastColumn="0" w:lastRowFirstColumn="0" w:lastRowLastColumn="0"/>
              <w:rPr>
                <w:color w:val="000000" w:themeColor="text1"/>
                <w:sz w:val="20"/>
                <w:lang w:val="en-US"/>
              </w:rPr>
            </w:pPr>
            <w:r>
              <w:rPr>
                <w:color w:val="000000" w:themeColor="text1"/>
                <w:sz w:val="20"/>
                <w:lang w:val="en-US"/>
              </w:rPr>
              <w:t>D</w:t>
            </w:r>
            <w:r w:rsidRPr="00664903">
              <w:rPr>
                <w:color w:val="000000" w:themeColor="text1"/>
                <w:sz w:val="20"/>
                <w:lang w:val="en-US"/>
              </w:rPr>
              <w:t>isclos</w:t>
            </w:r>
            <w:r>
              <w:rPr>
                <w:color w:val="000000" w:themeColor="text1"/>
                <w:sz w:val="20"/>
                <w:lang w:val="en-US"/>
              </w:rPr>
              <w:t xml:space="preserve">ure of </w:t>
            </w:r>
            <w:r w:rsidRPr="00664903">
              <w:rPr>
                <w:color w:val="000000" w:themeColor="text1"/>
                <w:sz w:val="20"/>
                <w:lang w:val="en-US"/>
              </w:rPr>
              <w:t>how operations may be impacted post</w:t>
            </w:r>
            <w:r w:rsidR="00A26BF1">
              <w:rPr>
                <w:color w:val="000000" w:themeColor="text1"/>
                <w:sz w:val="20"/>
                <w:lang w:val="en-US"/>
              </w:rPr>
              <w:t>-</w:t>
            </w:r>
            <w:r w:rsidRPr="00664903">
              <w:rPr>
                <w:color w:val="000000" w:themeColor="text1"/>
                <w:sz w:val="20"/>
                <w:lang w:val="en-US"/>
              </w:rPr>
              <w:t>COVID-19 due to anticipated economic impacts or anticipated changes in consumer behavio</w:t>
            </w:r>
            <w:r w:rsidR="00A26BF1">
              <w:rPr>
                <w:color w:val="000000" w:themeColor="text1"/>
                <w:sz w:val="20"/>
                <w:lang w:val="en-US"/>
              </w:rPr>
              <w:t>u</w:t>
            </w:r>
            <w:r w:rsidRPr="00664903">
              <w:rPr>
                <w:color w:val="000000" w:themeColor="text1"/>
                <w:sz w:val="20"/>
                <w:lang w:val="en-US"/>
              </w:rPr>
              <w:t>r.</w:t>
            </w:r>
          </w:p>
        </w:tc>
        <w:tc>
          <w:tcPr>
            <w:tcW w:w="4399" w:type="dxa"/>
            <w:shd w:val="clear" w:color="auto" w:fill="EEECE1" w:themeFill="background2"/>
          </w:tcPr>
          <w:p w14:paraId="3EF42661" w14:textId="77777777" w:rsidR="00276EA8" w:rsidRPr="00985B5F" w:rsidRDefault="00276EA8" w:rsidP="00276EA8">
            <w:pPr>
              <w:pStyle w:val="CommentText"/>
              <w:numPr>
                <w:ilvl w:val="0"/>
                <w:numId w:val="18"/>
              </w:numPr>
              <w:shd w:val="clear" w:color="auto" w:fill="EEECE1" w:themeFill="background2"/>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shd w:val="clear" w:color="auto" w:fill="EEECE1" w:themeFill="background2"/>
              </w:rPr>
              <w:t>In times of uncertainty, there may be less investor focus on historical information and more focus on known trends, and uncertainties that are likely to impact future performance. As the COVID-19 pandemic evolves, insightful disclosure how COVID-19 may impact future operation</w:t>
            </w:r>
            <w:r>
              <w:rPr>
                <w:rFonts w:ascii="Times New Roman" w:hAnsi="Times New Roman" w:cs="Times New Roman"/>
                <w:color w:val="000000"/>
                <w:shd w:val="clear" w:color="auto" w:fill="EEECE1" w:themeFill="background2"/>
              </w:rPr>
              <w:t xml:space="preserve">s will be important to investors. </w:t>
            </w:r>
          </w:p>
          <w:p w14:paraId="377132CD" w14:textId="77777777" w:rsidR="00276EA8" w:rsidRDefault="00276EA8" w:rsidP="00276EA8">
            <w:pPr>
              <w:pStyle w:val="CommentText"/>
              <w:shd w:val="clear" w:color="auto" w:fill="EEECE1" w:themeFill="background2"/>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shd w:val="clear" w:color="auto" w:fill="EEECE1" w:themeFill="background2"/>
              </w:rPr>
            </w:pPr>
          </w:p>
          <w:p w14:paraId="0CB6BAF7" w14:textId="77777777" w:rsidR="00276EA8" w:rsidRPr="00664903" w:rsidRDefault="00276EA8" w:rsidP="00276EA8">
            <w:pPr>
              <w:pStyle w:val="CommentText"/>
              <w:shd w:val="clear" w:color="auto" w:fill="DDD9C3" w:themeFill="background2" w:themeFillShade="E6"/>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903">
              <w:rPr>
                <w:rFonts w:ascii="Times New Roman" w:hAnsi="Times New Roman" w:cs="Times New Roman"/>
                <w:b/>
                <w:bCs/>
              </w:rPr>
              <w:t>Issuers should consider:</w:t>
            </w:r>
          </w:p>
          <w:p w14:paraId="592F5D10" w14:textId="77777777" w:rsidR="00276EA8" w:rsidRPr="00664903" w:rsidRDefault="00276EA8" w:rsidP="00761BD8">
            <w:pPr>
              <w:pStyle w:val="CommentText"/>
              <w:numPr>
                <w:ilvl w:val="0"/>
                <w:numId w:val="34"/>
              </w:numPr>
              <w:shd w:val="clear" w:color="auto" w:fill="DDD9C3" w:themeFill="background2" w:themeFillShade="E6"/>
              <w:spacing w:after="0"/>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How future periods may be impacted differently in comparison to the current period</w:t>
            </w:r>
          </w:p>
          <w:p w14:paraId="091205A8" w14:textId="77777777" w:rsidR="00276EA8" w:rsidRPr="00664903" w:rsidRDefault="00276EA8" w:rsidP="00761BD8">
            <w:pPr>
              <w:pStyle w:val="CommentText"/>
              <w:numPr>
                <w:ilvl w:val="0"/>
                <w:numId w:val="34"/>
              </w:numPr>
              <w:shd w:val="clear" w:color="auto" w:fill="DDD9C3" w:themeFill="background2" w:themeFillShade="E6"/>
              <w:spacing w:after="0"/>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 xml:space="preserve">Impacts to the issuer’s business or industry that may continue post COVID-19 </w:t>
            </w:r>
          </w:p>
          <w:p w14:paraId="136FC584" w14:textId="77777777" w:rsidR="00276EA8" w:rsidRPr="00664903" w:rsidRDefault="00276EA8" w:rsidP="00761BD8">
            <w:pPr>
              <w:pStyle w:val="CommentText"/>
              <w:numPr>
                <w:ilvl w:val="0"/>
                <w:numId w:val="34"/>
              </w:numPr>
              <w:shd w:val="clear" w:color="auto" w:fill="DDD9C3" w:themeFill="background2" w:themeFillShade="E6"/>
              <w:spacing w:after="0"/>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Whether the issuer anticipates material</w:t>
            </w:r>
            <w:r w:rsidR="002210E9">
              <w:rPr>
                <w:rFonts w:ascii="Times New Roman" w:hAnsi="Times New Roman" w:cs="Times New Roman"/>
                <w:color w:val="000000" w:themeColor="text1"/>
                <w:spacing w:val="-5"/>
              </w:rPr>
              <w:t xml:space="preserve"> </w:t>
            </w:r>
            <w:r w:rsidRPr="00664903">
              <w:rPr>
                <w:rFonts w:ascii="Times New Roman" w:hAnsi="Times New Roman" w:cs="Times New Roman"/>
                <w:color w:val="000000" w:themeColor="text1"/>
                <w:spacing w:val="-5"/>
              </w:rPr>
              <w:t>restructuring charges going forward</w:t>
            </w:r>
          </w:p>
          <w:p w14:paraId="41F9175E" w14:textId="333182FB" w:rsidR="00276EA8" w:rsidRPr="00664903" w:rsidRDefault="00276EA8" w:rsidP="00761BD8">
            <w:pPr>
              <w:pStyle w:val="CommentText"/>
              <w:numPr>
                <w:ilvl w:val="0"/>
                <w:numId w:val="34"/>
              </w:numPr>
              <w:shd w:val="clear" w:color="auto" w:fill="DDD9C3" w:themeFill="background2" w:themeFillShade="E6"/>
              <w:spacing w:after="0"/>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 xml:space="preserve">Future operating plans as issuers plan </w:t>
            </w:r>
            <w:r w:rsidR="00E81BF9">
              <w:rPr>
                <w:rFonts w:ascii="Times New Roman" w:hAnsi="Times New Roman" w:cs="Times New Roman"/>
                <w:color w:val="000000" w:themeColor="text1"/>
                <w:spacing w:val="-5"/>
              </w:rPr>
              <w:t xml:space="preserve">for </w:t>
            </w:r>
            <w:r w:rsidRPr="00664903">
              <w:rPr>
                <w:rFonts w:ascii="Times New Roman" w:hAnsi="Times New Roman" w:cs="Times New Roman"/>
                <w:color w:val="000000" w:themeColor="text1"/>
                <w:spacing w:val="-5"/>
              </w:rPr>
              <w:t xml:space="preserve">recovery </w:t>
            </w:r>
            <w:r w:rsidR="00E81BF9">
              <w:rPr>
                <w:rFonts w:ascii="Times New Roman" w:hAnsi="Times New Roman" w:cs="Times New Roman"/>
                <w:color w:val="000000" w:themeColor="text1"/>
                <w:spacing w:val="-5"/>
              </w:rPr>
              <w:t>from</w:t>
            </w:r>
            <w:r w:rsidRPr="00664903">
              <w:rPr>
                <w:rFonts w:ascii="Times New Roman" w:hAnsi="Times New Roman" w:cs="Times New Roman"/>
                <w:color w:val="000000" w:themeColor="text1"/>
                <w:spacing w:val="-5"/>
              </w:rPr>
              <w:t xml:space="preserve"> the COVID-19 pandemic</w:t>
            </w:r>
          </w:p>
          <w:p w14:paraId="0C0256C1" w14:textId="77777777" w:rsidR="00276EA8" w:rsidRPr="00664903" w:rsidRDefault="00276EA8" w:rsidP="00276EA8">
            <w:pPr>
              <w:pStyle w:val="Comment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p>
          <w:p w14:paraId="50C6E947" w14:textId="77777777" w:rsidR="00276EA8" w:rsidRPr="00664903" w:rsidRDefault="00276EA8" w:rsidP="00276EA8">
            <w:pPr>
              <w:pStyle w:val="Comment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 xml:space="preserve">Also see </w:t>
            </w:r>
            <w:r>
              <w:rPr>
                <w:rFonts w:ascii="Times New Roman" w:hAnsi="Times New Roman" w:cs="Times New Roman"/>
                <w:color w:val="000000" w:themeColor="text1"/>
                <w:spacing w:val="-5"/>
              </w:rPr>
              <w:t>“</w:t>
            </w:r>
            <w:r w:rsidRPr="00C5652F">
              <w:rPr>
                <w:rFonts w:ascii="Times New Roman" w:hAnsi="Times New Roman" w:cs="Times New Roman"/>
                <w:color w:val="000000" w:themeColor="text1"/>
                <w:spacing w:val="-5"/>
              </w:rPr>
              <w:t xml:space="preserve">Appendix </w:t>
            </w:r>
            <w:r>
              <w:rPr>
                <w:rFonts w:ascii="Times New Roman" w:hAnsi="Times New Roman" w:cs="Times New Roman"/>
                <w:color w:val="000000" w:themeColor="text1"/>
                <w:spacing w:val="-5"/>
              </w:rPr>
              <w:t>A.3 –</w:t>
            </w:r>
            <w:r w:rsidRPr="00664903">
              <w:rPr>
                <w:rFonts w:ascii="Times New Roman" w:hAnsi="Times New Roman" w:cs="Times New Roman"/>
                <w:color w:val="000000" w:themeColor="text1"/>
                <w:spacing w:val="-5"/>
              </w:rPr>
              <w:t xml:space="preserve"> </w:t>
            </w:r>
            <w:r w:rsidR="001B7DA6" w:rsidRPr="001B7DA6">
              <w:rPr>
                <w:rFonts w:ascii="Times New Roman" w:hAnsi="Times New Roman" w:cs="Times New Roman"/>
                <w:i/>
                <w:iCs/>
                <w:color w:val="000000" w:themeColor="text1"/>
                <w:spacing w:val="-5"/>
              </w:rPr>
              <w:t xml:space="preserve">Key Observations and Considerations on </w:t>
            </w:r>
            <w:r w:rsidRPr="001B7DA6">
              <w:rPr>
                <w:rFonts w:ascii="Times New Roman" w:hAnsi="Times New Roman" w:cs="Times New Roman"/>
                <w:i/>
                <w:iCs/>
                <w:color w:val="000000" w:themeColor="text1"/>
                <w:spacing w:val="-5"/>
              </w:rPr>
              <w:t>Oth</w:t>
            </w:r>
            <w:r w:rsidRPr="00C5652F">
              <w:rPr>
                <w:rFonts w:ascii="Times New Roman" w:hAnsi="Times New Roman" w:cs="Times New Roman"/>
                <w:i/>
                <w:iCs/>
                <w:color w:val="000000" w:themeColor="text1"/>
                <w:spacing w:val="-5"/>
              </w:rPr>
              <w:t>er Regulatory Matters</w:t>
            </w:r>
            <w:r>
              <w:rPr>
                <w:rFonts w:ascii="Times New Roman" w:hAnsi="Times New Roman" w:cs="Times New Roman"/>
                <w:i/>
                <w:iCs/>
                <w:color w:val="000000" w:themeColor="text1"/>
                <w:spacing w:val="-5"/>
              </w:rPr>
              <w:t xml:space="preserve"> - FLI</w:t>
            </w:r>
            <w:r>
              <w:rPr>
                <w:rFonts w:ascii="Times New Roman" w:hAnsi="Times New Roman" w:cs="Times New Roman"/>
                <w:color w:val="000000" w:themeColor="text1"/>
                <w:spacing w:val="-5"/>
              </w:rPr>
              <w:t>”</w:t>
            </w:r>
          </w:p>
          <w:p w14:paraId="79F02759" w14:textId="77777777" w:rsidR="00276EA8" w:rsidRPr="00724DCB" w:rsidRDefault="00276EA8" w:rsidP="00D93E09">
            <w:pPr>
              <w:shd w:val="clear" w:color="auto" w:fill="EEECE1" w:themeFill="background2"/>
              <w:spacing w:before="120"/>
              <w:textAlignment w:val="baseline"/>
              <w:cnfStyle w:val="000000000000" w:firstRow="0" w:lastRow="0" w:firstColumn="0" w:lastColumn="0" w:oddVBand="0" w:evenVBand="0" w:oddHBand="0" w:evenHBand="0" w:firstRowFirstColumn="0" w:firstRowLastColumn="0" w:lastRowFirstColumn="0" w:lastRowLastColumn="0"/>
              <w:rPr>
                <w:color w:val="000000"/>
                <w:sz w:val="20"/>
                <w:lang w:eastAsia="en-CA"/>
              </w:rPr>
            </w:pPr>
            <w:r w:rsidRPr="00D93E09">
              <w:rPr>
                <w:b/>
                <w:bCs/>
                <w:color w:val="000000" w:themeColor="text1"/>
                <w:spacing w:val="-5"/>
                <w:sz w:val="20"/>
              </w:rPr>
              <w:t>Reference: Item 1.2, Item 1.4 of Form 51-102F1</w:t>
            </w:r>
          </w:p>
        </w:tc>
      </w:tr>
      <w:tr w:rsidR="00276EA8" w:rsidRPr="00947F30" w14:paraId="771CE42D" w14:textId="77777777" w:rsidTr="00724DCB">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1980" w:type="dxa"/>
            <w:shd w:val="clear" w:color="auto" w:fill="EEECE1" w:themeFill="background2"/>
          </w:tcPr>
          <w:p w14:paraId="01236743" w14:textId="77777777" w:rsidR="00276EA8" w:rsidRDefault="00276EA8" w:rsidP="00276EA8">
            <w:pPr>
              <w:rPr>
                <w:bCs w:val="0"/>
                <w:color w:val="000000" w:themeColor="text1"/>
                <w:sz w:val="20"/>
              </w:rPr>
            </w:pPr>
            <w:r w:rsidRPr="00664903">
              <w:rPr>
                <w:bCs w:val="0"/>
                <w:color w:val="000000" w:themeColor="text1"/>
                <w:sz w:val="20"/>
              </w:rPr>
              <w:t>L</w:t>
            </w:r>
            <w:r>
              <w:rPr>
                <w:bCs w:val="0"/>
                <w:color w:val="000000" w:themeColor="text1"/>
                <w:sz w:val="20"/>
              </w:rPr>
              <w:t>iquidity and Capital Resources</w:t>
            </w:r>
          </w:p>
        </w:tc>
        <w:tc>
          <w:tcPr>
            <w:tcW w:w="3402" w:type="dxa"/>
            <w:shd w:val="clear" w:color="auto" w:fill="EEECE1" w:themeFill="background2"/>
          </w:tcPr>
          <w:p w14:paraId="463D1569" w14:textId="328741C5" w:rsidR="00276EA8" w:rsidRPr="00E67265" w:rsidRDefault="00276EA8" w:rsidP="00276EA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r w:rsidRPr="00664903">
              <w:rPr>
                <w:color w:val="000000" w:themeColor="text1"/>
                <w:sz w:val="20"/>
                <w:lang w:val="en-US"/>
              </w:rPr>
              <w:t>The majority of issuers reviewed had indicators of liquidity</w:t>
            </w:r>
            <w:r>
              <w:rPr>
                <w:color w:val="000000" w:themeColor="text1"/>
                <w:sz w:val="20"/>
                <w:lang w:val="en-US"/>
              </w:rPr>
              <w:t xml:space="preserve"> </w:t>
            </w:r>
            <w:r w:rsidRPr="00664903">
              <w:rPr>
                <w:color w:val="000000" w:themeColor="text1"/>
                <w:sz w:val="20"/>
                <w:lang w:val="en-US"/>
              </w:rPr>
              <w:t>risk</w:t>
            </w:r>
            <w:r>
              <w:rPr>
                <w:color w:val="000000" w:themeColor="text1"/>
                <w:sz w:val="20"/>
                <w:lang w:val="en-US"/>
              </w:rPr>
              <w:t xml:space="preserve">. </w:t>
            </w:r>
            <w:r w:rsidRPr="00E67265">
              <w:rPr>
                <w:color w:val="000000" w:themeColor="text1"/>
                <w:sz w:val="20"/>
                <w:lang w:val="en-US"/>
              </w:rPr>
              <w:t xml:space="preserve">However, </w:t>
            </w:r>
            <w:r>
              <w:rPr>
                <w:color w:val="000000" w:themeColor="text1"/>
                <w:sz w:val="20"/>
                <w:lang w:val="en-US"/>
              </w:rPr>
              <w:t xml:space="preserve">approximately 25% of </w:t>
            </w:r>
            <w:r w:rsidRPr="00E67265">
              <w:rPr>
                <w:color w:val="000000" w:themeColor="text1"/>
                <w:sz w:val="20"/>
                <w:lang w:val="en-US"/>
              </w:rPr>
              <w:t xml:space="preserve">issuers did not adequately disclose their ability to meet working capital requirements </w:t>
            </w:r>
            <w:r w:rsidR="00A26BF1">
              <w:rPr>
                <w:color w:val="000000" w:themeColor="text1"/>
                <w:sz w:val="20"/>
                <w:lang w:val="en-US"/>
              </w:rPr>
              <w:t xml:space="preserve">or </w:t>
            </w:r>
            <w:r w:rsidRPr="00E67265">
              <w:rPr>
                <w:color w:val="000000" w:themeColor="text1"/>
                <w:sz w:val="20"/>
                <w:lang w:val="en-US"/>
              </w:rPr>
              <w:t>planned growth initiatives</w:t>
            </w:r>
            <w:r w:rsidR="00A26BF1">
              <w:rPr>
                <w:color w:val="000000" w:themeColor="text1"/>
                <w:sz w:val="20"/>
                <w:lang w:val="en-US"/>
              </w:rPr>
              <w:t>,</w:t>
            </w:r>
            <w:r w:rsidRPr="00E67265">
              <w:rPr>
                <w:color w:val="000000" w:themeColor="text1"/>
                <w:sz w:val="20"/>
                <w:lang w:val="en-US"/>
              </w:rPr>
              <w:t xml:space="preserve"> or to fund developmental activities and capital expenditures.</w:t>
            </w:r>
          </w:p>
          <w:p w14:paraId="306B2D18" w14:textId="77777777" w:rsidR="00276EA8" w:rsidRPr="00664903" w:rsidRDefault="00276EA8" w:rsidP="00276EA8">
            <w:pPr>
              <w:pStyle w:val="ListParagraph"/>
              <w:numPr>
                <w:ilvl w:val="0"/>
                <w:numId w:val="18"/>
              </w:numPr>
              <w:spacing w:before="120"/>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r w:rsidRPr="00CC4F24">
              <w:rPr>
                <w:color w:val="000000" w:themeColor="text1"/>
                <w:sz w:val="20"/>
                <w:lang w:val="en-US"/>
              </w:rPr>
              <w:t xml:space="preserve">A common deficiency was the lack of disclosure regarding </w:t>
            </w:r>
            <w:r w:rsidRPr="00CC4F24">
              <w:rPr>
                <w:sz w:val="20"/>
              </w:rPr>
              <w:t xml:space="preserve">trends or expected fluctuations in </w:t>
            </w:r>
            <w:r>
              <w:rPr>
                <w:sz w:val="20"/>
              </w:rPr>
              <w:t>an issuer’s</w:t>
            </w:r>
            <w:r w:rsidRPr="00CC4F24">
              <w:rPr>
                <w:sz w:val="20"/>
              </w:rPr>
              <w:t xml:space="preserve"> liquidity and capital resources, taking into</w:t>
            </w:r>
            <w:r>
              <w:rPr>
                <w:sz w:val="20"/>
              </w:rPr>
              <w:t xml:space="preserve"> account</w:t>
            </w:r>
            <w:r w:rsidRPr="00CC4F24">
              <w:rPr>
                <w:sz w:val="20"/>
              </w:rPr>
              <w:t xml:space="preserve"> events or uncertainties related to COVID-19</w:t>
            </w:r>
            <w:r>
              <w:rPr>
                <w:sz w:val="20"/>
              </w:rPr>
              <w:t>.</w:t>
            </w:r>
          </w:p>
          <w:p w14:paraId="1AADCFC2" w14:textId="09F30121" w:rsidR="00276EA8" w:rsidRDefault="00276EA8" w:rsidP="00276EA8">
            <w:pPr>
              <w:pStyle w:val="ListParagraph"/>
              <w:numPr>
                <w:ilvl w:val="0"/>
                <w:numId w:val="18"/>
              </w:numPr>
              <w:spacing w:before="120"/>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r w:rsidRPr="00664903">
              <w:rPr>
                <w:color w:val="000000" w:themeColor="text1"/>
                <w:sz w:val="20"/>
                <w:lang w:val="en-US"/>
              </w:rPr>
              <w:t>Many issuers discussed a wide range of remedies to address liquidity uncertainties</w:t>
            </w:r>
            <w:r>
              <w:rPr>
                <w:color w:val="000000" w:themeColor="text1"/>
                <w:sz w:val="20"/>
                <w:lang w:val="en-US"/>
              </w:rPr>
              <w:t xml:space="preserve">. </w:t>
            </w:r>
            <w:r w:rsidRPr="00664903">
              <w:rPr>
                <w:color w:val="000000" w:themeColor="text1"/>
                <w:sz w:val="20"/>
                <w:lang w:val="en-US"/>
              </w:rPr>
              <w:t xml:space="preserve">However, some issuers did not quantify the </w:t>
            </w:r>
            <w:r>
              <w:rPr>
                <w:color w:val="000000" w:themeColor="text1"/>
                <w:sz w:val="20"/>
                <w:lang w:val="en-US"/>
              </w:rPr>
              <w:t>impact</w:t>
            </w:r>
            <w:r w:rsidRPr="00664903">
              <w:rPr>
                <w:color w:val="000000" w:themeColor="text1"/>
                <w:sz w:val="20"/>
                <w:lang w:val="en-US"/>
              </w:rPr>
              <w:t xml:space="preserve"> or discuss how long certain remedies will remain in effect.</w:t>
            </w:r>
          </w:p>
          <w:p w14:paraId="1907F762" w14:textId="77777777" w:rsidR="00276EA8" w:rsidRDefault="00276EA8" w:rsidP="00276EA8">
            <w:pPr>
              <w:pStyle w:val="ListParagraph"/>
              <w:spacing w:before="120"/>
              <w:ind w:left="360"/>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p>
          <w:p w14:paraId="61AA1D07" w14:textId="77777777" w:rsidR="00276EA8" w:rsidRPr="00FF4C3E" w:rsidRDefault="00276EA8" w:rsidP="00276EA8">
            <w:p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r w:rsidRPr="00FF4C3E">
              <w:rPr>
                <w:b/>
                <w:bCs/>
                <w:color w:val="000000" w:themeColor="text1"/>
                <w:sz w:val="20"/>
                <w:lang w:val="en-US"/>
              </w:rPr>
              <w:t>Industry Observations</w:t>
            </w:r>
            <w:r w:rsidRPr="00FF4C3E">
              <w:rPr>
                <w:color w:val="000000" w:themeColor="text1"/>
                <w:sz w:val="20"/>
                <w:lang w:val="en-US"/>
              </w:rPr>
              <w:t>:</w:t>
            </w:r>
          </w:p>
          <w:p w14:paraId="562878BF" w14:textId="77777777" w:rsidR="00276EA8" w:rsidRPr="00664903" w:rsidRDefault="00276EA8" w:rsidP="00276EA8">
            <w:pPr>
              <w:pStyle w:val="ListParagraph"/>
              <w:numPr>
                <w:ilvl w:val="0"/>
                <w:numId w:val="17"/>
              </w:numPr>
              <w:spacing w:after="240"/>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r>
              <w:rPr>
                <w:color w:val="000000" w:themeColor="text1"/>
                <w:sz w:val="20"/>
                <w:lang w:val="en-US"/>
              </w:rPr>
              <w:t>We observed a</w:t>
            </w:r>
            <w:r w:rsidRPr="00664903">
              <w:rPr>
                <w:color w:val="000000" w:themeColor="text1"/>
                <w:sz w:val="20"/>
                <w:lang w:val="en-US"/>
              </w:rPr>
              <w:t>dditional disclosure regarding customers/tenants</w:t>
            </w:r>
            <w:r>
              <w:rPr>
                <w:color w:val="000000" w:themeColor="text1"/>
                <w:sz w:val="20"/>
                <w:lang w:val="en-US"/>
              </w:rPr>
              <w:t xml:space="preserve"> </w:t>
            </w:r>
            <w:r w:rsidRPr="00664903">
              <w:rPr>
                <w:color w:val="000000" w:themeColor="text1"/>
                <w:sz w:val="20"/>
                <w:lang w:val="en-US"/>
              </w:rPr>
              <w:t xml:space="preserve">to help understand </w:t>
            </w:r>
            <w:r>
              <w:rPr>
                <w:color w:val="000000" w:themeColor="text1"/>
                <w:sz w:val="20"/>
                <w:lang w:val="en-US"/>
              </w:rPr>
              <w:t>the issuer’s liquidity risk</w:t>
            </w:r>
            <w:r w:rsidRPr="00664903">
              <w:rPr>
                <w:color w:val="000000" w:themeColor="text1"/>
                <w:sz w:val="20"/>
                <w:lang w:val="en-US"/>
              </w:rPr>
              <w:t xml:space="preserve"> and future trends. </w:t>
            </w:r>
            <w:r w:rsidRPr="00DE01C1">
              <w:rPr>
                <w:b/>
                <w:color w:val="000000" w:themeColor="text1"/>
                <w:sz w:val="20"/>
                <w:lang w:val="en-US"/>
              </w:rPr>
              <w:t>For example</w:t>
            </w:r>
            <w:r w:rsidRPr="00664903">
              <w:rPr>
                <w:b/>
                <w:bCs/>
                <w:color w:val="000000" w:themeColor="text1"/>
                <w:sz w:val="20"/>
                <w:lang w:val="en-US"/>
              </w:rPr>
              <w:t>:</w:t>
            </w:r>
            <w:r w:rsidRPr="00664903">
              <w:rPr>
                <w:color w:val="000000" w:themeColor="text1"/>
                <w:sz w:val="20"/>
                <w:lang w:val="en-US"/>
              </w:rPr>
              <w:t xml:space="preserve"> some real estate issuers disclosed % </w:t>
            </w:r>
            <w:r>
              <w:rPr>
                <w:color w:val="000000" w:themeColor="text1"/>
                <w:sz w:val="20"/>
                <w:lang w:val="en-US"/>
              </w:rPr>
              <w:t xml:space="preserve">of </w:t>
            </w:r>
            <w:r w:rsidRPr="00664903">
              <w:rPr>
                <w:color w:val="000000" w:themeColor="text1"/>
                <w:sz w:val="20"/>
                <w:lang w:val="en-US"/>
              </w:rPr>
              <w:t xml:space="preserve">tenants undergoing restructuring, cash rents received during the period and categorized their tenant base based on management’s assessment </w:t>
            </w:r>
            <w:r>
              <w:rPr>
                <w:color w:val="000000" w:themeColor="text1"/>
                <w:sz w:val="20"/>
                <w:lang w:val="en-US"/>
              </w:rPr>
              <w:t>o</w:t>
            </w:r>
            <w:r w:rsidRPr="00664903">
              <w:rPr>
                <w:color w:val="000000" w:themeColor="text1"/>
                <w:sz w:val="20"/>
                <w:lang w:val="en-US"/>
              </w:rPr>
              <w:t xml:space="preserve">f risk. </w:t>
            </w:r>
          </w:p>
        </w:tc>
        <w:tc>
          <w:tcPr>
            <w:tcW w:w="4399" w:type="dxa"/>
            <w:shd w:val="clear" w:color="auto" w:fill="EEECE1" w:themeFill="background2"/>
          </w:tcPr>
          <w:p w14:paraId="69AD241B" w14:textId="041485C7" w:rsidR="00276EA8" w:rsidRPr="008C55A3" w:rsidRDefault="00276EA8" w:rsidP="00276EA8">
            <w:pPr>
              <w:pStyle w:val="CommentText"/>
              <w:numPr>
                <w:ilvl w:val="0"/>
                <w:numId w:val="18"/>
              </w:numPr>
              <w:spacing w:after="0"/>
              <w:ind w:left="317" w:hanging="31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64903">
              <w:rPr>
                <w:rFonts w:ascii="Times New Roman" w:hAnsi="Times New Roman" w:cs="Times New Roman"/>
              </w:rPr>
              <w:t>COVID-19 has had a significant impact on the liquidity and capital resources of many issuers creating unique challenges and</w:t>
            </w:r>
            <w:r>
              <w:rPr>
                <w:rFonts w:ascii="Times New Roman" w:hAnsi="Times New Roman" w:cs="Times New Roman"/>
              </w:rPr>
              <w:t xml:space="preserve"> the need for new financing resources</w:t>
            </w:r>
            <w:r w:rsidRPr="00664903">
              <w:rPr>
                <w:rFonts w:ascii="Times New Roman" w:hAnsi="Times New Roman" w:cs="Times New Roman"/>
              </w:rPr>
              <w:t>.  It is important for issuers to provide a comprehensive discussion o</w:t>
            </w:r>
            <w:r w:rsidR="00A26BF1">
              <w:rPr>
                <w:rFonts w:ascii="Times New Roman" w:hAnsi="Times New Roman" w:cs="Times New Roman"/>
              </w:rPr>
              <w:t>f</w:t>
            </w:r>
            <w:r w:rsidRPr="00664903">
              <w:rPr>
                <w:rFonts w:ascii="Times New Roman" w:hAnsi="Times New Roman" w:cs="Times New Roman"/>
              </w:rPr>
              <w:t xml:space="preserve"> their initiatives to manage current and expected liquidity and funding risks.</w:t>
            </w:r>
          </w:p>
          <w:p w14:paraId="324F0F27" w14:textId="77777777" w:rsidR="00276EA8" w:rsidRPr="008C55A3" w:rsidRDefault="00276EA8" w:rsidP="00276EA8">
            <w:pPr>
              <w:pStyle w:val="CommentText"/>
              <w:numPr>
                <w:ilvl w:val="0"/>
                <w:numId w:val="18"/>
              </w:numPr>
              <w:spacing w:after="0"/>
              <w:ind w:left="317" w:hanging="31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C55A3">
              <w:rPr>
                <w:rFonts w:ascii="Times New Roman" w:hAnsi="Times New Roman" w:cs="Times New Roman"/>
              </w:rPr>
              <w:t xml:space="preserve">Issuers that have material liquidity risks might consider disclosing: </w:t>
            </w:r>
            <w:r>
              <w:rPr>
                <w:rFonts w:ascii="Times New Roman" w:hAnsi="Times New Roman" w:cs="Times New Roman"/>
              </w:rPr>
              <w:t>t</w:t>
            </w:r>
            <w:r w:rsidRPr="008C55A3">
              <w:rPr>
                <w:rFonts w:ascii="Times New Roman" w:hAnsi="Times New Roman" w:cs="Times New Roman"/>
              </w:rPr>
              <w:t>heir most current working capital amount</w:t>
            </w:r>
            <w:r>
              <w:rPr>
                <w:rFonts w:ascii="Times New Roman" w:hAnsi="Times New Roman" w:cs="Times New Roman"/>
              </w:rPr>
              <w:t>, s</w:t>
            </w:r>
            <w:r w:rsidRPr="008C55A3">
              <w:rPr>
                <w:rFonts w:ascii="Times New Roman" w:hAnsi="Times New Roman" w:cs="Times New Roman"/>
              </w:rPr>
              <w:t>ignificant obligations that are maturing in the short term</w:t>
            </w:r>
            <w:r>
              <w:rPr>
                <w:rFonts w:ascii="Times New Roman" w:hAnsi="Times New Roman" w:cs="Times New Roman"/>
              </w:rPr>
              <w:t>, t</w:t>
            </w:r>
            <w:r w:rsidRPr="008C55A3">
              <w:rPr>
                <w:rFonts w:ascii="Times New Roman" w:hAnsi="Times New Roman" w:cs="Times New Roman"/>
              </w:rPr>
              <w:t>heir cash burn rate on a monthly or quarterly basis</w:t>
            </w:r>
            <w:r>
              <w:rPr>
                <w:rFonts w:ascii="Times New Roman" w:hAnsi="Times New Roman" w:cs="Times New Roman"/>
              </w:rPr>
              <w:t>, t</w:t>
            </w:r>
            <w:r w:rsidRPr="008C55A3">
              <w:rPr>
                <w:rFonts w:ascii="Times New Roman" w:hAnsi="Times New Roman" w:cs="Times New Roman"/>
              </w:rPr>
              <w:t>he period of time that they expect to be able to fund operations</w:t>
            </w:r>
            <w:r>
              <w:rPr>
                <w:rFonts w:ascii="Times New Roman" w:hAnsi="Times New Roman" w:cs="Times New Roman"/>
              </w:rPr>
              <w:t xml:space="preserve"> and</w:t>
            </w:r>
            <w:r w:rsidRPr="008C55A3">
              <w:rPr>
                <w:rFonts w:ascii="Times New Roman" w:hAnsi="Times New Roman" w:cs="Times New Roman"/>
              </w:rPr>
              <w:t xml:space="preserve"> </w:t>
            </w:r>
            <w:r>
              <w:rPr>
                <w:rFonts w:ascii="Times New Roman" w:hAnsi="Times New Roman" w:cs="Times New Roman"/>
              </w:rPr>
              <w:t>h</w:t>
            </w:r>
            <w:r w:rsidRPr="008C55A3">
              <w:rPr>
                <w:rFonts w:ascii="Times New Roman" w:hAnsi="Times New Roman" w:cs="Times New Roman"/>
              </w:rPr>
              <w:t>ow they intend to prioritize expenditures in the short term</w:t>
            </w:r>
            <w:r>
              <w:rPr>
                <w:rFonts w:ascii="Times New Roman" w:hAnsi="Times New Roman" w:cs="Times New Roman"/>
              </w:rPr>
              <w:t>.</w:t>
            </w:r>
          </w:p>
          <w:p w14:paraId="1E0521DD" w14:textId="77777777" w:rsidR="00276EA8" w:rsidRPr="00664903" w:rsidRDefault="00276EA8" w:rsidP="00276EA8">
            <w:pPr>
              <w:pStyle w:val="CommentText"/>
              <w:ind w:left="-4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p w14:paraId="45F0D4D4" w14:textId="77777777" w:rsidR="00276EA8" w:rsidRPr="00664903" w:rsidRDefault="00276EA8" w:rsidP="00276EA8">
            <w:pPr>
              <w:pStyle w:val="CommentText"/>
              <w:shd w:val="clear" w:color="auto" w:fill="DDD9C3" w:themeFill="background2" w:themeFillShade="E6"/>
              <w:spacing w:after="0"/>
              <w:ind w:left="-4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64903">
              <w:rPr>
                <w:rFonts w:ascii="Times New Roman" w:hAnsi="Times New Roman" w:cs="Times New Roman"/>
                <w:b/>
                <w:bCs/>
              </w:rPr>
              <w:t>Issuers should:</w:t>
            </w:r>
          </w:p>
          <w:p w14:paraId="4321B609" w14:textId="77777777" w:rsidR="00276EA8" w:rsidRPr="00664903" w:rsidRDefault="00276EA8" w:rsidP="00761BD8">
            <w:pPr>
              <w:pStyle w:val="CommentText"/>
              <w:numPr>
                <w:ilvl w:val="0"/>
                <w:numId w:val="35"/>
              </w:numPr>
              <w:shd w:val="clear" w:color="auto" w:fill="DDD9C3" w:themeFill="background2" w:themeFillShade="E6"/>
              <w:spacing w:after="0"/>
              <w:ind w:left="31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4903">
              <w:rPr>
                <w:rFonts w:ascii="Times New Roman" w:hAnsi="Times New Roman" w:cs="Times New Roman"/>
              </w:rPr>
              <w:t>Provide a clear picture of the issuers working capital, working capital needs and how those needs relate to business plans and milestones</w:t>
            </w:r>
          </w:p>
          <w:p w14:paraId="7F515C1F" w14:textId="77777777" w:rsidR="00276EA8" w:rsidRPr="00664903" w:rsidRDefault="00276EA8" w:rsidP="00761BD8">
            <w:pPr>
              <w:pStyle w:val="CommentText"/>
              <w:numPr>
                <w:ilvl w:val="0"/>
                <w:numId w:val="35"/>
              </w:numPr>
              <w:shd w:val="clear" w:color="auto" w:fill="DDD9C3" w:themeFill="background2" w:themeFillShade="E6"/>
              <w:spacing w:after="0"/>
              <w:ind w:left="31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4903">
              <w:rPr>
                <w:rFonts w:ascii="Times New Roman" w:hAnsi="Times New Roman" w:cs="Times New Roman"/>
              </w:rPr>
              <w:t xml:space="preserve">Detail liquidity risks including risk of default or arrears on distributions, lease and debt payments </w:t>
            </w:r>
          </w:p>
          <w:p w14:paraId="6F47FDD5" w14:textId="77777777" w:rsidR="00276EA8" w:rsidRPr="004F4ADA" w:rsidRDefault="00276EA8" w:rsidP="00761BD8">
            <w:pPr>
              <w:pStyle w:val="CommentText"/>
              <w:numPr>
                <w:ilvl w:val="0"/>
                <w:numId w:val="35"/>
              </w:numPr>
              <w:shd w:val="clear" w:color="auto" w:fill="DDD9C3" w:themeFill="background2" w:themeFillShade="E6"/>
              <w:spacing w:after="0"/>
              <w:ind w:left="31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4903">
              <w:rPr>
                <w:rFonts w:ascii="Times New Roman" w:hAnsi="Times New Roman" w:cs="Times New Roman"/>
              </w:rPr>
              <w:t>Discuss the impact of altered payment terms with customers and le</w:t>
            </w:r>
            <w:r>
              <w:rPr>
                <w:rFonts w:ascii="Times New Roman" w:hAnsi="Times New Roman" w:cs="Times New Roman"/>
              </w:rPr>
              <w:t>s</w:t>
            </w:r>
            <w:r w:rsidRPr="004F4ADA">
              <w:rPr>
                <w:rFonts w:ascii="Times New Roman" w:hAnsi="Times New Roman" w:cs="Times New Roman"/>
              </w:rPr>
              <w:t>sees</w:t>
            </w:r>
          </w:p>
          <w:p w14:paraId="37E1B5DD" w14:textId="77777777" w:rsidR="00276EA8" w:rsidRPr="00664903" w:rsidRDefault="00276EA8" w:rsidP="00761BD8">
            <w:pPr>
              <w:pStyle w:val="CommentText"/>
              <w:numPr>
                <w:ilvl w:val="0"/>
                <w:numId w:val="35"/>
              </w:numPr>
              <w:shd w:val="clear" w:color="auto" w:fill="DDD9C3" w:themeFill="background2" w:themeFillShade="E6"/>
              <w:spacing w:after="0"/>
              <w:ind w:left="31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4903">
              <w:rPr>
                <w:rFonts w:ascii="Times New Roman" w:hAnsi="Times New Roman" w:cs="Times New Roman"/>
              </w:rPr>
              <w:t xml:space="preserve">Discuss whether the </w:t>
            </w:r>
            <w:r>
              <w:rPr>
                <w:rFonts w:ascii="Times New Roman" w:hAnsi="Times New Roman" w:cs="Times New Roman"/>
              </w:rPr>
              <w:t>issuer</w:t>
            </w:r>
            <w:r w:rsidRPr="00664903">
              <w:rPr>
                <w:rFonts w:ascii="Times New Roman" w:hAnsi="Times New Roman" w:cs="Times New Roman"/>
              </w:rPr>
              <w:t>’s cost or access to capital has changed</w:t>
            </w:r>
          </w:p>
          <w:p w14:paraId="690A9EE6" w14:textId="77777777" w:rsidR="00276EA8" w:rsidRPr="00664903" w:rsidRDefault="00276EA8" w:rsidP="00761BD8">
            <w:pPr>
              <w:pStyle w:val="CommentText"/>
              <w:numPr>
                <w:ilvl w:val="0"/>
                <w:numId w:val="35"/>
              </w:numPr>
              <w:shd w:val="clear" w:color="auto" w:fill="DDD9C3" w:themeFill="background2" w:themeFillShade="E6"/>
              <w:spacing w:after="0"/>
              <w:ind w:left="31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4903">
              <w:rPr>
                <w:rFonts w:ascii="Times New Roman" w:hAnsi="Times New Roman" w:cs="Times New Roman"/>
              </w:rPr>
              <w:t xml:space="preserve">Quantify the impact of </w:t>
            </w:r>
            <w:r>
              <w:rPr>
                <w:rFonts w:ascii="Times New Roman" w:hAnsi="Times New Roman" w:cs="Times New Roman"/>
              </w:rPr>
              <w:t xml:space="preserve">remedies </w:t>
            </w:r>
            <w:r w:rsidRPr="00664903">
              <w:rPr>
                <w:rFonts w:ascii="Times New Roman" w:hAnsi="Times New Roman" w:cs="Times New Roman"/>
              </w:rPr>
              <w:t>where possible</w:t>
            </w:r>
            <w:r>
              <w:rPr>
                <w:rFonts w:ascii="Times New Roman" w:hAnsi="Times New Roman" w:cs="Times New Roman"/>
              </w:rPr>
              <w:t xml:space="preserve"> </w:t>
            </w:r>
          </w:p>
          <w:p w14:paraId="577EBF8F" w14:textId="77777777" w:rsidR="00276EA8" w:rsidRPr="00664903" w:rsidRDefault="00276EA8" w:rsidP="00761BD8">
            <w:pPr>
              <w:pStyle w:val="CommentText"/>
              <w:numPr>
                <w:ilvl w:val="0"/>
                <w:numId w:val="35"/>
              </w:numPr>
              <w:shd w:val="clear" w:color="auto" w:fill="DDD9C3" w:themeFill="background2" w:themeFillShade="E6"/>
              <w:spacing w:after="0"/>
              <w:ind w:left="31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4903">
              <w:rPr>
                <w:rFonts w:ascii="Times New Roman" w:hAnsi="Times New Roman" w:cs="Times New Roman"/>
              </w:rPr>
              <w:t xml:space="preserve">Discuss how financing </w:t>
            </w:r>
            <w:r>
              <w:rPr>
                <w:rFonts w:ascii="Times New Roman" w:hAnsi="Times New Roman" w:cs="Times New Roman"/>
              </w:rPr>
              <w:t xml:space="preserve">sources </w:t>
            </w:r>
            <w:r w:rsidRPr="00664903">
              <w:rPr>
                <w:rFonts w:ascii="Times New Roman" w:hAnsi="Times New Roman" w:cs="Times New Roman"/>
              </w:rPr>
              <w:t>(</w:t>
            </w:r>
            <w:r>
              <w:rPr>
                <w:rFonts w:ascii="Times New Roman" w:hAnsi="Times New Roman" w:cs="Times New Roman"/>
              </w:rPr>
              <w:t xml:space="preserve">e.g., </w:t>
            </w:r>
            <w:r w:rsidRPr="00664903">
              <w:rPr>
                <w:rFonts w:ascii="Times New Roman" w:hAnsi="Times New Roman" w:cs="Times New Roman"/>
              </w:rPr>
              <w:t xml:space="preserve">public/private offerings, unused lines of credit) </w:t>
            </w:r>
            <w:r>
              <w:rPr>
                <w:rFonts w:ascii="Times New Roman" w:hAnsi="Times New Roman" w:cs="Times New Roman"/>
              </w:rPr>
              <w:t>meet</w:t>
            </w:r>
            <w:r w:rsidRPr="00664903">
              <w:rPr>
                <w:rFonts w:ascii="Times New Roman" w:hAnsi="Times New Roman" w:cs="Times New Roman"/>
              </w:rPr>
              <w:t xml:space="preserve"> the issuers immediate and longer</w:t>
            </w:r>
            <w:r>
              <w:rPr>
                <w:rFonts w:ascii="Times New Roman" w:hAnsi="Times New Roman" w:cs="Times New Roman"/>
              </w:rPr>
              <w:t>-</w:t>
            </w:r>
            <w:r w:rsidRPr="00664903">
              <w:rPr>
                <w:rFonts w:ascii="Times New Roman" w:hAnsi="Times New Roman" w:cs="Times New Roman"/>
              </w:rPr>
              <w:t>term liquidity needs</w:t>
            </w:r>
          </w:p>
          <w:p w14:paraId="3487C145" w14:textId="77777777" w:rsidR="00276EA8" w:rsidRPr="00664903" w:rsidRDefault="00276EA8" w:rsidP="00761BD8">
            <w:pPr>
              <w:pStyle w:val="CommentText"/>
              <w:numPr>
                <w:ilvl w:val="0"/>
                <w:numId w:val="35"/>
              </w:numPr>
              <w:shd w:val="clear" w:color="auto" w:fill="DDD9C3" w:themeFill="background2" w:themeFillShade="E6"/>
              <w:spacing w:after="0"/>
              <w:ind w:left="31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4903">
              <w:rPr>
                <w:rFonts w:ascii="Times New Roman" w:hAnsi="Times New Roman" w:cs="Times New Roman"/>
              </w:rPr>
              <w:t>Discuss how long other remedies to address liquidity concerns are anticipated to be in effect and the risks to the issuer when remedies expire</w:t>
            </w:r>
          </w:p>
          <w:p w14:paraId="570E3241" w14:textId="77777777" w:rsidR="00276EA8" w:rsidRDefault="00276EA8" w:rsidP="00761BD8">
            <w:pPr>
              <w:pStyle w:val="CommentText"/>
              <w:numPr>
                <w:ilvl w:val="0"/>
                <w:numId w:val="35"/>
              </w:numPr>
              <w:shd w:val="clear" w:color="auto" w:fill="DDD9C3" w:themeFill="background2" w:themeFillShade="E6"/>
              <w:spacing w:after="0"/>
              <w:ind w:left="31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4903">
              <w:rPr>
                <w:rFonts w:ascii="Times New Roman" w:hAnsi="Times New Roman" w:cs="Times New Roman"/>
              </w:rPr>
              <w:t xml:space="preserve">Consider what additional </w:t>
            </w:r>
            <w:r>
              <w:rPr>
                <w:rFonts w:ascii="Times New Roman" w:hAnsi="Times New Roman" w:cs="Times New Roman"/>
              </w:rPr>
              <w:t>information management is monitoring in relation to liquidity that may be</w:t>
            </w:r>
            <w:r w:rsidRPr="00664903">
              <w:rPr>
                <w:rFonts w:ascii="Times New Roman" w:hAnsi="Times New Roman" w:cs="Times New Roman"/>
              </w:rPr>
              <w:t xml:space="preserve"> useful information to investors </w:t>
            </w:r>
          </w:p>
          <w:p w14:paraId="56AADEAC" w14:textId="77777777" w:rsidR="00276EA8" w:rsidRPr="00664903" w:rsidRDefault="00276EA8" w:rsidP="00761BD8">
            <w:pPr>
              <w:pStyle w:val="CommentText"/>
              <w:numPr>
                <w:ilvl w:val="0"/>
                <w:numId w:val="35"/>
              </w:numPr>
              <w:shd w:val="clear" w:color="auto" w:fill="DDD9C3" w:themeFill="background2" w:themeFillShade="E6"/>
              <w:spacing w:after="0"/>
              <w:ind w:left="31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Discuss known trends or events that may impact future liquidity and capital resources (e.g., what events or uncertainties may impact ability to service debt, meet other financial obligations or access financing?)</w:t>
            </w:r>
          </w:p>
          <w:p w14:paraId="742D5E5F" w14:textId="77777777" w:rsidR="00276EA8" w:rsidRPr="00664903" w:rsidRDefault="00276EA8" w:rsidP="00761BD8">
            <w:pPr>
              <w:pStyle w:val="CommentText"/>
              <w:numPr>
                <w:ilvl w:val="0"/>
                <w:numId w:val="35"/>
              </w:numPr>
              <w:shd w:val="clear" w:color="auto" w:fill="DDD9C3" w:themeFill="background2" w:themeFillShade="E6"/>
              <w:spacing w:after="0"/>
              <w:ind w:left="31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4903">
              <w:rPr>
                <w:rFonts w:ascii="Times New Roman" w:hAnsi="Times New Roman" w:cs="Times New Roman"/>
              </w:rPr>
              <w:t>Update material factors impacting liquidity and capital resources up to the date of the MD&amp;A</w:t>
            </w:r>
          </w:p>
          <w:p w14:paraId="0B8A6650" w14:textId="77777777" w:rsidR="00276EA8" w:rsidRDefault="00276EA8" w:rsidP="00276EA8">
            <w:pPr>
              <w:pStyle w:val="Comment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p w14:paraId="5783D205" w14:textId="77777777" w:rsidR="00276EA8" w:rsidRPr="00724DCB" w:rsidRDefault="00276EA8" w:rsidP="00D93E09">
            <w:pPr>
              <w:shd w:val="clear" w:color="auto" w:fill="EEECE1" w:themeFill="background2"/>
              <w:spacing w:before="120"/>
              <w:textAlignment w:val="baseline"/>
              <w:cnfStyle w:val="000000100000" w:firstRow="0" w:lastRow="0" w:firstColumn="0" w:lastColumn="0" w:oddVBand="0" w:evenVBand="0" w:oddHBand="1" w:evenHBand="0" w:firstRowFirstColumn="0" w:firstRowLastColumn="0" w:lastRowFirstColumn="0" w:lastRowLastColumn="0"/>
              <w:rPr>
                <w:color w:val="000000"/>
                <w:sz w:val="20"/>
                <w:lang w:eastAsia="en-CA"/>
              </w:rPr>
            </w:pPr>
            <w:r w:rsidRPr="00D93E09">
              <w:rPr>
                <w:b/>
                <w:bCs/>
                <w:sz w:val="20"/>
              </w:rPr>
              <w:t>Reference: Item1.6 and Item 1.7 of Form 51-102F1</w:t>
            </w:r>
          </w:p>
        </w:tc>
      </w:tr>
      <w:tr w:rsidR="00276EA8" w:rsidRPr="00947F30" w14:paraId="4B05C522" w14:textId="77777777" w:rsidTr="00724DCB">
        <w:trPr>
          <w:trHeight w:val="733"/>
        </w:trPr>
        <w:tc>
          <w:tcPr>
            <w:cnfStyle w:val="001000000000" w:firstRow="0" w:lastRow="0" w:firstColumn="1" w:lastColumn="0" w:oddVBand="0" w:evenVBand="0" w:oddHBand="0" w:evenHBand="0" w:firstRowFirstColumn="0" w:firstRowLastColumn="0" w:lastRowFirstColumn="0" w:lastRowLastColumn="0"/>
            <w:tcW w:w="1980" w:type="dxa"/>
            <w:shd w:val="clear" w:color="auto" w:fill="EEECE1" w:themeFill="background2"/>
          </w:tcPr>
          <w:p w14:paraId="2A6A94CD" w14:textId="77777777" w:rsidR="00276EA8" w:rsidRDefault="00276EA8" w:rsidP="00276EA8">
            <w:pPr>
              <w:rPr>
                <w:bCs w:val="0"/>
                <w:color w:val="000000" w:themeColor="text1"/>
                <w:sz w:val="20"/>
              </w:rPr>
            </w:pPr>
            <w:r w:rsidRPr="00664903">
              <w:rPr>
                <w:bCs w:val="0"/>
                <w:color w:val="000000" w:themeColor="text1"/>
                <w:sz w:val="20"/>
              </w:rPr>
              <w:t>D</w:t>
            </w:r>
            <w:r>
              <w:rPr>
                <w:bCs w:val="0"/>
                <w:color w:val="000000" w:themeColor="text1"/>
                <w:sz w:val="20"/>
              </w:rPr>
              <w:t>ebt Covenants</w:t>
            </w:r>
          </w:p>
        </w:tc>
        <w:tc>
          <w:tcPr>
            <w:tcW w:w="3402" w:type="dxa"/>
            <w:shd w:val="clear" w:color="auto" w:fill="EEECE1" w:themeFill="background2"/>
          </w:tcPr>
          <w:p w14:paraId="55DB3917" w14:textId="77777777" w:rsidR="00276EA8" w:rsidRDefault="00276EA8" w:rsidP="00276EA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0"/>
                <w:lang w:val="en-US"/>
              </w:rPr>
            </w:pPr>
            <w:r>
              <w:rPr>
                <w:color w:val="000000" w:themeColor="text1"/>
                <w:sz w:val="20"/>
                <w:lang w:val="en-US"/>
              </w:rPr>
              <w:t>While</w:t>
            </w:r>
            <w:r w:rsidRPr="00664903">
              <w:rPr>
                <w:color w:val="000000" w:themeColor="text1"/>
                <w:sz w:val="20"/>
                <w:lang w:val="en-US"/>
              </w:rPr>
              <w:t xml:space="preserve"> issuers </w:t>
            </w:r>
            <w:r>
              <w:rPr>
                <w:color w:val="000000" w:themeColor="text1"/>
                <w:sz w:val="20"/>
                <w:lang w:val="en-US"/>
              </w:rPr>
              <w:t>generally</w:t>
            </w:r>
            <w:r w:rsidRPr="00664903">
              <w:rPr>
                <w:color w:val="000000" w:themeColor="text1"/>
                <w:sz w:val="20"/>
                <w:lang w:val="en-US"/>
              </w:rPr>
              <w:t xml:space="preserve"> disclosed compliance with debt covenants</w:t>
            </w:r>
            <w:r>
              <w:rPr>
                <w:color w:val="000000" w:themeColor="text1"/>
                <w:sz w:val="20"/>
                <w:lang w:val="en-US"/>
              </w:rPr>
              <w:t>,</w:t>
            </w:r>
            <w:r w:rsidRPr="00664903">
              <w:rPr>
                <w:color w:val="000000" w:themeColor="text1"/>
                <w:sz w:val="20"/>
                <w:lang w:val="en-US"/>
              </w:rPr>
              <w:t xml:space="preserve"> disclosure varied in relation to providing the details of covenants applicable to the issuer. </w:t>
            </w:r>
          </w:p>
          <w:p w14:paraId="5629FF2C" w14:textId="77777777" w:rsidR="00276EA8" w:rsidRDefault="00276EA8" w:rsidP="00276EA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0"/>
                <w:lang w:val="en-US"/>
              </w:rPr>
            </w:pPr>
            <w:r>
              <w:rPr>
                <w:color w:val="000000" w:themeColor="text1"/>
                <w:sz w:val="20"/>
                <w:lang w:val="en-US"/>
              </w:rPr>
              <w:t>Many issuers disclosed amendments to credit agreements including changes to covenants, covenant forgiveness for certain periods and additional restrictions placed on the issuer.</w:t>
            </w:r>
          </w:p>
          <w:p w14:paraId="242F1054" w14:textId="77777777" w:rsidR="00276EA8" w:rsidRDefault="00276EA8" w:rsidP="00276EA8">
            <w:pPr>
              <w:pStyle w:val="ListParagraph"/>
              <w:ind w:left="360"/>
              <w:cnfStyle w:val="000000000000" w:firstRow="0" w:lastRow="0" w:firstColumn="0" w:lastColumn="0" w:oddVBand="0" w:evenVBand="0" w:oddHBand="0" w:evenHBand="0" w:firstRowFirstColumn="0" w:firstRowLastColumn="0" w:lastRowFirstColumn="0" w:lastRowLastColumn="0"/>
              <w:rPr>
                <w:color w:val="000000" w:themeColor="text1"/>
                <w:sz w:val="20"/>
                <w:lang w:val="en-US"/>
              </w:rPr>
            </w:pPr>
          </w:p>
          <w:p w14:paraId="3C923C16" w14:textId="77777777" w:rsidR="00724DCB" w:rsidRDefault="00724DCB" w:rsidP="00276EA8">
            <w:pPr>
              <w:pStyle w:val="ListParagraph"/>
              <w:ind w:left="360"/>
              <w:cnfStyle w:val="000000000000" w:firstRow="0" w:lastRow="0" w:firstColumn="0" w:lastColumn="0" w:oddVBand="0" w:evenVBand="0" w:oddHBand="0" w:evenHBand="0" w:firstRowFirstColumn="0" w:firstRowLastColumn="0" w:lastRowFirstColumn="0" w:lastRowLastColumn="0"/>
              <w:rPr>
                <w:color w:val="000000" w:themeColor="text1"/>
                <w:sz w:val="20"/>
                <w:lang w:val="en-US"/>
              </w:rPr>
            </w:pPr>
          </w:p>
          <w:p w14:paraId="5117DC1A" w14:textId="77777777" w:rsidR="00276EA8" w:rsidRPr="00E122AE" w:rsidRDefault="00276EA8" w:rsidP="00276EA8">
            <w:pPr>
              <w:cnfStyle w:val="000000000000" w:firstRow="0" w:lastRow="0" w:firstColumn="0" w:lastColumn="0" w:oddVBand="0" w:evenVBand="0" w:oddHBand="0" w:evenHBand="0" w:firstRowFirstColumn="0" w:firstRowLastColumn="0" w:lastRowFirstColumn="0" w:lastRowLastColumn="0"/>
              <w:rPr>
                <w:b/>
                <w:bCs/>
                <w:color w:val="000000" w:themeColor="text1"/>
                <w:sz w:val="20"/>
                <w:lang w:val="en-US"/>
              </w:rPr>
            </w:pPr>
            <w:r w:rsidRPr="00E122AE">
              <w:rPr>
                <w:b/>
                <w:bCs/>
                <w:color w:val="000000" w:themeColor="text1"/>
                <w:sz w:val="20"/>
                <w:lang w:val="en-US"/>
              </w:rPr>
              <w:t xml:space="preserve">Useful </w:t>
            </w:r>
            <w:r>
              <w:rPr>
                <w:b/>
                <w:bCs/>
                <w:color w:val="000000" w:themeColor="text1"/>
                <w:sz w:val="20"/>
                <w:lang w:val="en-US"/>
              </w:rPr>
              <w:t>d</w:t>
            </w:r>
            <w:r w:rsidRPr="00E122AE">
              <w:rPr>
                <w:b/>
                <w:bCs/>
                <w:color w:val="000000" w:themeColor="text1"/>
                <w:sz w:val="20"/>
                <w:lang w:val="en-US"/>
              </w:rPr>
              <w:t xml:space="preserve">isclosure </w:t>
            </w:r>
            <w:r>
              <w:rPr>
                <w:b/>
                <w:bCs/>
                <w:color w:val="000000" w:themeColor="text1"/>
                <w:sz w:val="20"/>
                <w:lang w:val="en-US"/>
              </w:rPr>
              <w:t>o</w:t>
            </w:r>
            <w:r w:rsidRPr="00E122AE">
              <w:rPr>
                <w:b/>
                <w:bCs/>
                <w:color w:val="000000" w:themeColor="text1"/>
                <w:sz w:val="20"/>
                <w:lang w:val="en-US"/>
              </w:rPr>
              <w:t>bserved</w:t>
            </w:r>
            <w:r>
              <w:rPr>
                <w:b/>
                <w:bCs/>
                <w:color w:val="000000" w:themeColor="text1"/>
                <w:sz w:val="20"/>
                <w:lang w:val="en-US"/>
              </w:rPr>
              <w:t>:</w:t>
            </w:r>
          </w:p>
          <w:p w14:paraId="1B63AF8F" w14:textId="11E648CF" w:rsidR="00276EA8" w:rsidRPr="00664903" w:rsidRDefault="00276EA8" w:rsidP="00276EA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0"/>
                <w:lang w:val="en-US"/>
              </w:rPr>
            </w:pPr>
            <w:r>
              <w:rPr>
                <w:color w:val="000000" w:themeColor="text1"/>
                <w:sz w:val="20"/>
                <w:lang w:val="en-US"/>
              </w:rPr>
              <w:t xml:space="preserve">Additional disclosure to </w:t>
            </w:r>
            <w:r w:rsidR="00315321">
              <w:rPr>
                <w:color w:val="000000" w:themeColor="text1"/>
                <w:sz w:val="20"/>
                <w:lang w:val="en-US"/>
              </w:rPr>
              <w:t xml:space="preserve">facilitate understanding of </w:t>
            </w:r>
            <w:r>
              <w:rPr>
                <w:color w:val="000000" w:themeColor="text1"/>
                <w:sz w:val="20"/>
                <w:lang w:val="en-US"/>
              </w:rPr>
              <w:t>debt covenants including</w:t>
            </w:r>
            <w:r w:rsidRPr="00664903">
              <w:rPr>
                <w:color w:val="000000" w:themeColor="text1"/>
                <w:sz w:val="20"/>
                <w:lang w:val="en-US"/>
              </w:rPr>
              <w:t xml:space="preserve"> quantitative disclosure of covenant terms and related compliance. </w:t>
            </w:r>
          </w:p>
          <w:p w14:paraId="5A52B9D2" w14:textId="77777777" w:rsidR="00276EA8" w:rsidRPr="00664903" w:rsidRDefault="00276EA8" w:rsidP="00D93E09">
            <w:pPr>
              <w:pStyle w:val="ListParagraph"/>
              <w:spacing w:after="240"/>
              <w:ind w:left="360"/>
              <w:cnfStyle w:val="000000000000" w:firstRow="0" w:lastRow="0" w:firstColumn="0" w:lastColumn="0" w:oddVBand="0" w:evenVBand="0" w:oddHBand="0" w:evenHBand="0" w:firstRowFirstColumn="0" w:firstRowLastColumn="0" w:lastRowFirstColumn="0" w:lastRowLastColumn="0"/>
              <w:rPr>
                <w:color w:val="000000" w:themeColor="text1"/>
                <w:sz w:val="20"/>
                <w:lang w:val="en-US"/>
              </w:rPr>
            </w:pPr>
          </w:p>
        </w:tc>
        <w:tc>
          <w:tcPr>
            <w:tcW w:w="4399" w:type="dxa"/>
            <w:shd w:val="clear" w:color="auto" w:fill="EEECE1" w:themeFill="background2"/>
          </w:tcPr>
          <w:p w14:paraId="32AF81F6" w14:textId="77777777" w:rsidR="00276EA8" w:rsidRDefault="00276EA8" w:rsidP="00276EA8">
            <w:pPr>
              <w:pStyle w:val="CommentText"/>
              <w:numPr>
                <w:ilvl w:val="0"/>
                <w:numId w:val="21"/>
              </w:numPr>
              <w:spacing w:after="0"/>
              <w:ind w:left="31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903">
              <w:rPr>
                <w:rFonts w:ascii="Times New Roman" w:hAnsi="Times New Roman" w:cs="Times New Roman"/>
              </w:rPr>
              <w:t xml:space="preserve">We encourage issuers </w:t>
            </w:r>
            <w:r>
              <w:rPr>
                <w:rFonts w:ascii="Times New Roman" w:hAnsi="Times New Roman" w:cs="Times New Roman"/>
              </w:rPr>
              <w:t>with debt covenants to discuss the terms and conditions of the debt covenants, especially when a breach of the covenant could trigger a material funding requirement or early repayment.</w:t>
            </w:r>
          </w:p>
          <w:p w14:paraId="12197796" w14:textId="77777777" w:rsidR="00276EA8" w:rsidRDefault="00276EA8" w:rsidP="00276EA8">
            <w:pPr>
              <w:pStyle w:val="CommentText"/>
              <w:numPr>
                <w:ilvl w:val="0"/>
                <w:numId w:val="21"/>
              </w:numPr>
              <w:spacing w:after="0"/>
              <w:ind w:left="31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4903">
              <w:rPr>
                <w:rFonts w:ascii="Times New Roman" w:hAnsi="Times New Roman" w:cs="Times New Roman"/>
              </w:rPr>
              <w:t xml:space="preserve">If an issuer </w:t>
            </w:r>
            <w:r>
              <w:rPr>
                <w:rFonts w:ascii="Times New Roman" w:hAnsi="Times New Roman" w:cs="Times New Roman"/>
              </w:rPr>
              <w:t>is</w:t>
            </w:r>
            <w:r w:rsidRPr="00664903">
              <w:rPr>
                <w:rFonts w:ascii="Times New Roman" w:hAnsi="Times New Roman" w:cs="Times New Roman"/>
              </w:rPr>
              <w:t xml:space="preserve"> close to breaching covenants</w:t>
            </w:r>
            <w:r>
              <w:rPr>
                <w:rFonts w:ascii="Times New Roman" w:hAnsi="Times New Roman" w:cs="Times New Roman"/>
              </w:rPr>
              <w:t xml:space="preserve"> or at risk of default in future periods, this is material information to be disclosed. </w:t>
            </w:r>
          </w:p>
          <w:p w14:paraId="760D7853" w14:textId="77777777" w:rsidR="00276EA8" w:rsidRPr="00664903" w:rsidRDefault="00276EA8" w:rsidP="00276EA8">
            <w:pPr>
              <w:pStyle w:val="CommentText"/>
              <w:numPr>
                <w:ilvl w:val="0"/>
                <w:numId w:val="21"/>
              </w:numPr>
              <w:spacing w:after="0"/>
              <w:ind w:left="312"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w:t>
            </w:r>
            <w:r w:rsidRPr="00664903">
              <w:rPr>
                <w:rFonts w:ascii="Times New Roman" w:hAnsi="Times New Roman" w:cs="Times New Roman"/>
              </w:rPr>
              <w:t>iscuss any additional requirements</w:t>
            </w:r>
            <w:r>
              <w:rPr>
                <w:rFonts w:ascii="Times New Roman" w:hAnsi="Times New Roman" w:cs="Times New Roman"/>
              </w:rPr>
              <w:t xml:space="preserve"> in agreements with lenders </w:t>
            </w:r>
            <w:r w:rsidRPr="00664903">
              <w:rPr>
                <w:rFonts w:ascii="Times New Roman" w:hAnsi="Times New Roman" w:cs="Times New Roman"/>
              </w:rPr>
              <w:t xml:space="preserve">that may restrict the issuer’s business or access to other financing. </w:t>
            </w:r>
          </w:p>
          <w:p w14:paraId="7DCE0940" w14:textId="77777777" w:rsidR="00276EA8" w:rsidRDefault="00276EA8" w:rsidP="00276EA8">
            <w:pPr>
              <w:pStyle w:val="Comment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p w14:paraId="6445DB40" w14:textId="77777777" w:rsidR="00724DCB" w:rsidRPr="00664903" w:rsidRDefault="00724DCB" w:rsidP="00276EA8">
            <w:pPr>
              <w:pStyle w:val="Comment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p w14:paraId="66F921F4" w14:textId="77777777" w:rsidR="00276EA8" w:rsidRPr="00664903" w:rsidRDefault="00276EA8" w:rsidP="00276EA8">
            <w:pPr>
              <w:pStyle w:val="CommentText"/>
              <w:shd w:val="clear" w:color="auto" w:fill="DDD9C3" w:themeFill="background2" w:themeFillShade="E6"/>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664903">
              <w:rPr>
                <w:rFonts w:ascii="Times New Roman" w:hAnsi="Times New Roman" w:cs="Times New Roman"/>
                <w:b/>
                <w:bCs/>
              </w:rPr>
              <w:t xml:space="preserve">Other </w:t>
            </w:r>
            <w:r>
              <w:rPr>
                <w:rFonts w:ascii="Times New Roman" w:hAnsi="Times New Roman" w:cs="Times New Roman"/>
                <w:b/>
                <w:bCs/>
              </w:rPr>
              <w:t>c</w:t>
            </w:r>
            <w:r w:rsidRPr="00664903">
              <w:rPr>
                <w:rFonts w:ascii="Times New Roman" w:hAnsi="Times New Roman" w:cs="Times New Roman"/>
                <w:b/>
                <w:bCs/>
              </w:rPr>
              <w:t>onsiderations:</w:t>
            </w:r>
          </w:p>
          <w:p w14:paraId="7E988992" w14:textId="77777777" w:rsidR="00276EA8" w:rsidRPr="00DC6134" w:rsidRDefault="00276EA8" w:rsidP="00276EA8">
            <w:pPr>
              <w:pStyle w:val="CommentText"/>
              <w:numPr>
                <w:ilvl w:val="0"/>
                <w:numId w:val="22"/>
              </w:numPr>
              <w:shd w:val="clear" w:color="auto" w:fill="DDD9C3" w:themeFill="background2" w:themeFillShade="E6"/>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Pr>
                <w:rFonts w:ascii="Times New Roman" w:hAnsi="Times New Roman" w:cs="Times New Roman"/>
              </w:rPr>
              <w:t>A</w:t>
            </w:r>
            <w:r w:rsidRPr="00664903">
              <w:rPr>
                <w:rFonts w:ascii="Times New Roman" w:hAnsi="Times New Roman" w:cs="Times New Roman"/>
              </w:rPr>
              <w:t>mend</w:t>
            </w:r>
            <w:r>
              <w:rPr>
                <w:rFonts w:ascii="Times New Roman" w:hAnsi="Times New Roman" w:cs="Times New Roman"/>
              </w:rPr>
              <w:t>ed</w:t>
            </w:r>
            <w:r w:rsidRPr="00664903">
              <w:rPr>
                <w:rFonts w:ascii="Times New Roman" w:hAnsi="Times New Roman" w:cs="Times New Roman"/>
              </w:rPr>
              <w:t xml:space="preserve"> credit agreements </w:t>
            </w:r>
            <w:r>
              <w:rPr>
                <w:rFonts w:ascii="Times New Roman" w:hAnsi="Times New Roman" w:cs="Times New Roman"/>
              </w:rPr>
              <w:t xml:space="preserve">may be a material contract. </w:t>
            </w:r>
          </w:p>
          <w:p w14:paraId="3CE29083" w14:textId="77777777" w:rsidR="00276EA8" w:rsidRPr="00DC6134" w:rsidRDefault="00276EA8" w:rsidP="00276EA8">
            <w:pPr>
              <w:cnfStyle w:val="000000000000" w:firstRow="0" w:lastRow="0" w:firstColumn="0" w:lastColumn="0" w:oddVBand="0" w:evenVBand="0" w:oddHBand="0" w:evenHBand="0" w:firstRowFirstColumn="0" w:firstRowLastColumn="0" w:lastRowFirstColumn="0" w:lastRowLastColumn="0"/>
              <w:rPr>
                <w:lang w:eastAsia="zh-TW"/>
              </w:rPr>
            </w:pPr>
          </w:p>
          <w:p w14:paraId="5ACECFC6" w14:textId="77777777" w:rsidR="00276EA8" w:rsidRPr="00D93E09" w:rsidRDefault="00276EA8" w:rsidP="00D93E09">
            <w:pPr>
              <w:shd w:val="clear" w:color="auto" w:fill="EEECE1" w:themeFill="background2"/>
              <w:spacing w:before="120"/>
              <w:textAlignment w:val="baseline"/>
              <w:cnfStyle w:val="000000000000" w:firstRow="0" w:lastRow="0" w:firstColumn="0" w:lastColumn="0" w:oddVBand="0" w:evenVBand="0" w:oddHBand="0" w:evenHBand="0" w:firstRowFirstColumn="0" w:firstRowLastColumn="0" w:lastRowFirstColumn="0" w:lastRowLastColumn="0"/>
              <w:rPr>
                <w:color w:val="000000"/>
                <w:sz w:val="20"/>
                <w:lang w:eastAsia="en-CA"/>
              </w:rPr>
            </w:pPr>
            <w:r w:rsidRPr="00D93E09">
              <w:rPr>
                <w:b/>
                <w:bCs/>
                <w:sz w:val="20"/>
                <w:lang w:eastAsia="zh-TW"/>
              </w:rPr>
              <w:t>Reference: Item 1.6 of Form 51-102F1, Item 12.2 of NI 51-102</w:t>
            </w:r>
          </w:p>
        </w:tc>
      </w:tr>
      <w:tr w:rsidR="00276EA8" w:rsidRPr="00947F30" w14:paraId="0F74BD00" w14:textId="77777777" w:rsidTr="00724DCB">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1980" w:type="dxa"/>
            <w:shd w:val="clear" w:color="auto" w:fill="EEECE1" w:themeFill="background2"/>
          </w:tcPr>
          <w:p w14:paraId="376879E6" w14:textId="77777777" w:rsidR="00276EA8" w:rsidRPr="00664903" w:rsidRDefault="00276EA8" w:rsidP="00276EA8">
            <w:pPr>
              <w:rPr>
                <w:color w:val="000000" w:themeColor="text1"/>
                <w:sz w:val="20"/>
              </w:rPr>
            </w:pPr>
            <w:r w:rsidRPr="00664903">
              <w:rPr>
                <w:bCs w:val="0"/>
                <w:color w:val="000000" w:themeColor="text1"/>
                <w:sz w:val="20"/>
              </w:rPr>
              <w:t>R</w:t>
            </w:r>
            <w:r>
              <w:rPr>
                <w:bCs w:val="0"/>
                <w:color w:val="000000" w:themeColor="text1"/>
                <w:sz w:val="20"/>
              </w:rPr>
              <w:t>isk Factor Disclosure</w:t>
            </w:r>
          </w:p>
          <w:p w14:paraId="3E195082" w14:textId="77777777" w:rsidR="00276EA8" w:rsidRDefault="00276EA8" w:rsidP="00276EA8">
            <w:pPr>
              <w:rPr>
                <w:bCs w:val="0"/>
                <w:color w:val="000000" w:themeColor="text1"/>
                <w:sz w:val="20"/>
              </w:rPr>
            </w:pPr>
          </w:p>
        </w:tc>
        <w:tc>
          <w:tcPr>
            <w:tcW w:w="3402" w:type="dxa"/>
            <w:shd w:val="clear" w:color="auto" w:fill="EEECE1" w:themeFill="background2"/>
          </w:tcPr>
          <w:p w14:paraId="6C3270E7" w14:textId="77777777" w:rsidR="00276EA8" w:rsidRPr="00664903" w:rsidRDefault="00276EA8" w:rsidP="00276EA8">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20"/>
              </w:rPr>
            </w:pPr>
            <w:r w:rsidRPr="00664903">
              <w:rPr>
                <w:sz w:val="20"/>
              </w:rPr>
              <w:t xml:space="preserve">Most issuers updated their risk factors in their MD&amp;A from disclosure provided in annual filings to </w:t>
            </w:r>
            <w:r>
              <w:rPr>
                <w:sz w:val="20"/>
              </w:rPr>
              <w:t>include COVID-19 related disclosure.</w:t>
            </w:r>
          </w:p>
          <w:p w14:paraId="66223A6A" w14:textId="68F1AD3A" w:rsidR="00276EA8" w:rsidRDefault="00276EA8" w:rsidP="00276EA8">
            <w:pPr>
              <w:pStyle w:val="ListParagraph"/>
              <w:numPr>
                <w:ilvl w:val="0"/>
                <w:numId w:val="23"/>
              </w:numPr>
              <w:spacing w:before="120"/>
              <w:cnfStyle w:val="000000100000" w:firstRow="0" w:lastRow="0" w:firstColumn="0" w:lastColumn="0" w:oddVBand="0" w:evenVBand="0" w:oddHBand="1" w:evenHBand="0" w:firstRowFirstColumn="0" w:firstRowLastColumn="0" w:lastRowFirstColumn="0" w:lastRowLastColumn="0"/>
              <w:rPr>
                <w:sz w:val="20"/>
              </w:rPr>
            </w:pPr>
            <w:r>
              <w:rPr>
                <w:sz w:val="20"/>
              </w:rPr>
              <w:t>Over 30% of</w:t>
            </w:r>
            <w:r w:rsidRPr="00664903">
              <w:rPr>
                <w:sz w:val="20"/>
              </w:rPr>
              <w:t xml:space="preserve"> issuers provided “lists” of risks </w:t>
            </w:r>
            <w:r>
              <w:rPr>
                <w:sz w:val="20"/>
              </w:rPr>
              <w:t>or</w:t>
            </w:r>
            <w:r w:rsidRPr="00664903">
              <w:rPr>
                <w:sz w:val="20"/>
              </w:rPr>
              <w:t xml:space="preserve"> disclosures </w:t>
            </w:r>
            <w:r>
              <w:rPr>
                <w:sz w:val="20"/>
              </w:rPr>
              <w:t xml:space="preserve">that </w:t>
            </w:r>
            <w:r w:rsidRPr="00664903">
              <w:rPr>
                <w:sz w:val="20"/>
              </w:rPr>
              <w:t xml:space="preserve">only touched on general economic or societal impacts of COVID-19 and did not describe </w:t>
            </w:r>
            <w:r w:rsidR="00BE57AE">
              <w:rPr>
                <w:sz w:val="20"/>
              </w:rPr>
              <w:t>entity</w:t>
            </w:r>
            <w:r w:rsidRPr="00664903">
              <w:rPr>
                <w:sz w:val="20"/>
              </w:rPr>
              <w:t xml:space="preserve">-specific COVID-19-related risks. </w:t>
            </w:r>
          </w:p>
          <w:p w14:paraId="4A27CEF2" w14:textId="77777777" w:rsidR="00276EA8" w:rsidRDefault="00276EA8" w:rsidP="00276EA8">
            <w:pPr>
              <w:pStyle w:val="ListParagraph"/>
              <w:spacing w:before="120"/>
              <w:ind w:left="360"/>
              <w:cnfStyle w:val="000000100000" w:firstRow="0" w:lastRow="0" w:firstColumn="0" w:lastColumn="0" w:oddVBand="0" w:evenVBand="0" w:oddHBand="1" w:evenHBand="0" w:firstRowFirstColumn="0" w:firstRowLastColumn="0" w:lastRowFirstColumn="0" w:lastRowLastColumn="0"/>
              <w:rPr>
                <w:sz w:val="20"/>
              </w:rPr>
            </w:pPr>
          </w:p>
          <w:p w14:paraId="743AFCF7" w14:textId="77777777" w:rsidR="00276EA8" w:rsidRPr="00E122AE" w:rsidRDefault="00276EA8" w:rsidP="00276EA8">
            <w:pPr>
              <w:cnfStyle w:val="000000100000" w:firstRow="0" w:lastRow="0" w:firstColumn="0" w:lastColumn="0" w:oddVBand="0" w:evenVBand="0" w:oddHBand="1" w:evenHBand="0" w:firstRowFirstColumn="0" w:firstRowLastColumn="0" w:lastRowFirstColumn="0" w:lastRowLastColumn="0"/>
              <w:rPr>
                <w:b/>
                <w:bCs/>
                <w:color w:val="000000" w:themeColor="text1"/>
                <w:sz w:val="20"/>
                <w:lang w:val="en-US"/>
              </w:rPr>
            </w:pPr>
            <w:r w:rsidRPr="00E122AE">
              <w:rPr>
                <w:b/>
                <w:bCs/>
                <w:color w:val="000000" w:themeColor="text1"/>
                <w:sz w:val="20"/>
                <w:lang w:val="en-US"/>
              </w:rPr>
              <w:t xml:space="preserve">Useful </w:t>
            </w:r>
            <w:r>
              <w:rPr>
                <w:b/>
                <w:bCs/>
                <w:color w:val="000000" w:themeColor="text1"/>
                <w:sz w:val="20"/>
                <w:lang w:val="en-US"/>
              </w:rPr>
              <w:t>d</w:t>
            </w:r>
            <w:r w:rsidRPr="00E122AE">
              <w:rPr>
                <w:b/>
                <w:bCs/>
                <w:color w:val="000000" w:themeColor="text1"/>
                <w:sz w:val="20"/>
                <w:lang w:val="en-US"/>
              </w:rPr>
              <w:t xml:space="preserve">isclosure </w:t>
            </w:r>
            <w:r>
              <w:rPr>
                <w:b/>
                <w:bCs/>
                <w:color w:val="000000" w:themeColor="text1"/>
                <w:sz w:val="20"/>
                <w:lang w:val="en-US"/>
              </w:rPr>
              <w:t>o</w:t>
            </w:r>
            <w:r w:rsidRPr="00E122AE">
              <w:rPr>
                <w:b/>
                <w:bCs/>
                <w:color w:val="000000" w:themeColor="text1"/>
                <w:sz w:val="20"/>
                <w:lang w:val="en-US"/>
              </w:rPr>
              <w:t>bserved</w:t>
            </w:r>
            <w:r>
              <w:rPr>
                <w:b/>
                <w:bCs/>
                <w:color w:val="000000" w:themeColor="text1"/>
                <w:sz w:val="20"/>
                <w:lang w:val="en-US"/>
              </w:rPr>
              <w:t>:</w:t>
            </w:r>
          </w:p>
          <w:p w14:paraId="160794E2" w14:textId="77777777" w:rsidR="00276EA8" w:rsidRPr="00664903" w:rsidRDefault="00276EA8" w:rsidP="00276EA8">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0"/>
              </w:rPr>
            </w:pPr>
            <w:r w:rsidRPr="00664903">
              <w:rPr>
                <w:sz w:val="20"/>
              </w:rPr>
              <w:t>Some issuers provided useful disclosure by distinguishing between short term risks and anticipated longer term risks related to the pandemic</w:t>
            </w:r>
            <w:r>
              <w:rPr>
                <w:sz w:val="20"/>
              </w:rPr>
              <w:t>.</w:t>
            </w:r>
          </w:p>
          <w:p w14:paraId="3BE74D09" w14:textId="77777777" w:rsidR="00276EA8" w:rsidRPr="00664903" w:rsidRDefault="00276EA8" w:rsidP="00276EA8">
            <w:pPr>
              <w:pStyle w:val="ListParagraph"/>
              <w:spacing w:before="120"/>
              <w:ind w:left="360"/>
              <w:cnfStyle w:val="000000100000" w:firstRow="0" w:lastRow="0" w:firstColumn="0" w:lastColumn="0" w:oddVBand="0" w:evenVBand="0" w:oddHBand="1" w:evenHBand="0" w:firstRowFirstColumn="0" w:firstRowLastColumn="0" w:lastRowFirstColumn="0" w:lastRowLastColumn="0"/>
              <w:rPr>
                <w:sz w:val="20"/>
              </w:rPr>
            </w:pPr>
          </w:p>
          <w:p w14:paraId="33832F2F" w14:textId="77777777" w:rsidR="00276EA8" w:rsidRPr="00664903" w:rsidRDefault="00276EA8" w:rsidP="00276EA8">
            <w:pPr>
              <w:pStyle w:val="ListParagraph"/>
              <w:cnfStyle w:val="000000100000" w:firstRow="0" w:lastRow="0" w:firstColumn="0" w:lastColumn="0" w:oddVBand="0" w:evenVBand="0" w:oddHBand="1" w:evenHBand="0" w:firstRowFirstColumn="0" w:firstRowLastColumn="0" w:lastRowFirstColumn="0" w:lastRowLastColumn="0"/>
              <w:rPr>
                <w:sz w:val="20"/>
              </w:rPr>
            </w:pPr>
          </w:p>
          <w:p w14:paraId="4AB5DA8B" w14:textId="77777777" w:rsidR="00276EA8" w:rsidRPr="00664903" w:rsidRDefault="00276EA8" w:rsidP="00D93E09">
            <w:pPr>
              <w:pStyle w:val="ListParagraph"/>
              <w:spacing w:after="240"/>
              <w:ind w:left="360"/>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p>
        </w:tc>
        <w:tc>
          <w:tcPr>
            <w:tcW w:w="4399" w:type="dxa"/>
            <w:shd w:val="clear" w:color="auto" w:fill="EEECE1" w:themeFill="background2"/>
          </w:tcPr>
          <w:p w14:paraId="3D8DD060" w14:textId="77777777" w:rsidR="00276EA8" w:rsidRPr="00664903" w:rsidRDefault="00276EA8" w:rsidP="00276EA8">
            <w:pPr>
              <w:pStyle w:val="CommentText"/>
              <w:numPr>
                <w:ilvl w:val="0"/>
                <w:numId w:val="23"/>
              </w:numPr>
              <w:spacing w:after="0"/>
              <w:ind w:left="318" w:hanging="31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Pr>
                <w:rFonts w:ascii="Times New Roman" w:hAnsi="Times New Roman" w:cs="Times New Roman"/>
              </w:rPr>
              <w:t>P</w:t>
            </w:r>
            <w:r w:rsidRPr="00664903">
              <w:rPr>
                <w:rFonts w:ascii="Times New Roman" w:hAnsi="Times New Roman" w:cs="Times New Roman"/>
              </w:rPr>
              <w:t xml:space="preserve">rovide entity specific risk factor disclosure related to COVID-19 in </w:t>
            </w:r>
            <w:r>
              <w:rPr>
                <w:rFonts w:ascii="Times New Roman" w:hAnsi="Times New Roman" w:cs="Times New Roman"/>
              </w:rPr>
              <w:t>enough</w:t>
            </w:r>
            <w:r w:rsidRPr="00664903">
              <w:rPr>
                <w:rFonts w:ascii="Times New Roman" w:hAnsi="Times New Roman" w:cs="Times New Roman"/>
              </w:rPr>
              <w:t xml:space="preserve"> detail to understand the current and potential impact of COVID-19 on the </w:t>
            </w:r>
            <w:r>
              <w:rPr>
                <w:rFonts w:ascii="Times New Roman" w:hAnsi="Times New Roman" w:cs="Times New Roman"/>
              </w:rPr>
              <w:t>i</w:t>
            </w:r>
            <w:r w:rsidRPr="00664903">
              <w:rPr>
                <w:rFonts w:ascii="Times New Roman" w:hAnsi="Times New Roman" w:cs="Times New Roman"/>
              </w:rPr>
              <w:t xml:space="preserve">ssuer’s business.  </w:t>
            </w:r>
          </w:p>
          <w:p w14:paraId="047FD077" w14:textId="77777777" w:rsidR="00276EA8" w:rsidRPr="003B14D7" w:rsidRDefault="00276EA8" w:rsidP="00276EA8">
            <w:pPr>
              <w:pStyle w:val="CommentText"/>
              <w:numPr>
                <w:ilvl w:val="0"/>
                <w:numId w:val="23"/>
              </w:numPr>
              <w:spacing w:after="0"/>
              <w:ind w:left="318" w:hanging="31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Pr>
                <w:rFonts w:ascii="Times New Roman" w:hAnsi="Times New Roman" w:cs="Times New Roman"/>
                <w:color w:val="000000" w:themeColor="text1"/>
                <w:spacing w:val="-5"/>
              </w:rPr>
              <w:t>D</w:t>
            </w:r>
            <w:r w:rsidRPr="00664903">
              <w:rPr>
                <w:rFonts w:ascii="Times New Roman" w:hAnsi="Times New Roman" w:cs="Times New Roman"/>
                <w:color w:val="000000" w:themeColor="text1"/>
                <w:spacing w:val="-5"/>
              </w:rPr>
              <w:t>isclos</w:t>
            </w:r>
            <w:r>
              <w:rPr>
                <w:rFonts w:ascii="Times New Roman" w:hAnsi="Times New Roman" w:cs="Times New Roman"/>
                <w:color w:val="000000" w:themeColor="text1"/>
                <w:spacing w:val="-5"/>
              </w:rPr>
              <w:t xml:space="preserve">ure of </w:t>
            </w:r>
            <w:r w:rsidRPr="00664903">
              <w:rPr>
                <w:rFonts w:ascii="Times New Roman" w:hAnsi="Times New Roman" w:cs="Times New Roman"/>
                <w:color w:val="000000" w:themeColor="text1"/>
                <w:spacing w:val="-5"/>
              </w:rPr>
              <w:t>risks in the order of seriousness from the most serious to least serious help</w:t>
            </w:r>
            <w:r>
              <w:rPr>
                <w:rFonts w:ascii="Times New Roman" w:hAnsi="Times New Roman" w:cs="Times New Roman"/>
                <w:color w:val="000000" w:themeColor="text1"/>
                <w:spacing w:val="-5"/>
              </w:rPr>
              <w:t>s</w:t>
            </w:r>
            <w:r w:rsidRPr="00664903">
              <w:rPr>
                <w:rFonts w:ascii="Times New Roman" w:hAnsi="Times New Roman" w:cs="Times New Roman"/>
                <w:color w:val="000000" w:themeColor="text1"/>
                <w:spacing w:val="-5"/>
              </w:rPr>
              <w:t xml:space="preserve"> investors understand how management views the importance of such risks. (Note that this is a requirement for disclosure of risks in an issuer’s AIF</w:t>
            </w:r>
            <w:r>
              <w:rPr>
                <w:rFonts w:ascii="Times New Roman" w:hAnsi="Times New Roman" w:cs="Times New Roman"/>
                <w:color w:val="000000" w:themeColor="text1"/>
                <w:spacing w:val="-5"/>
              </w:rPr>
              <w:t>).</w:t>
            </w:r>
          </w:p>
          <w:p w14:paraId="366D13B0" w14:textId="77777777" w:rsidR="00276EA8" w:rsidRPr="00664903" w:rsidRDefault="00276EA8" w:rsidP="00276EA8">
            <w:pPr>
              <w:pStyle w:val="CommentText"/>
              <w:spacing w:before="120" w:after="0"/>
              <w:ind w:left="31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p>
          <w:p w14:paraId="11991218" w14:textId="77777777" w:rsidR="00276EA8" w:rsidRPr="00664903" w:rsidRDefault="00276EA8" w:rsidP="00276EA8">
            <w:pPr>
              <w:pStyle w:val="CommentText"/>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pacing w:val="-5"/>
              </w:rPr>
            </w:pPr>
            <w:r w:rsidRPr="00664903">
              <w:rPr>
                <w:rFonts w:ascii="Times New Roman" w:hAnsi="Times New Roman" w:cs="Times New Roman"/>
                <w:b/>
                <w:bCs/>
                <w:color w:val="000000" w:themeColor="text1"/>
                <w:spacing w:val="-5"/>
              </w:rPr>
              <w:t>Issuers should consider the impacts of:</w:t>
            </w:r>
          </w:p>
          <w:p w14:paraId="3857DD50" w14:textId="77777777" w:rsidR="00276EA8" w:rsidRPr="00664903" w:rsidRDefault="00276EA8" w:rsidP="00276EA8">
            <w:pPr>
              <w:pStyle w:val="CommentText"/>
              <w:numPr>
                <w:ilvl w:val="0"/>
                <w:numId w:val="23"/>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Disruptions to day-day operations resulting from health and safety measures and government</w:t>
            </w:r>
            <w:r w:rsidR="002210E9">
              <w:rPr>
                <w:rFonts w:ascii="Times New Roman" w:hAnsi="Times New Roman" w:cs="Times New Roman"/>
                <w:color w:val="000000" w:themeColor="text1"/>
                <w:spacing w:val="-5"/>
              </w:rPr>
              <w:t>-</w:t>
            </w:r>
            <w:r w:rsidRPr="00664903">
              <w:rPr>
                <w:rFonts w:ascii="Times New Roman" w:hAnsi="Times New Roman" w:cs="Times New Roman"/>
                <w:color w:val="000000" w:themeColor="text1"/>
                <w:spacing w:val="-5"/>
              </w:rPr>
              <w:t>imposed closures</w:t>
            </w:r>
          </w:p>
          <w:p w14:paraId="1DD2218D" w14:textId="77777777" w:rsidR="00276EA8" w:rsidRPr="00664903" w:rsidRDefault="00276EA8" w:rsidP="00276EA8">
            <w:pPr>
              <w:pStyle w:val="CommentText"/>
              <w:numPr>
                <w:ilvl w:val="0"/>
                <w:numId w:val="23"/>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Human resource/staff constraints</w:t>
            </w:r>
          </w:p>
          <w:p w14:paraId="215DEFBF" w14:textId="77777777" w:rsidR="00276EA8" w:rsidRPr="00664903" w:rsidRDefault="00276EA8" w:rsidP="00276EA8">
            <w:pPr>
              <w:pStyle w:val="CommentText"/>
              <w:numPr>
                <w:ilvl w:val="0"/>
                <w:numId w:val="23"/>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Cybersecurity or information technology risks that may be heightened with the pandemic</w:t>
            </w:r>
          </w:p>
          <w:p w14:paraId="2BC33DD7" w14:textId="77777777" w:rsidR="00276EA8" w:rsidRPr="00664903" w:rsidRDefault="00276EA8" w:rsidP="00276EA8">
            <w:pPr>
              <w:pStyle w:val="CommentText"/>
              <w:numPr>
                <w:ilvl w:val="0"/>
                <w:numId w:val="23"/>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Ability to sustain changes in revenues/expenses/negative cash flow from operations</w:t>
            </w:r>
          </w:p>
          <w:p w14:paraId="7C283792" w14:textId="77777777" w:rsidR="00276EA8" w:rsidRPr="00664903" w:rsidRDefault="00276EA8" w:rsidP="00276EA8">
            <w:pPr>
              <w:pStyle w:val="CommentText"/>
              <w:numPr>
                <w:ilvl w:val="0"/>
                <w:numId w:val="23"/>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 xml:space="preserve">Changes in consumer demand </w:t>
            </w:r>
          </w:p>
          <w:p w14:paraId="2DE8CD68" w14:textId="77777777" w:rsidR="00276EA8" w:rsidRPr="00664903" w:rsidRDefault="00276EA8" w:rsidP="00276EA8">
            <w:pPr>
              <w:pStyle w:val="CommentText"/>
              <w:numPr>
                <w:ilvl w:val="0"/>
                <w:numId w:val="23"/>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Ability to access government funding</w:t>
            </w:r>
          </w:p>
          <w:p w14:paraId="571CE1E0" w14:textId="77777777" w:rsidR="00276EA8" w:rsidRPr="00664903" w:rsidRDefault="00276EA8" w:rsidP="00276EA8">
            <w:pPr>
              <w:pStyle w:val="CommentText"/>
              <w:numPr>
                <w:ilvl w:val="0"/>
                <w:numId w:val="23"/>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 xml:space="preserve">Requirements under lending agreements </w:t>
            </w:r>
          </w:p>
          <w:p w14:paraId="0A123914" w14:textId="77777777" w:rsidR="00276EA8" w:rsidRPr="00664903" w:rsidRDefault="00276EA8" w:rsidP="00276EA8">
            <w:pPr>
              <w:pStyle w:val="CommentText"/>
              <w:numPr>
                <w:ilvl w:val="0"/>
                <w:numId w:val="23"/>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Changes in commodity prices</w:t>
            </w:r>
          </w:p>
          <w:p w14:paraId="78245A8D" w14:textId="77777777" w:rsidR="00276EA8" w:rsidRPr="00664903" w:rsidRDefault="00276EA8" w:rsidP="00276EA8">
            <w:pPr>
              <w:pStyle w:val="CommentText"/>
              <w:numPr>
                <w:ilvl w:val="0"/>
                <w:numId w:val="23"/>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Volatility in the capital markets and access to financing and capital on reasonable terms</w:t>
            </w:r>
          </w:p>
          <w:p w14:paraId="25B2CC75" w14:textId="77777777" w:rsidR="00276EA8" w:rsidRPr="00664903" w:rsidRDefault="00276EA8" w:rsidP="00276EA8">
            <w:pPr>
              <w:pStyle w:val="CommentText"/>
              <w:numPr>
                <w:ilvl w:val="0"/>
                <w:numId w:val="23"/>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Limitations on the ability of issuers</w:t>
            </w:r>
            <w:r>
              <w:rPr>
                <w:rFonts w:ascii="Times New Roman" w:hAnsi="Times New Roman" w:cs="Times New Roman"/>
                <w:color w:val="000000" w:themeColor="text1"/>
                <w:spacing w:val="-5"/>
              </w:rPr>
              <w:t>’</w:t>
            </w:r>
            <w:r w:rsidRPr="00664903">
              <w:rPr>
                <w:rFonts w:ascii="Times New Roman" w:hAnsi="Times New Roman" w:cs="Times New Roman"/>
                <w:color w:val="000000" w:themeColor="text1"/>
                <w:spacing w:val="-5"/>
              </w:rPr>
              <w:t xml:space="preserve"> customers to perform and make timely payments</w:t>
            </w:r>
          </w:p>
          <w:p w14:paraId="575A7A72" w14:textId="77777777" w:rsidR="00276EA8" w:rsidRPr="00664903" w:rsidRDefault="00276EA8" w:rsidP="00276EA8">
            <w:pPr>
              <w:pStyle w:val="CommentText"/>
              <w:numPr>
                <w:ilvl w:val="0"/>
                <w:numId w:val="23"/>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 xml:space="preserve">Reliance on major customers that have decreased operations </w:t>
            </w:r>
          </w:p>
          <w:p w14:paraId="45184E5E" w14:textId="77777777" w:rsidR="00276EA8" w:rsidRPr="00664903" w:rsidRDefault="00276EA8" w:rsidP="00276EA8">
            <w:pPr>
              <w:pStyle w:val="CommentText"/>
              <w:numPr>
                <w:ilvl w:val="0"/>
                <w:numId w:val="23"/>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Disruption to supply chains</w:t>
            </w:r>
          </w:p>
          <w:p w14:paraId="508335A7" w14:textId="77777777" w:rsidR="00276EA8" w:rsidRPr="00664903" w:rsidRDefault="00276EA8" w:rsidP="00276EA8">
            <w:pPr>
              <w:pStyle w:val="CommentText"/>
              <w:numPr>
                <w:ilvl w:val="0"/>
                <w:numId w:val="23"/>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Temporary or longer</w:t>
            </w:r>
            <w:r>
              <w:rPr>
                <w:rFonts w:ascii="Times New Roman" w:hAnsi="Times New Roman" w:cs="Times New Roman"/>
                <w:color w:val="000000" w:themeColor="text1"/>
                <w:spacing w:val="-5"/>
              </w:rPr>
              <w:t>-t</w:t>
            </w:r>
            <w:r w:rsidRPr="00664903">
              <w:rPr>
                <w:rFonts w:ascii="Times New Roman" w:hAnsi="Times New Roman" w:cs="Times New Roman"/>
                <w:color w:val="000000" w:themeColor="text1"/>
                <w:spacing w:val="-5"/>
              </w:rPr>
              <w:t>erm delays to projects and development plans</w:t>
            </w:r>
          </w:p>
          <w:p w14:paraId="54AE28C6" w14:textId="77777777" w:rsidR="00276EA8" w:rsidRPr="00664903" w:rsidRDefault="00276EA8" w:rsidP="00276EA8">
            <w:pPr>
              <w:pStyle w:val="CommentText"/>
              <w:numPr>
                <w:ilvl w:val="0"/>
                <w:numId w:val="23"/>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Financial statement impacts related to restructuring, impairment and measurement uncertainty</w:t>
            </w:r>
          </w:p>
          <w:p w14:paraId="385F1D5B" w14:textId="77777777" w:rsidR="00276EA8" w:rsidRPr="00664903" w:rsidRDefault="00276EA8" w:rsidP="00276EA8">
            <w:pPr>
              <w:pStyle w:val="CommentText"/>
              <w:numPr>
                <w:ilvl w:val="0"/>
                <w:numId w:val="23"/>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Change to consumer behaviour resulting from the pandemic and impact to future operations</w:t>
            </w:r>
          </w:p>
          <w:p w14:paraId="33F5F557" w14:textId="77777777" w:rsidR="00276EA8" w:rsidRPr="00664903" w:rsidRDefault="00276EA8" w:rsidP="00276EA8">
            <w:pPr>
              <w:pStyle w:val="CommentText"/>
              <w:numPr>
                <w:ilvl w:val="0"/>
                <w:numId w:val="23"/>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Additional litigation risks resulting from the pandemic</w:t>
            </w:r>
          </w:p>
          <w:p w14:paraId="7DD1D6CE" w14:textId="77777777" w:rsidR="00276EA8" w:rsidRPr="007C6565" w:rsidRDefault="00276EA8" w:rsidP="00276EA8">
            <w:pPr>
              <w:pStyle w:val="CommentText"/>
              <w:numPr>
                <w:ilvl w:val="0"/>
                <w:numId w:val="23"/>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664903">
              <w:rPr>
                <w:rFonts w:ascii="Times New Roman" w:hAnsi="Times New Roman" w:cs="Times New Roman"/>
                <w:color w:val="000000" w:themeColor="text1"/>
                <w:spacing w:val="-5"/>
              </w:rPr>
              <w:t xml:space="preserve">The issuer’s ability to recover from the pandemic that may </w:t>
            </w:r>
            <w:r>
              <w:rPr>
                <w:rFonts w:ascii="Times New Roman" w:hAnsi="Times New Roman" w:cs="Times New Roman"/>
                <w:color w:val="000000" w:themeColor="text1"/>
                <w:spacing w:val="-5"/>
              </w:rPr>
              <w:t>be unique to the issuer or its industry</w:t>
            </w:r>
          </w:p>
          <w:p w14:paraId="762A929F" w14:textId="77777777" w:rsidR="00276EA8" w:rsidRDefault="00276EA8" w:rsidP="00276EA8">
            <w:pPr>
              <w:pStyle w:val="CommentText"/>
              <w:shd w:val="clear" w:color="auto" w:fill="EEECE1" w:themeFill="background2"/>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p>
          <w:p w14:paraId="5A47CC48" w14:textId="77777777" w:rsidR="00276EA8" w:rsidRPr="00724DCB" w:rsidRDefault="00276EA8" w:rsidP="00D93E09">
            <w:pPr>
              <w:shd w:val="clear" w:color="auto" w:fill="EEECE1" w:themeFill="background2"/>
              <w:spacing w:before="120"/>
              <w:textAlignment w:val="baseline"/>
              <w:cnfStyle w:val="000000100000" w:firstRow="0" w:lastRow="0" w:firstColumn="0" w:lastColumn="0" w:oddVBand="0" w:evenVBand="0" w:oddHBand="1" w:evenHBand="0" w:firstRowFirstColumn="0" w:firstRowLastColumn="0" w:lastRowFirstColumn="0" w:lastRowLastColumn="0"/>
              <w:rPr>
                <w:color w:val="000000"/>
                <w:sz w:val="20"/>
                <w:lang w:eastAsia="en-CA"/>
              </w:rPr>
            </w:pPr>
            <w:r w:rsidRPr="00D93E09">
              <w:rPr>
                <w:b/>
                <w:bCs/>
                <w:color w:val="000000" w:themeColor="text1"/>
                <w:spacing w:val="-5"/>
                <w:sz w:val="20"/>
              </w:rPr>
              <w:t>Reference: Part 1,</w:t>
            </w:r>
            <w:r w:rsidR="002210E9">
              <w:rPr>
                <w:b/>
                <w:bCs/>
                <w:color w:val="000000" w:themeColor="text1"/>
                <w:spacing w:val="-5"/>
                <w:sz w:val="20"/>
              </w:rPr>
              <w:t xml:space="preserve"> </w:t>
            </w:r>
            <w:r w:rsidRPr="00D93E09">
              <w:rPr>
                <w:b/>
                <w:bCs/>
                <w:color w:val="000000" w:themeColor="text1"/>
                <w:spacing w:val="-5"/>
                <w:sz w:val="20"/>
              </w:rPr>
              <w:t xml:space="preserve">Item 1.4 of Form 51-102F1, Item 5.2 of Form 51-102F2 </w:t>
            </w:r>
          </w:p>
        </w:tc>
      </w:tr>
    </w:tbl>
    <w:p w14:paraId="297F0377" w14:textId="77777777" w:rsidR="006355FB" w:rsidRDefault="00646FE1" w:rsidP="00D93E09">
      <w:pPr>
        <w:rPr>
          <w:b/>
          <w:bCs/>
          <w:color w:val="1F497D" w:themeColor="text2"/>
          <w:sz w:val="28"/>
          <w:szCs w:val="28"/>
        </w:rPr>
      </w:pPr>
      <w:bookmarkStart w:id="8" w:name="_Toc62334910"/>
      <w:r>
        <w:rPr>
          <w:b/>
          <w:bCs/>
          <w:color w:val="1F497D" w:themeColor="text2"/>
          <w:sz w:val="28"/>
          <w:szCs w:val="28"/>
        </w:rPr>
        <w:t>A</w:t>
      </w:r>
      <w:r w:rsidR="006355FB" w:rsidRPr="006355FB">
        <w:rPr>
          <w:b/>
          <w:bCs/>
          <w:color w:val="1F497D" w:themeColor="text2"/>
          <w:sz w:val="28"/>
          <w:szCs w:val="28"/>
        </w:rPr>
        <w:t>.</w:t>
      </w:r>
      <w:r>
        <w:rPr>
          <w:b/>
          <w:bCs/>
          <w:color w:val="1F497D" w:themeColor="text2"/>
          <w:sz w:val="28"/>
          <w:szCs w:val="28"/>
        </w:rPr>
        <w:t>2</w:t>
      </w:r>
      <w:r w:rsidR="006355FB" w:rsidRPr="006355FB">
        <w:rPr>
          <w:b/>
          <w:bCs/>
          <w:color w:val="1F497D" w:themeColor="text2"/>
          <w:sz w:val="28"/>
          <w:szCs w:val="28"/>
        </w:rPr>
        <w:t xml:space="preserve"> Financial Statements</w:t>
      </w:r>
      <w:bookmarkEnd w:id="8"/>
      <w:r w:rsidR="006355FB" w:rsidRPr="006355FB">
        <w:rPr>
          <w:b/>
          <w:bCs/>
          <w:color w:val="1F497D" w:themeColor="text2"/>
          <w:sz w:val="28"/>
          <w:szCs w:val="28"/>
        </w:rPr>
        <w:t xml:space="preserve"> </w:t>
      </w:r>
    </w:p>
    <w:p w14:paraId="08B4AB79" w14:textId="77777777" w:rsidR="002210E9" w:rsidRDefault="002210E9" w:rsidP="00D93E09">
      <w:pPr>
        <w:rPr>
          <w:b/>
          <w:bCs/>
          <w:color w:val="1F497D" w:themeColor="text2"/>
          <w:sz w:val="28"/>
          <w:szCs w:val="28"/>
        </w:rPr>
      </w:pPr>
    </w:p>
    <w:p w14:paraId="16230020" w14:textId="77777777" w:rsidR="008643D9" w:rsidRPr="0017147E" w:rsidRDefault="008643D9" w:rsidP="008643D9">
      <w:pPr>
        <w:spacing w:after="240"/>
        <w:jc w:val="both"/>
        <w:rPr>
          <w:sz w:val="22"/>
          <w:szCs w:val="22"/>
        </w:rPr>
      </w:pPr>
      <w:r w:rsidRPr="0017147E">
        <w:rPr>
          <w:sz w:val="22"/>
          <w:szCs w:val="22"/>
        </w:rPr>
        <w:t>The impact of COVID-19 could be significant for many businesses. Given the continued impact of COVID-19, there is a higher degree of uncertainty in determining reasonable and supportable assumptions used in preparing financial statements. Management should carefully consider the impact of COVID-19 on each of the following key aspects in the financial statements.</w:t>
      </w:r>
    </w:p>
    <w:tbl>
      <w:tblPr>
        <w:tblStyle w:val="GridTable4-Accent6"/>
        <w:tblW w:w="9781"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6" w:space="0" w:color="1F497D" w:themeColor="text2"/>
          <w:insideV w:val="single" w:sz="6" w:space="0" w:color="1F497D" w:themeColor="text2"/>
        </w:tblBorders>
        <w:shd w:val="clear" w:color="auto" w:fill="EEECE1" w:themeFill="background2"/>
        <w:tblLook w:val="04A0" w:firstRow="1" w:lastRow="0" w:firstColumn="1" w:lastColumn="0" w:noHBand="0" w:noVBand="1"/>
      </w:tblPr>
      <w:tblGrid>
        <w:gridCol w:w="1862"/>
        <w:gridCol w:w="3378"/>
        <w:gridCol w:w="4541"/>
      </w:tblGrid>
      <w:tr w:rsidR="008643D9" w:rsidRPr="00947F30" w14:paraId="7A99C3E1" w14:textId="77777777" w:rsidTr="00E5467D">
        <w:trPr>
          <w:cnfStyle w:val="100000000000" w:firstRow="1" w:lastRow="0" w:firstColumn="0" w:lastColumn="0" w:oddVBand="0" w:evenVBand="0" w:oddHBand="0" w:evenHBand="0" w:firstRowFirstColumn="0" w:firstRowLastColumn="0" w:lastRowFirstColumn="0" w:lastRowLastColumn="0"/>
          <w:trHeight w:val="339"/>
          <w:tblHeader/>
        </w:trPr>
        <w:tc>
          <w:tcPr>
            <w:cnfStyle w:val="001000000000" w:firstRow="0" w:lastRow="0" w:firstColumn="1" w:lastColumn="0" w:oddVBand="0" w:evenVBand="0" w:oddHBand="0" w:evenHBand="0" w:firstRowFirstColumn="0" w:firstRowLastColumn="0" w:lastRowFirstColumn="0" w:lastRowLastColumn="0"/>
            <w:tcW w:w="1862" w:type="dxa"/>
            <w:tcBorders>
              <w:top w:val="single" w:sz="4" w:space="0" w:color="1F497D" w:themeColor="text2"/>
              <w:left w:val="none" w:sz="0" w:space="0" w:color="auto"/>
              <w:bottom w:val="single" w:sz="6" w:space="0" w:color="1F497D" w:themeColor="text2"/>
              <w:right w:val="none" w:sz="0" w:space="0" w:color="auto"/>
            </w:tcBorders>
            <w:shd w:val="clear" w:color="auto" w:fill="4F81BD" w:themeFill="accent1"/>
          </w:tcPr>
          <w:p w14:paraId="57C883D2" w14:textId="77777777" w:rsidR="008643D9" w:rsidRPr="00947F30" w:rsidRDefault="008643D9" w:rsidP="00E5467D">
            <w:pPr>
              <w:spacing w:line="276" w:lineRule="auto"/>
              <w:jc w:val="center"/>
              <w:rPr>
                <w:sz w:val="20"/>
                <w:lang w:val="en-US"/>
              </w:rPr>
            </w:pPr>
            <w:r w:rsidRPr="00947F30">
              <w:rPr>
                <w:sz w:val="20"/>
                <w:lang w:val="en-US"/>
              </w:rPr>
              <w:t>Focus Area</w:t>
            </w:r>
          </w:p>
        </w:tc>
        <w:tc>
          <w:tcPr>
            <w:tcW w:w="3378" w:type="dxa"/>
            <w:tcBorders>
              <w:top w:val="single" w:sz="4" w:space="0" w:color="1F497D" w:themeColor="text2"/>
              <w:left w:val="none" w:sz="0" w:space="0" w:color="auto"/>
              <w:bottom w:val="single" w:sz="6" w:space="0" w:color="1F497D" w:themeColor="text2"/>
              <w:right w:val="none" w:sz="0" w:space="0" w:color="auto"/>
            </w:tcBorders>
            <w:shd w:val="clear" w:color="auto" w:fill="4F81BD" w:themeFill="accent1"/>
          </w:tcPr>
          <w:p w14:paraId="4275F1F8" w14:textId="77777777" w:rsidR="008643D9" w:rsidRPr="00947F30" w:rsidRDefault="008643D9" w:rsidP="00E5467D">
            <w:pPr>
              <w:spacing w:line="276" w:lineRule="auto"/>
              <w:jc w:val="center"/>
              <w:cnfStyle w:val="100000000000" w:firstRow="1" w:lastRow="0" w:firstColumn="0" w:lastColumn="0" w:oddVBand="0" w:evenVBand="0" w:oddHBand="0" w:evenHBand="0" w:firstRowFirstColumn="0" w:firstRowLastColumn="0" w:lastRowFirstColumn="0" w:lastRowLastColumn="0"/>
              <w:rPr>
                <w:sz w:val="20"/>
                <w:lang w:val="en-US"/>
              </w:rPr>
            </w:pPr>
            <w:r w:rsidRPr="00947F30">
              <w:rPr>
                <w:sz w:val="20"/>
                <w:lang w:val="en-US"/>
              </w:rPr>
              <w:t>Observations</w:t>
            </w:r>
            <w:r>
              <w:rPr>
                <w:sz w:val="20"/>
                <w:lang w:val="en-US"/>
              </w:rPr>
              <w:t xml:space="preserve"> </w:t>
            </w:r>
          </w:p>
        </w:tc>
        <w:tc>
          <w:tcPr>
            <w:tcW w:w="4541" w:type="dxa"/>
            <w:tcBorders>
              <w:top w:val="single" w:sz="4" w:space="0" w:color="1F497D" w:themeColor="text2"/>
              <w:left w:val="none" w:sz="0" w:space="0" w:color="auto"/>
              <w:bottom w:val="single" w:sz="6" w:space="0" w:color="1F497D" w:themeColor="text2"/>
              <w:right w:val="none" w:sz="0" w:space="0" w:color="auto"/>
            </w:tcBorders>
            <w:shd w:val="clear" w:color="auto" w:fill="4F81BD" w:themeFill="accent1"/>
          </w:tcPr>
          <w:p w14:paraId="41D09966" w14:textId="77777777" w:rsidR="008643D9" w:rsidRPr="00947F30" w:rsidRDefault="008643D9" w:rsidP="00E5467D">
            <w:pPr>
              <w:spacing w:line="276" w:lineRule="auto"/>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Considerations</w:t>
            </w:r>
          </w:p>
        </w:tc>
      </w:tr>
      <w:tr w:rsidR="008643D9" w:rsidRPr="00947F30" w14:paraId="7918839C" w14:textId="77777777" w:rsidTr="00E5467D">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1862" w:type="dxa"/>
            <w:shd w:val="clear" w:color="auto" w:fill="EEECE1" w:themeFill="background2"/>
          </w:tcPr>
          <w:p w14:paraId="77FC892B" w14:textId="77777777" w:rsidR="008643D9" w:rsidRPr="005362CD" w:rsidRDefault="008643D9" w:rsidP="00E5467D">
            <w:pPr>
              <w:rPr>
                <w:color w:val="000000" w:themeColor="text1"/>
                <w:sz w:val="20"/>
              </w:rPr>
            </w:pPr>
            <w:r>
              <w:rPr>
                <w:sz w:val="20"/>
                <w:lang w:eastAsia="fr-CA"/>
              </w:rPr>
              <w:t>Impairment of Non-financial Assets</w:t>
            </w:r>
          </w:p>
        </w:tc>
        <w:tc>
          <w:tcPr>
            <w:tcW w:w="3378" w:type="dxa"/>
            <w:shd w:val="clear" w:color="auto" w:fill="EEECE1" w:themeFill="background2"/>
          </w:tcPr>
          <w:p w14:paraId="2E272F55" w14:textId="77777777" w:rsidR="008643D9" w:rsidRDefault="008643D9" w:rsidP="00E5467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 w:val="20"/>
                <w:lang w:eastAsia="fr-CA"/>
              </w:rPr>
            </w:pPr>
            <w:r>
              <w:rPr>
                <w:sz w:val="20"/>
                <w:lang w:eastAsia="fr-CA"/>
              </w:rPr>
              <w:t>E</w:t>
            </w:r>
            <w:r w:rsidRPr="002A7D28">
              <w:rPr>
                <w:sz w:val="20"/>
                <w:lang w:eastAsia="fr-CA"/>
              </w:rPr>
              <w:t>vents and circumstances</w:t>
            </w:r>
            <w:r w:rsidRPr="005362CD">
              <w:rPr>
                <w:sz w:val="20"/>
                <w:lang w:eastAsia="fr-CA"/>
              </w:rPr>
              <w:t xml:space="preserve"> </w:t>
            </w:r>
            <w:r>
              <w:rPr>
                <w:sz w:val="20"/>
                <w:lang w:eastAsia="fr-CA"/>
              </w:rPr>
              <w:t xml:space="preserve">most </w:t>
            </w:r>
            <w:r w:rsidRPr="005362CD">
              <w:rPr>
                <w:sz w:val="20"/>
                <w:lang w:eastAsia="fr-CA"/>
              </w:rPr>
              <w:t>commonly identified</w:t>
            </w:r>
            <w:r w:rsidR="00426CCE" w:rsidRPr="005362CD">
              <w:rPr>
                <w:sz w:val="20"/>
                <w:lang w:eastAsia="fr-CA"/>
              </w:rPr>
              <w:t xml:space="preserve"> by issuers</w:t>
            </w:r>
            <w:r w:rsidRPr="005362CD">
              <w:rPr>
                <w:sz w:val="20"/>
                <w:lang w:eastAsia="fr-CA"/>
              </w:rPr>
              <w:t xml:space="preserve"> </w:t>
            </w:r>
            <w:r w:rsidR="00426CCE">
              <w:rPr>
                <w:sz w:val="20"/>
                <w:lang w:eastAsia="fr-CA"/>
              </w:rPr>
              <w:t>as indications of impairment and</w:t>
            </w:r>
            <w:r w:rsidR="00426CCE" w:rsidRPr="005362CD">
              <w:rPr>
                <w:sz w:val="20"/>
                <w:lang w:eastAsia="fr-CA"/>
              </w:rPr>
              <w:t xml:space="preserve"> </w:t>
            </w:r>
            <w:r>
              <w:rPr>
                <w:sz w:val="20"/>
                <w:lang w:eastAsia="fr-CA"/>
              </w:rPr>
              <w:t xml:space="preserve">that led to the recognition of impairment losses in connection with COVID-19 </w:t>
            </w:r>
            <w:r w:rsidRPr="005362CD">
              <w:rPr>
                <w:sz w:val="20"/>
                <w:lang w:eastAsia="fr-CA"/>
              </w:rPr>
              <w:t>include</w:t>
            </w:r>
            <w:r>
              <w:rPr>
                <w:sz w:val="20"/>
                <w:lang w:eastAsia="fr-CA"/>
              </w:rPr>
              <w:t>d: d</w:t>
            </w:r>
            <w:r w:rsidRPr="00C14B79">
              <w:rPr>
                <w:sz w:val="20"/>
                <w:lang w:eastAsia="fr-CA"/>
              </w:rPr>
              <w:t xml:space="preserve">ecreased demand for the </w:t>
            </w:r>
            <w:r>
              <w:rPr>
                <w:sz w:val="20"/>
                <w:lang w:eastAsia="fr-CA"/>
              </w:rPr>
              <w:t>issuer</w:t>
            </w:r>
            <w:r w:rsidRPr="00C14B79">
              <w:rPr>
                <w:sz w:val="20"/>
                <w:lang w:eastAsia="fr-CA"/>
              </w:rPr>
              <w:t>’s products or services</w:t>
            </w:r>
            <w:r>
              <w:rPr>
                <w:sz w:val="20"/>
                <w:lang w:eastAsia="fr-CA"/>
              </w:rPr>
              <w:t>, s</w:t>
            </w:r>
            <w:r w:rsidRPr="00C14B79">
              <w:rPr>
                <w:sz w:val="20"/>
                <w:lang w:eastAsia="fr-CA"/>
              </w:rPr>
              <w:t>ignifica</w:t>
            </w:r>
            <w:r>
              <w:rPr>
                <w:sz w:val="20"/>
                <w:lang w:eastAsia="fr-CA"/>
              </w:rPr>
              <w:t xml:space="preserve">nt </w:t>
            </w:r>
            <w:r w:rsidRPr="00C14B79">
              <w:rPr>
                <w:sz w:val="20"/>
                <w:lang w:eastAsia="fr-CA"/>
              </w:rPr>
              <w:t>customers experiencing financial difficulties</w:t>
            </w:r>
            <w:r>
              <w:rPr>
                <w:sz w:val="20"/>
                <w:lang w:eastAsia="fr-CA"/>
              </w:rPr>
              <w:t xml:space="preserve"> and i</w:t>
            </w:r>
            <w:r w:rsidRPr="00C14B79">
              <w:rPr>
                <w:sz w:val="20"/>
                <w:lang w:eastAsia="fr-CA"/>
              </w:rPr>
              <w:t>ncreased costs/business interruption due to supply chain issues</w:t>
            </w:r>
            <w:r>
              <w:rPr>
                <w:sz w:val="20"/>
                <w:lang w:eastAsia="fr-CA"/>
              </w:rPr>
              <w:t>.</w:t>
            </w:r>
          </w:p>
          <w:p w14:paraId="304F9B55" w14:textId="25CD0E5B" w:rsidR="008643D9" w:rsidRDefault="008643D9" w:rsidP="00E5467D">
            <w:pPr>
              <w:pStyle w:val="ListParagraph"/>
              <w:numPr>
                <w:ilvl w:val="0"/>
                <w:numId w:val="6"/>
              </w:numPr>
              <w:spacing w:before="120"/>
              <w:cnfStyle w:val="000000100000" w:firstRow="0" w:lastRow="0" w:firstColumn="0" w:lastColumn="0" w:oddVBand="0" w:evenVBand="0" w:oddHBand="1" w:evenHBand="0" w:firstRowFirstColumn="0" w:firstRowLastColumn="0" w:lastRowFirstColumn="0" w:lastRowLastColumn="0"/>
              <w:rPr>
                <w:sz w:val="20"/>
                <w:lang w:eastAsia="fr-CA"/>
              </w:rPr>
            </w:pPr>
            <w:r>
              <w:rPr>
                <w:sz w:val="20"/>
                <w:lang w:eastAsia="fr-CA"/>
              </w:rPr>
              <w:t>A few</w:t>
            </w:r>
            <w:r w:rsidRPr="005362CD">
              <w:rPr>
                <w:sz w:val="20"/>
                <w:lang w:eastAsia="fr-CA"/>
              </w:rPr>
              <w:t xml:space="preserve"> issuers did not identify </w:t>
            </w:r>
            <w:r w:rsidR="00370091">
              <w:rPr>
                <w:sz w:val="20"/>
                <w:lang w:eastAsia="fr-CA"/>
              </w:rPr>
              <w:t xml:space="preserve">the events or circumstances that led to an </w:t>
            </w:r>
            <w:r w:rsidRPr="005362CD">
              <w:rPr>
                <w:sz w:val="20"/>
                <w:lang w:eastAsia="fr-CA"/>
              </w:rPr>
              <w:t xml:space="preserve">impairment or </w:t>
            </w:r>
            <w:r w:rsidR="00315321">
              <w:rPr>
                <w:sz w:val="20"/>
                <w:lang w:eastAsia="fr-CA"/>
              </w:rPr>
              <w:t>simply</w:t>
            </w:r>
            <w:r>
              <w:rPr>
                <w:sz w:val="20"/>
                <w:lang w:eastAsia="fr-CA"/>
              </w:rPr>
              <w:t xml:space="preserve"> noted</w:t>
            </w:r>
            <w:r w:rsidRPr="005362CD">
              <w:rPr>
                <w:sz w:val="20"/>
                <w:lang w:eastAsia="fr-CA"/>
              </w:rPr>
              <w:t xml:space="preserve"> “negative economic impacts of COVID-19” as an impairment indicator for all </w:t>
            </w:r>
            <w:r w:rsidR="001116F1" w:rsidRPr="00EC0AD5">
              <w:rPr>
                <w:sz w:val="20"/>
                <w:lang w:eastAsia="fr-CA"/>
              </w:rPr>
              <w:t>CGU</w:t>
            </w:r>
            <w:r w:rsidR="001116F1">
              <w:rPr>
                <w:sz w:val="20"/>
                <w:lang w:eastAsia="fr-CA"/>
              </w:rPr>
              <w:t>s</w:t>
            </w:r>
            <w:r w:rsidRPr="005362CD">
              <w:rPr>
                <w:sz w:val="20"/>
                <w:lang w:eastAsia="fr-CA"/>
              </w:rPr>
              <w:t xml:space="preserve"> but did not elaborate on those impacts.</w:t>
            </w:r>
          </w:p>
          <w:p w14:paraId="7906E258" w14:textId="77777777" w:rsidR="008643D9" w:rsidRDefault="008643D9" w:rsidP="00E5467D">
            <w:pPr>
              <w:pStyle w:val="ListParagraph"/>
              <w:numPr>
                <w:ilvl w:val="0"/>
                <w:numId w:val="6"/>
              </w:numPr>
              <w:spacing w:before="120"/>
              <w:cnfStyle w:val="000000100000" w:firstRow="0" w:lastRow="0" w:firstColumn="0" w:lastColumn="0" w:oddVBand="0" w:evenVBand="0" w:oddHBand="1" w:evenHBand="0" w:firstRowFirstColumn="0" w:firstRowLastColumn="0" w:lastRowFirstColumn="0" w:lastRowLastColumn="0"/>
              <w:rPr>
                <w:sz w:val="20"/>
                <w:lang w:eastAsia="fr-CA"/>
              </w:rPr>
            </w:pPr>
            <w:r>
              <w:rPr>
                <w:sz w:val="20"/>
                <w:lang w:eastAsia="fr-CA"/>
              </w:rPr>
              <w:t>Approximately 10% of the</w:t>
            </w:r>
            <w:r w:rsidRPr="002145F4">
              <w:rPr>
                <w:sz w:val="20"/>
                <w:lang w:eastAsia="fr-CA"/>
              </w:rPr>
              <w:t xml:space="preserve"> issuers </w:t>
            </w:r>
            <w:r>
              <w:rPr>
                <w:sz w:val="20"/>
                <w:lang w:eastAsia="fr-CA"/>
              </w:rPr>
              <w:t xml:space="preserve">we reviewed </w:t>
            </w:r>
            <w:r w:rsidRPr="002145F4">
              <w:rPr>
                <w:sz w:val="20"/>
                <w:lang w:eastAsia="fr-CA"/>
              </w:rPr>
              <w:t>did not disclose or update the disclosure of the key assumptions used</w:t>
            </w:r>
            <w:r>
              <w:rPr>
                <w:sz w:val="20"/>
                <w:lang w:eastAsia="fr-CA"/>
              </w:rPr>
              <w:t xml:space="preserve"> in their impairment calculations</w:t>
            </w:r>
            <w:r w:rsidRPr="002145F4">
              <w:rPr>
                <w:sz w:val="20"/>
                <w:lang w:eastAsia="fr-CA"/>
              </w:rPr>
              <w:t>.</w:t>
            </w:r>
          </w:p>
          <w:p w14:paraId="18263B57" w14:textId="77777777" w:rsidR="008643D9" w:rsidRPr="00434FE2" w:rsidRDefault="008643D9" w:rsidP="00D93E09">
            <w:pPr>
              <w:pStyle w:val="ListParagraph"/>
              <w:spacing w:before="120"/>
              <w:ind w:left="360"/>
              <w:cnfStyle w:val="000000100000" w:firstRow="0" w:lastRow="0" w:firstColumn="0" w:lastColumn="0" w:oddVBand="0" w:evenVBand="0" w:oddHBand="1" w:evenHBand="0" w:firstRowFirstColumn="0" w:firstRowLastColumn="0" w:lastRowFirstColumn="0" w:lastRowLastColumn="0"/>
              <w:rPr>
                <w:sz w:val="20"/>
                <w:lang w:eastAsia="fr-CA"/>
              </w:rPr>
            </w:pPr>
          </w:p>
        </w:tc>
        <w:tc>
          <w:tcPr>
            <w:tcW w:w="4541" w:type="dxa"/>
            <w:shd w:val="clear" w:color="auto" w:fill="EEECE1" w:themeFill="background2"/>
          </w:tcPr>
          <w:p w14:paraId="0DBF2557" w14:textId="77777777" w:rsidR="008643D9" w:rsidRPr="004B6E5D" w:rsidRDefault="008643D9" w:rsidP="00E5467D">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r>
              <w:rPr>
                <w:sz w:val="20"/>
                <w:lang w:eastAsia="fr-CA"/>
              </w:rPr>
              <w:t>D</w:t>
            </w:r>
            <w:r w:rsidRPr="005362CD">
              <w:rPr>
                <w:sz w:val="20"/>
                <w:lang w:eastAsia="fr-CA"/>
              </w:rPr>
              <w:t>isclose the key assumptions on which management base</w:t>
            </w:r>
            <w:r w:rsidR="00E81BF9">
              <w:rPr>
                <w:sz w:val="20"/>
                <w:lang w:eastAsia="fr-CA"/>
              </w:rPr>
              <w:t>d</w:t>
            </w:r>
            <w:r w:rsidRPr="005362CD">
              <w:rPr>
                <w:sz w:val="20"/>
                <w:lang w:eastAsia="fr-CA"/>
              </w:rPr>
              <w:t xml:space="preserve"> its determination of </w:t>
            </w:r>
            <w:r w:rsidR="00E81BF9">
              <w:rPr>
                <w:sz w:val="20"/>
                <w:lang w:eastAsia="fr-CA"/>
              </w:rPr>
              <w:t xml:space="preserve">the </w:t>
            </w:r>
            <w:r>
              <w:rPr>
                <w:sz w:val="20"/>
                <w:lang w:eastAsia="fr-CA"/>
              </w:rPr>
              <w:t>recoverable amount.</w:t>
            </w:r>
          </w:p>
          <w:p w14:paraId="79083EF0" w14:textId="77777777" w:rsidR="008643D9" w:rsidRDefault="008643D9" w:rsidP="00E5467D">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r>
              <w:rPr>
                <w:sz w:val="20"/>
                <w:lang w:eastAsia="fr-CA"/>
              </w:rPr>
              <w:t>C</w:t>
            </w:r>
            <w:r w:rsidRPr="005362CD">
              <w:rPr>
                <w:sz w:val="20"/>
                <w:lang w:eastAsia="fr-CA"/>
              </w:rPr>
              <w:t xml:space="preserve">onsider </w:t>
            </w:r>
            <w:r>
              <w:rPr>
                <w:sz w:val="20"/>
                <w:lang w:eastAsia="fr-CA"/>
              </w:rPr>
              <w:t xml:space="preserve">whether </w:t>
            </w:r>
            <w:r w:rsidRPr="005362CD">
              <w:rPr>
                <w:sz w:val="20"/>
                <w:lang w:eastAsia="fr-CA"/>
              </w:rPr>
              <w:t>using probability weighted scenarios in making estimates of fair value or value in use</w:t>
            </w:r>
            <w:r>
              <w:rPr>
                <w:sz w:val="20"/>
                <w:lang w:eastAsia="fr-CA"/>
              </w:rPr>
              <w:t xml:space="preserve"> is more appropriate than a single best estimate.</w:t>
            </w:r>
          </w:p>
          <w:p w14:paraId="4C637034" w14:textId="77777777" w:rsidR="008643D9" w:rsidRDefault="008643D9" w:rsidP="00E5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p>
          <w:p w14:paraId="1DD44DD7" w14:textId="77777777" w:rsidR="008643D9" w:rsidRPr="00434FE2" w:rsidRDefault="008643D9" w:rsidP="00E5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sz w:val="20"/>
                <w:lang w:eastAsia="fr-CA"/>
              </w:rPr>
            </w:pPr>
            <w:r w:rsidRPr="00434FE2">
              <w:rPr>
                <w:b/>
                <w:bCs/>
                <w:sz w:val="20"/>
                <w:lang w:eastAsia="fr-CA"/>
              </w:rPr>
              <w:t xml:space="preserve">For issuers with </w:t>
            </w:r>
            <w:r w:rsidR="005A2B8D">
              <w:rPr>
                <w:b/>
                <w:bCs/>
                <w:sz w:val="20"/>
                <w:lang w:eastAsia="fr-CA"/>
              </w:rPr>
              <w:t xml:space="preserve">investments in </w:t>
            </w:r>
            <w:r w:rsidRPr="00434FE2">
              <w:rPr>
                <w:b/>
                <w:bCs/>
                <w:sz w:val="20"/>
                <w:lang w:eastAsia="fr-CA"/>
              </w:rPr>
              <w:t>associates or joint ventures accounted for using equity method</w:t>
            </w:r>
          </w:p>
          <w:p w14:paraId="74BAE780" w14:textId="77777777" w:rsidR="008643D9" w:rsidRPr="00434FE2" w:rsidRDefault="008643D9" w:rsidP="00E5467D">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r w:rsidRPr="005362CD">
              <w:rPr>
                <w:sz w:val="20"/>
                <w:lang w:eastAsia="fr-CA"/>
              </w:rPr>
              <w:t xml:space="preserve">Issuers </w:t>
            </w:r>
            <w:r>
              <w:rPr>
                <w:sz w:val="20"/>
                <w:lang w:eastAsia="fr-CA"/>
              </w:rPr>
              <w:t>should carefully analyze the impact of COVID-19 on the operations and financial conditions of their associates and joint ventures to consider whether there is a ‘loss event’ that has an impact on the future cash flows of the investment</w:t>
            </w:r>
            <w:r w:rsidRPr="00B80CA5">
              <w:rPr>
                <w:sz w:val="20"/>
                <w:lang w:eastAsia="fr-CA"/>
              </w:rPr>
              <w:t>.</w:t>
            </w:r>
          </w:p>
          <w:p w14:paraId="415014C2" w14:textId="77777777" w:rsidR="008643D9" w:rsidRDefault="008643D9" w:rsidP="00E5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p>
          <w:p w14:paraId="383928AC" w14:textId="77777777" w:rsidR="008643D9" w:rsidRPr="007D497F" w:rsidRDefault="008643D9" w:rsidP="00E5467D">
            <w:pPr>
              <w:pStyle w:val="CommentText"/>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pacing w:val="-5"/>
              </w:rPr>
            </w:pPr>
            <w:r w:rsidRPr="007D497F">
              <w:rPr>
                <w:rFonts w:ascii="Times New Roman" w:hAnsi="Times New Roman" w:cs="Times New Roman"/>
                <w:b/>
                <w:bCs/>
                <w:color w:val="000000" w:themeColor="text1"/>
                <w:spacing w:val="-5"/>
              </w:rPr>
              <w:t>Other considerations:</w:t>
            </w:r>
          </w:p>
          <w:p w14:paraId="03DA324B" w14:textId="2BE11F56" w:rsidR="008643D9" w:rsidRPr="006674FE" w:rsidRDefault="008643D9" w:rsidP="00761BD8">
            <w:pPr>
              <w:pStyle w:val="CommentText"/>
              <w:numPr>
                <w:ilvl w:val="0"/>
                <w:numId w:val="46"/>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6674FE">
              <w:rPr>
                <w:rFonts w:ascii="Times New Roman" w:hAnsi="Times New Roman" w:cs="Times New Roman"/>
                <w:color w:val="000000" w:themeColor="text1"/>
                <w:spacing w:val="-5"/>
              </w:rPr>
              <w:t xml:space="preserve">Whether there is any indication that an asset has been impaired in an interim period, which would then require the </w:t>
            </w:r>
            <w:r w:rsidR="001657C8">
              <w:rPr>
                <w:rFonts w:ascii="Times New Roman" w:hAnsi="Times New Roman" w:cs="Times New Roman"/>
                <w:color w:val="000000" w:themeColor="text1"/>
                <w:spacing w:val="-5"/>
              </w:rPr>
              <w:t>issuer</w:t>
            </w:r>
            <w:r w:rsidRPr="006674FE">
              <w:rPr>
                <w:rFonts w:ascii="Times New Roman" w:hAnsi="Times New Roman" w:cs="Times New Roman"/>
                <w:color w:val="000000" w:themeColor="text1"/>
                <w:spacing w:val="-5"/>
              </w:rPr>
              <w:t xml:space="preserve"> to estimate the recoverable amount of the asset </w:t>
            </w:r>
            <w:r w:rsidR="005A2B8D">
              <w:rPr>
                <w:rFonts w:ascii="Times New Roman" w:hAnsi="Times New Roman" w:cs="Times New Roman"/>
                <w:color w:val="000000" w:themeColor="text1"/>
                <w:spacing w:val="-5"/>
              </w:rPr>
              <w:t xml:space="preserve">in the </w:t>
            </w:r>
            <w:r w:rsidRPr="006674FE">
              <w:rPr>
                <w:rFonts w:ascii="Times New Roman" w:hAnsi="Times New Roman" w:cs="Times New Roman"/>
                <w:color w:val="000000" w:themeColor="text1"/>
                <w:spacing w:val="-5"/>
              </w:rPr>
              <w:t>period (e.g., a significant decrease in an issuer’s share price during the reporting period such that market capitalization is lower than carrying value).</w:t>
            </w:r>
          </w:p>
          <w:p w14:paraId="6B65807F" w14:textId="0157C2D3" w:rsidR="008643D9" w:rsidRPr="00596163" w:rsidRDefault="00596163" w:rsidP="00596163">
            <w:pPr>
              <w:pStyle w:val="CommentText"/>
              <w:numPr>
                <w:ilvl w:val="0"/>
                <w:numId w:val="46"/>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596163">
              <w:rPr>
                <w:rFonts w:ascii="Times New Roman" w:hAnsi="Times New Roman" w:cs="Times New Roman"/>
                <w:color w:val="000000" w:themeColor="text1"/>
                <w:spacing w:val="-5"/>
              </w:rPr>
              <w:t xml:space="preserve">Disclosure may be required for changes in key assumptions used to determine recoverable amount of a CGU that contains goodwill or intangible assets with indefinite useful lives. </w:t>
            </w:r>
          </w:p>
          <w:p w14:paraId="2E8C4C74" w14:textId="77777777" w:rsidR="00A279EC" w:rsidRDefault="00A279EC" w:rsidP="00A279EC">
            <w:pPr>
              <w:autoSpaceDE w:val="0"/>
              <w:autoSpaceDN w:val="0"/>
              <w:adjustRightInd w:val="0"/>
              <w:spacing w:before="100"/>
              <w:cnfStyle w:val="000000100000" w:firstRow="0" w:lastRow="0" w:firstColumn="0" w:lastColumn="0" w:oddVBand="0" w:evenVBand="0" w:oddHBand="1" w:evenHBand="0" w:firstRowFirstColumn="0" w:firstRowLastColumn="0" w:lastRowFirstColumn="0" w:lastRowLastColumn="0"/>
              <w:rPr>
                <w:b/>
                <w:bCs/>
                <w:sz w:val="20"/>
                <w:lang w:eastAsia="fr-CA"/>
              </w:rPr>
            </w:pPr>
          </w:p>
          <w:p w14:paraId="2FFF8831" w14:textId="6E4A2C24" w:rsidR="008643D9" w:rsidRPr="00E0239D" w:rsidRDefault="008643D9" w:rsidP="00A279EC">
            <w:pPr>
              <w:autoSpaceDE w:val="0"/>
              <w:autoSpaceDN w:val="0"/>
              <w:adjustRightInd w:val="0"/>
              <w:spacing w:before="100"/>
              <w:cnfStyle w:val="000000100000" w:firstRow="0" w:lastRow="0" w:firstColumn="0" w:lastColumn="0" w:oddVBand="0" w:evenVBand="0" w:oddHBand="1" w:evenHBand="0" w:firstRowFirstColumn="0" w:firstRowLastColumn="0" w:lastRowFirstColumn="0" w:lastRowLastColumn="0"/>
              <w:rPr>
                <w:b/>
                <w:bCs/>
                <w:i/>
                <w:iCs/>
                <w:sz w:val="20"/>
                <w:lang w:eastAsia="fr-CA"/>
              </w:rPr>
            </w:pPr>
            <w:r w:rsidRPr="00E0239D">
              <w:rPr>
                <w:b/>
                <w:bCs/>
                <w:sz w:val="20"/>
                <w:lang w:eastAsia="fr-CA"/>
              </w:rPr>
              <w:t xml:space="preserve">Reference: </w:t>
            </w:r>
            <w:r w:rsidR="002E25E5" w:rsidRPr="002E25E5">
              <w:rPr>
                <w:b/>
                <w:bCs/>
                <w:sz w:val="20"/>
                <w:lang w:eastAsia="fr-CA"/>
              </w:rPr>
              <w:t>International Accounting Standards</w:t>
            </w:r>
            <w:r w:rsidR="002E25E5">
              <w:rPr>
                <w:b/>
                <w:bCs/>
                <w:sz w:val="20"/>
                <w:lang w:eastAsia="fr-CA"/>
              </w:rPr>
              <w:t xml:space="preserve"> (</w:t>
            </w:r>
            <w:r w:rsidRPr="00E0239D">
              <w:rPr>
                <w:b/>
                <w:bCs/>
                <w:sz w:val="20"/>
                <w:lang w:eastAsia="fr-CA"/>
              </w:rPr>
              <w:t>IAS</w:t>
            </w:r>
            <w:r w:rsidR="002E25E5">
              <w:rPr>
                <w:b/>
                <w:bCs/>
                <w:sz w:val="20"/>
                <w:lang w:eastAsia="fr-CA"/>
              </w:rPr>
              <w:t>)</w:t>
            </w:r>
            <w:r w:rsidRPr="00E0239D">
              <w:rPr>
                <w:b/>
                <w:bCs/>
                <w:sz w:val="20"/>
                <w:lang w:eastAsia="fr-CA"/>
              </w:rPr>
              <w:t xml:space="preserve"> 36 </w:t>
            </w:r>
            <w:r w:rsidRPr="00E0239D">
              <w:rPr>
                <w:b/>
                <w:bCs/>
                <w:i/>
                <w:iCs/>
                <w:sz w:val="20"/>
                <w:lang w:eastAsia="fr-CA"/>
              </w:rPr>
              <w:t>Impairment of assets</w:t>
            </w:r>
            <w:r>
              <w:rPr>
                <w:b/>
                <w:bCs/>
                <w:i/>
                <w:iCs/>
                <w:sz w:val="20"/>
                <w:lang w:eastAsia="fr-CA"/>
              </w:rPr>
              <w:t xml:space="preserve">, </w:t>
            </w:r>
            <w:r w:rsidRPr="00434FE2">
              <w:rPr>
                <w:b/>
                <w:bCs/>
                <w:sz w:val="20"/>
                <w:lang w:eastAsia="fr-CA"/>
              </w:rPr>
              <w:t xml:space="preserve">para. 41A of IAS 28 </w:t>
            </w:r>
            <w:r w:rsidRPr="00B80CA5">
              <w:rPr>
                <w:b/>
                <w:bCs/>
                <w:i/>
                <w:iCs/>
                <w:sz w:val="20"/>
                <w:lang w:eastAsia="fr-CA"/>
              </w:rPr>
              <w:t>Investments in Associates and Joint Ventures</w:t>
            </w:r>
          </w:p>
        </w:tc>
      </w:tr>
      <w:tr w:rsidR="008643D9" w:rsidRPr="00947F30" w14:paraId="3C3DEC63" w14:textId="77777777" w:rsidTr="00E5467D">
        <w:trPr>
          <w:trHeight w:val="733"/>
        </w:trPr>
        <w:tc>
          <w:tcPr>
            <w:cnfStyle w:val="001000000000" w:firstRow="0" w:lastRow="0" w:firstColumn="1" w:lastColumn="0" w:oddVBand="0" w:evenVBand="0" w:oddHBand="0" w:evenHBand="0" w:firstRowFirstColumn="0" w:firstRowLastColumn="0" w:lastRowFirstColumn="0" w:lastRowLastColumn="0"/>
            <w:tcW w:w="1862" w:type="dxa"/>
            <w:shd w:val="clear" w:color="auto" w:fill="EEECE1" w:themeFill="background2"/>
          </w:tcPr>
          <w:p w14:paraId="3C7DE046" w14:textId="77777777" w:rsidR="008643D9" w:rsidRPr="005362CD" w:rsidRDefault="008643D9" w:rsidP="00E5467D">
            <w:pPr>
              <w:rPr>
                <w:color w:val="000000" w:themeColor="text1"/>
                <w:sz w:val="20"/>
                <w:lang w:val="en-US"/>
              </w:rPr>
            </w:pPr>
            <w:r>
              <w:rPr>
                <w:sz w:val="20"/>
                <w:lang w:eastAsia="fr-CA"/>
              </w:rPr>
              <w:t>Going Concern</w:t>
            </w:r>
          </w:p>
        </w:tc>
        <w:tc>
          <w:tcPr>
            <w:tcW w:w="3378" w:type="dxa"/>
            <w:shd w:val="clear" w:color="auto" w:fill="EEECE1" w:themeFill="background2"/>
          </w:tcPr>
          <w:p w14:paraId="720F1084" w14:textId="77777777" w:rsidR="00715320" w:rsidRDefault="008643D9" w:rsidP="00E5467D">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lang w:eastAsia="fr-CA"/>
              </w:rPr>
            </w:pPr>
            <w:r w:rsidRPr="005362CD">
              <w:rPr>
                <w:sz w:val="20"/>
                <w:lang w:eastAsia="fr-CA"/>
              </w:rPr>
              <w:t xml:space="preserve">A few issuers </w:t>
            </w:r>
            <w:r w:rsidRPr="002B21BE">
              <w:rPr>
                <w:sz w:val="20"/>
                <w:lang w:eastAsia="fr-CA"/>
              </w:rPr>
              <w:t xml:space="preserve">identified material uncertainties that cast significant doubt </w:t>
            </w:r>
            <w:r w:rsidR="00A61D99">
              <w:rPr>
                <w:sz w:val="20"/>
                <w:lang w:eastAsia="fr-CA"/>
              </w:rPr>
              <w:t>on</w:t>
            </w:r>
            <w:r w:rsidRPr="002B21BE">
              <w:rPr>
                <w:sz w:val="20"/>
                <w:lang w:eastAsia="fr-CA"/>
              </w:rPr>
              <w:t xml:space="preserve"> their ability to continue as a going concern in light of a deterioration in their business since the onset of the pandemic</w:t>
            </w:r>
            <w:r w:rsidRPr="005362CD">
              <w:rPr>
                <w:sz w:val="20"/>
                <w:lang w:eastAsia="fr-CA"/>
              </w:rPr>
              <w:t>.</w:t>
            </w:r>
          </w:p>
          <w:p w14:paraId="4411A6C9" w14:textId="27E965EF" w:rsidR="008643D9" w:rsidRPr="00715320" w:rsidRDefault="00715320" w:rsidP="0071532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0"/>
                <w:lang w:eastAsia="fr-CA"/>
              </w:rPr>
            </w:pPr>
            <w:r w:rsidRPr="00715320">
              <w:rPr>
                <w:sz w:val="20"/>
                <w:lang w:eastAsia="fr-CA"/>
              </w:rPr>
              <w:t>Some issuers disclosed “close call” situations but did not disclose the mitigating actions that impacted their determination that there were no material uncertainties that cast significant doubt on the issuer’s ability to continue as a going concern.</w:t>
            </w:r>
          </w:p>
          <w:p w14:paraId="74384030" w14:textId="1ED9CFCD" w:rsidR="008643D9" w:rsidRPr="00EA2BBB" w:rsidRDefault="00724DCB" w:rsidP="00E5467D">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lang w:eastAsia="fr-CA"/>
              </w:rPr>
            </w:pPr>
            <w:r>
              <w:rPr>
                <w:sz w:val="20"/>
                <w:lang w:eastAsia="fr-CA"/>
              </w:rPr>
              <w:t>Some issuers</w:t>
            </w:r>
            <w:r w:rsidR="008643D9" w:rsidRPr="00393127">
              <w:rPr>
                <w:sz w:val="20"/>
                <w:lang w:eastAsia="fr-CA"/>
              </w:rPr>
              <w:t xml:space="preserve"> breached financial covenants during the reporting periods but did not:</w:t>
            </w:r>
          </w:p>
          <w:p w14:paraId="2D03631B" w14:textId="2077ED8E" w:rsidR="008643D9" w:rsidRPr="00393127" w:rsidRDefault="00596163" w:rsidP="00E5467D">
            <w:pPr>
              <w:pStyle w:val="ListParagraph"/>
              <w:numPr>
                <w:ilvl w:val="1"/>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lang w:eastAsia="fr-CA"/>
              </w:rPr>
            </w:pPr>
            <w:r>
              <w:rPr>
                <w:sz w:val="20"/>
                <w:lang w:eastAsia="fr-CA"/>
              </w:rPr>
              <w:t xml:space="preserve">disclose </w:t>
            </w:r>
            <w:r w:rsidR="008643D9" w:rsidRPr="00393127">
              <w:rPr>
                <w:sz w:val="20"/>
                <w:lang w:eastAsia="fr-CA"/>
              </w:rPr>
              <w:t>how the breaches will impact the company's ability to continue as a going concern, or</w:t>
            </w:r>
          </w:p>
          <w:p w14:paraId="75FDCB69" w14:textId="0621EF22" w:rsidR="008643D9" w:rsidRPr="0001469C" w:rsidRDefault="008643D9" w:rsidP="005134E4">
            <w:pPr>
              <w:pStyle w:val="ListParagraph"/>
              <w:numPr>
                <w:ilvl w:val="1"/>
                <w:numId w:val="7"/>
              </w:numPr>
              <w:autoSpaceDE w:val="0"/>
              <w:autoSpaceDN w:val="0"/>
              <w:adjustRightInd w:val="0"/>
              <w:ind w:left="782" w:hanging="357"/>
              <w:cnfStyle w:val="000000000000" w:firstRow="0" w:lastRow="0" w:firstColumn="0" w:lastColumn="0" w:oddVBand="0" w:evenVBand="0" w:oddHBand="0" w:evenHBand="0" w:firstRowFirstColumn="0" w:firstRowLastColumn="0" w:lastRowFirstColumn="0" w:lastRowLastColumn="0"/>
              <w:rPr>
                <w:sz w:val="20"/>
                <w:lang w:eastAsia="fr-CA"/>
              </w:rPr>
            </w:pPr>
            <w:r w:rsidRPr="00393127">
              <w:rPr>
                <w:sz w:val="20"/>
                <w:lang w:eastAsia="fr-CA"/>
              </w:rPr>
              <w:t>reclassif</w:t>
            </w:r>
            <w:r w:rsidR="00596163">
              <w:rPr>
                <w:sz w:val="20"/>
                <w:lang w:eastAsia="fr-CA"/>
              </w:rPr>
              <w:t>y</w:t>
            </w:r>
            <w:r w:rsidRPr="00393127">
              <w:rPr>
                <w:sz w:val="20"/>
                <w:lang w:eastAsia="fr-CA"/>
              </w:rPr>
              <w:t xml:space="preserve"> the loan as </w:t>
            </w:r>
            <w:r>
              <w:rPr>
                <w:sz w:val="20"/>
                <w:lang w:eastAsia="fr-CA"/>
              </w:rPr>
              <w:t xml:space="preserve">a </w:t>
            </w:r>
            <w:r w:rsidRPr="00393127">
              <w:rPr>
                <w:sz w:val="20"/>
                <w:lang w:eastAsia="fr-CA"/>
              </w:rPr>
              <w:t>current liabilit</w:t>
            </w:r>
            <w:r>
              <w:rPr>
                <w:sz w:val="20"/>
                <w:lang w:eastAsia="fr-CA"/>
              </w:rPr>
              <w:t>y.</w:t>
            </w:r>
          </w:p>
        </w:tc>
        <w:tc>
          <w:tcPr>
            <w:tcW w:w="4541" w:type="dxa"/>
            <w:shd w:val="clear" w:color="auto" w:fill="EEECE1" w:themeFill="background2"/>
          </w:tcPr>
          <w:p w14:paraId="24717BB9" w14:textId="3878D8BE" w:rsidR="008643D9" w:rsidRPr="00D93E09" w:rsidRDefault="008643D9" w:rsidP="00E5467D">
            <w:pPr>
              <w:pStyle w:val="ListParagraph"/>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i/>
                <w:iCs/>
                <w:color w:val="000000" w:themeColor="text1"/>
                <w:sz w:val="20"/>
              </w:rPr>
            </w:pPr>
            <w:r w:rsidRPr="005362CD">
              <w:rPr>
                <w:sz w:val="20"/>
                <w:lang w:eastAsia="fr-CA"/>
              </w:rPr>
              <w:t>If</w:t>
            </w:r>
            <w:r>
              <w:rPr>
                <w:sz w:val="20"/>
                <w:lang w:eastAsia="fr-CA"/>
              </w:rPr>
              <w:t xml:space="preserve"> i</w:t>
            </w:r>
            <w:r w:rsidRPr="005362CD">
              <w:rPr>
                <w:sz w:val="20"/>
                <w:lang w:eastAsia="fr-CA"/>
              </w:rPr>
              <w:t>ssuer</w:t>
            </w:r>
            <w:r>
              <w:rPr>
                <w:sz w:val="20"/>
                <w:lang w:eastAsia="fr-CA"/>
              </w:rPr>
              <w:t>s</w:t>
            </w:r>
            <w:r w:rsidRPr="005362CD">
              <w:rPr>
                <w:sz w:val="20"/>
                <w:lang w:eastAsia="fr-CA"/>
              </w:rPr>
              <w:t xml:space="preserve"> breach debt covenants prior to the financial statement date and the lender has the right to demand repayment, the </w:t>
            </w:r>
            <w:r>
              <w:rPr>
                <w:sz w:val="20"/>
                <w:lang w:eastAsia="fr-CA"/>
              </w:rPr>
              <w:t>i</w:t>
            </w:r>
            <w:r w:rsidRPr="005362CD">
              <w:rPr>
                <w:sz w:val="20"/>
                <w:lang w:eastAsia="fr-CA"/>
              </w:rPr>
              <w:t xml:space="preserve">ssuer </w:t>
            </w:r>
            <w:r w:rsidR="003C22AB">
              <w:rPr>
                <w:sz w:val="20"/>
                <w:lang w:eastAsia="fr-CA"/>
              </w:rPr>
              <w:t xml:space="preserve">is required to </w:t>
            </w:r>
            <w:r w:rsidRPr="005362CD">
              <w:rPr>
                <w:sz w:val="20"/>
                <w:lang w:eastAsia="fr-CA"/>
              </w:rPr>
              <w:t>reclassify the loan as current</w:t>
            </w:r>
            <w:r>
              <w:rPr>
                <w:sz w:val="20"/>
                <w:lang w:eastAsia="fr-CA"/>
              </w:rPr>
              <w:t xml:space="preserve"> and should discuss the implications of such breach on their ability to continue as a going concern.</w:t>
            </w:r>
          </w:p>
          <w:p w14:paraId="30A4365C" w14:textId="3DC8A04A" w:rsidR="006E5869" w:rsidRPr="00D93E09" w:rsidRDefault="00A61D99">
            <w:pPr>
              <w:pStyle w:val="ListParagraph"/>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If an issuer is</w:t>
            </w:r>
            <w:r w:rsidR="006E5869" w:rsidRPr="00D93E09">
              <w:rPr>
                <w:color w:val="000000" w:themeColor="text1"/>
                <w:sz w:val="20"/>
              </w:rPr>
              <w:t xml:space="preserve"> working with </w:t>
            </w:r>
            <w:r w:rsidR="002A5A11">
              <w:rPr>
                <w:color w:val="000000" w:themeColor="text1"/>
                <w:sz w:val="20"/>
              </w:rPr>
              <w:t>its</w:t>
            </w:r>
            <w:r w:rsidR="006E5869" w:rsidRPr="00D93E09">
              <w:rPr>
                <w:color w:val="000000" w:themeColor="text1"/>
                <w:sz w:val="20"/>
              </w:rPr>
              <w:t xml:space="preserve"> lenders to change terms of existing debt agreements or to obtain waivers for debt covenants</w:t>
            </w:r>
            <w:r>
              <w:rPr>
                <w:color w:val="000000" w:themeColor="text1"/>
                <w:sz w:val="20"/>
              </w:rPr>
              <w:t>, it</w:t>
            </w:r>
            <w:r w:rsidR="006E5869" w:rsidRPr="00D93E09">
              <w:rPr>
                <w:color w:val="000000" w:themeColor="text1"/>
                <w:sz w:val="20"/>
              </w:rPr>
              <w:t xml:space="preserve"> should closely examine changes to </w:t>
            </w:r>
            <w:r>
              <w:rPr>
                <w:color w:val="000000" w:themeColor="text1"/>
                <w:sz w:val="20"/>
              </w:rPr>
              <w:t>its</w:t>
            </w:r>
            <w:r w:rsidR="006E5869" w:rsidRPr="00D93E09">
              <w:rPr>
                <w:color w:val="000000" w:themeColor="text1"/>
                <w:sz w:val="20"/>
              </w:rPr>
              <w:t xml:space="preserve"> debt agreements to assess whether they are subject to modification or extinguishment accounting, as required by IFRS 9 </w:t>
            </w:r>
            <w:r w:rsidR="006E5869" w:rsidRPr="00D93E09">
              <w:rPr>
                <w:i/>
                <w:iCs/>
                <w:color w:val="000000" w:themeColor="text1"/>
                <w:sz w:val="20"/>
              </w:rPr>
              <w:t>Financial Instruments</w:t>
            </w:r>
          </w:p>
          <w:p w14:paraId="1B9ABD5B" w14:textId="55D5E8C5" w:rsidR="008643D9" w:rsidRPr="00596163" w:rsidRDefault="008643D9" w:rsidP="00596163">
            <w:pPr>
              <w:pStyle w:val="ListParagraph"/>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lang w:eastAsia="fr-CA"/>
              </w:rPr>
            </w:pPr>
            <w:r w:rsidRPr="005362CD">
              <w:rPr>
                <w:sz w:val="20"/>
                <w:lang w:eastAsia="fr-CA"/>
              </w:rPr>
              <w:t>When management is aware</w:t>
            </w:r>
            <w:r w:rsidR="005A2B8D">
              <w:rPr>
                <w:sz w:val="20"/>
                <w:lang w:eastAsia="fr-CA"/>
              </w:rPr>
              <w:t xml:space="preserve"> </w:t>
            </w:r>
            <w:r w:rsidRPr="005362CD">
              <w:rPr>
                <w:sz w:val="20"/>
                <w:lang w:eastAsia="fr-CA"/>
              </w:rPr>
              <w:t xml:space="preserve">of material uncertainties in relation to COVID-19 that may cast significant doubt upon the </w:t>
            </w:r>
            <w:r w:rsidR="00447954">
              <w:rPr>
                <w:sz w:val="20"/>
                <w:lang w:eastAsia="fr-CA"/>
              </w:rPr>
              <w:t>issuer</w:t>
            </w:r>
            <w:r w:rsidRPr="005362CD">
              <w:rPr>
                <w:sz w:val="20"/>
                <w:lang w:eastAsia="fr-CA"/>
              </w:rPr>
              <w:t>’s ability to continue as a going concern, those uncertainties</w:t>
            </w:r>
            <w:r>
              <w:rPr>
                <w:sz w:val="20"/>
                <w:lang w:eastAsia="fr-CA"/>
              </w:rPr>
              <w:t xml:space="preserve"> are required to</w:t>
            </w:r>
            <w:r w:rsidRPr="005362CD">
              <w:rPr>
                <w:sz w:val="20"/>
                <w:lang w:eastAsia="fr-CA"/>
              </w:rPr>
              <w:t xml:space="preserve"> be disclosed.</w:t>
            </w:r>
          </w:p>
          <w:p w14:paraId="4A7DD0EE" w14:textId="1A651AB8" w:rsidR="008643D9" w:rsidRPr="00596163" w:rsidRDefault="008643D9" w:rsidP="00596163">
            <w:pPr>
              <w:pStyle w:val="ListParagraph"/>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lang w:eastAsia="fr-CA"/>
              </w:rPr>
            </w:pPr>
            <w:r w:rsidRPr="00596163">
              <w:rPr>
                <w:sz w:val="20"/>
                <w:lang w:eastAsia="fr-CA"/>
              </w:rPr>
              <w:t xml:space="preserve">If management determined there were no material uncertainties that cast significant doubt on the issuer’s ability to continue as a going concern, but there were significant doubts about going concern that were addressed by mitigating actions judged sufficient to </w:t>
            </w:r>
            <w:r w:rsidR="00D32CF2" w:rsidRPr="00596163">
              <w:rPr>
                <w:sz w:val="20"/>
                <w:lang w:eastAsia="fr-CA"/>
              </w:rPr>
              <w:t>conclude</w:t>
            </w:r>
            <w:r w:rsidRPr="00596163">
              <w:rPr>
                <w:sz w:val="20"/>
                <w:lang w:eastAsia="fr-CA"/>
              </w:rPr>
              <w:t xml:space="preserve"> </w:t>
            </w:r>
            <w:r w:rsidR="005A2B8D" w:rsidRPr="00596163">
              <w:rPr>
                <w:sz w:val="20"/>
                <w:lang w:eastAsia="fr-CA"/>
              </w:rPr>
              <w:t xml:space="preserve">the </w:t>
            </w:r>
            <w:r w:rsidRPr="00596163">
              <w:rPr>
                <w:sz w:val="20"/>
                <w:lang w:eastAsia="fr-CA"/>
              </w:rPr>
              <w:t xml:space="preserve">going concern basis of accounting </w:t>
            </w:r>
            <w:r w:rsidR="00D32CF2" w:rsidRPr="00596163">
              <w:rPr>
                <w:sz w:val="20"/>
                <w:lang w:eastAsia="fr-CA"/>
              </w:rPr>
              <w:t>is appropriate</w:t>
            </w:r>
            <w:r w:rsidRPr="00596163">
              <w:rPr>
                <w:sz w:val="20"/>
                <w:lang w:eastAsia="fr-CA"/>
              </w:rPr>
              <w:t xml:space="preserve">, then such situations are commonly referred to as a “close call”. In these situations, issuers </w:t>
            </w:r>
            <w:r w:rsidR="00FC31E0">
              <w:rPr>
                <w:sz w:val="20"/>
                <w:lang w:eastAsia="fr-CA"/>
              </w:rPr>
              <w:t>are required to</w:t>
            </w:r>
            <w:r w:rsidRPr="00596163">
              <w:rPr>
                <w:sz w:val="20"/>
                <w:lang w:eastAsia="fr-CA"/>
              </w:rPr>
              <w:t xml:space="preserve"> disclose the significant judgments to support their determination that going concern is appropriate, including those mitigating actions that impacted their determination that material uncertainties have been addressed  (i.e., successful negotiations of credit facilities subsequent to period end or the identification of other feasible sources of financing).</w:t>
            </w:r>
          </w:p>
          <w:p w14:paraId="57C524B5" w14:textId="77777777" w:rsidR="008643D9" w:rsidRDefault="008643D9" w:rsidP="00E5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sz w:val="20"/>
                <w:lang w:eastAsia="fr-CA"/>
              </w:rPr>
            </w:pPr>
          </w:p>
          <w:p w14:paraId="411E2353" w14:textId="50D8A052" w:rsidR="008643D9" w:rsidRPr="005362CD" w:rsidRDefault="008643D9" w:rsidP="00E5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i/>
                <w:iCs/>
                <w:color w:val="000000" w:themeColor="text1"/>
                <w:sz w:val="20"/>
              </w:rPr>
            </w:pPr>
            <w:r w:rsidRPr="005362CD">
              <w:rPr>
                <w:b/>
                <w:bCs/>
                <w:sz w:val="20"/>
                <w:lang w:eastAsia="fr-CA"/>
              </w:rPr>
              <w:t xml:space="preserve">References: </w:t>
            </w:r>
            <w:r w:rsidR="00A279EC">
              <w:rPr>
                <w:b/>
                <w:bCs/>
                <w:sz w:val="20"/>
                <w:lang w:eastAsia="fr-CA"/>
              </w:rPr>
              <w:t>p</w:t>
            </w:r>
            <w:r w:rsidRPr="005362CD">
              <w:rPr>
                <w:b/>
                <w:bCs/>
                <w:sz w:val="20"/>
                <w:lang w:eastAsia="fr-CA"/>
              </w:rPr>
              <w:t xml:space="preserve">ara. </w:t>
            </w:r>
            <w:r>
              <w:rPr>
                <w:b/>
                <w:bCs/>
                <w:sz w:val="20"/>
                <w:lang w:eastAsia="fr-CA"/>
              </w:rPr>
              <w:t xml:space="preserve">25 and </w:t>
            </w:r>
            <w:r w:rsidRPr="005362CD">
              <w:rPr>
                <w:b/>
                <w:bCs/>
                <w:sz w:val="20"/>
                <w:lang w:eastAsia="fr-CA"/>
              </w:rPr>
              <w:t>122 of IAS 1</w:t>
            </w:r>
            <w:r w:rsidRPr="005362CD">
              <w:rPr>
                <w:b/>
                <w:bCs/>
                <w:i/>
                <w:iCs/>
                <w:sz w:val="20"/>
                <w:lang w:eastAsia="fr-CA"/>
              </w:rPr>
              <w:t xml:space="preserve"> Presentation of Financial Statements</w:t>
            </w:r>
            <w:r w:rsidR="006E5869">
              <w:rPr>
                <w:b/>
                <w:bCs/>
                <w:i/>
                <w:iCs/>
                <w:sz w:val="20"/>
                <w:lang w:eastAsia="fr-CA"/>
              </w:rPr>
              <w:t xml:space="preserve">, </w:t>
            </w:r>
            <w:r w:rsidR="006E5869" w:rsidRPr="00D93E09">
              <w:rPr>
                <w:b/>
                <w:bCs/>
                <w:sz w:val="20"/>
                <w:lang w:eastAsia="fr-CA"/>
              </w:rPr>
              <w:t>IFRS 9</w:t>
            </w:r>
            <w:r w:rsidR="006E5869">
              <w:rPr>
                <w:b/>
                <w:bCs/>
                <w:i/>
                <w:iCs/>
                <w:sz w:val="20"/>
                <w:lang w:eastAsia="fr-CA"/>
              </w:rPr>
              <w:t xml:space="preserve"> </w:t>
            </w:r>
            <w:r w:rsidR="006E5869" w:rsidRPr="006E5869">
              <w:rPr>
                <w:b/>
                <w:bCs/>
                <w:i/>
                <w:iCs/>
                <w:sz w:val="20"/>
                <w:lang w:eastAsia="fr-CA"/>
              </w:rPr>
              <w:t>Financial Instruments</w:t>
            </w:r>
          </w:p>
        </w:tc>
      </w:tr>
      <w:tr w:rsidR="00D93E09" w:rsidRPr="00947F30" w14:paraId="4A209BA8" w14:textId="77777777" w:rsidTr="00D93E09">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0" w:type="dxa"/>
            <w:tcBorders>
              <w:top w:val="single" w:sz="6" w:space="0" w:color="1F497D" w:themeColor="text2"/>
            </w:tcBorders>
            <w:shd w:val="clear" w:color="auto" w:fill="EEECE1" w:themeFill="background2"/>
          </w:tcPr>
          <w:p w14:paraId="2EA26583" w14:textId="77777777" w:rsidR="008643D9" w:rsidRDefault="008643D9" w:rsidP="00E5467D">
            <w:pPr>
              <w:rPr>
                <w:b w:val="0"/>
                <w:bCs w:val="0"/>
                <w:sz w:val="20"/>
              </w:rPr>
            </w:pPr>
            <w:r>
              <w:rPr>
                <w:sz w:val="20"/>
                <w:lang w:eastAsia="fr-CA"/>
              </w:rPr>
              <w:t xml:space="preserve">Significant Judgements and Measurement Uncertainties </w:t>
            </w:r>
          </w:p>
          <w:p w14:paraId="271D1A5F" w14:textId="77777777" w:rsidR="008643D9" w:rsidRPr="005362CD" w:rsidRDefault="008643D9" w:rsidP="00E5467D">
            <w:pPr>
              <w:rPr>
                <w:color w:val="000000" w:themeColor="text1"/>
                <w:sz w:val="20"/>
              </w:rPr>
            </w:pPr>
          </w:p>
        </w:tc>
        <w:tc>
          <w:tcPr>
            <w:tcW w:w="0" w:type="dxa"/>
            <w:tcBorders>
              <w:top w:val="single" w:sz="6" w:space="0" w:color="1F497D" w:themeColor="text2"/>
            </w:tcBorders>
            <w:shd w:val="clear" w:color="auto" w:fill="EEECE1" w:themeFill="background2"/>
          </w:tcPr>
          <w:p w14:paraId="228988CD" w14:textId="77777777" w:rsidR="008643D9" w:rsidRPr="005362CD" w:rsidRDefault="008643D9" w:rsidP="00E5467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 w:val="20"/>
                <w:lang w:eastAsia="fr-CA"/>
              </w:rPr>
            </w:pPr>
            <w:r>
              <w:rPr>
                <w:sz w:val="20"/>
                <w:lang w:eastAsia="fr-CA"/>
              </w:rPr>
              <w:t>While m</w:t>
            </w:r>
            <w:r w:rsidRPr="005362CD">
              <w:rPr>
                <w:sz w:val="20"/>
                <w:lang w:eastAsia="fr-CA"/>
              </w:rPr>
              <w:t>any issuers updated their disclosure since March 2020 regarding significant judgements and measurement uncertainties, notably with respect to the impairment of non-financial assets</w:t>
            </w:r>
            <w:r>
              <w:rPr>
                <w:sz w:val="20"/>
                <w:lang w:eastAsia="fr-CA"/>
              </w:rPr>
              <w:t>, going concern analysis and</w:t>
            </w:r>
            <w:r w:rsidRPr="005362CD">
              <w:rPr>
                <w:sz w:val="20"/>
                <w:lang w:eastAsia="fr-CA"/>
              </w:rPr>
              <w:t xml:space="preserve"> the estimate of credit losses and credit risks</w:t>
            </w:r>
            <w:r>
              <w:rPr>
                <w:sz w:val="20"/>
                <w:lang w:eastAsia="fr-CA"/>
              </w:rPr>
              <w:t>, a number of issuers only stated in their</w:t>
            </w:r>
            <w:r w:rsidRPr="009964D5">
              <w:rPr>
                <w:sz w:val="20"/>
                <w:lang w:eastAsia="fr-CA"/>
              </w:rPr>
              <w:t xml:space="preserve"> interim financial statements</w:t>
            </w:r>
            <w:r>
              <w:rPr>
                <w:sz w:val="20"/>
                <w:lang w:eastAsia="fr-CA"/>
              </w:rPr>
              <w:t xml:space="preserve"> that</w:t>
            </w:r>
            <w:r w:rsidRPr="009964D5">
              <w:rPr>
                <w:sz w:val="20"/>
                <w:lang w:eastAsia="fr-CA"/>
              </w:rPr>
              <w:t xml:space="preserve"> the </w:t>
            </w:r>
            <w:r>
              <w:rPr>
                <w:sz w:val="20"/>
                <w:lang w:eastAsia="fr-CA"/>
              </w:rPr>
              <w:t>significant judgements and measurement uncertainties remained the same as those</w:t>
            </w:r>
            <w:r w:rsidRPr="009964D5">
              <w:rPr>
                <w:sz w:val="20"/>
                <w:lang w:eastAsia="fr-CA"/>
              </w:rPr>
              <w:t xml:space="preserve"> disclosed in the issuers’</w:t>
            </w:r>
            <w:r>
              <w:rPr>
                <w:sz w:val="20"/>
                <w:lang w:eastAsia="fr-CA"/>
              </w:rPr>
              <w:t xml:space="preserve"> most recent</w:t>
            </w:r>
            <w:r w:rsidRPr="009964D5">
              <w:rPr>
                <w:sz w:val="20"/>
                <w:lang w:eastAsia="fr-CA"/>
              </w:rPr>
              <w:t xml:space="preserve"> annual financial statements</w:t>
            </w:r>
            <w:r>
              <w:rPr>
                <w:sz w:val="20"/>
                <w:lang w:eastAsia="fr-CA"/>
              </w:rPr>
              <w:t>.</w:t>
            </w:r>
          </w:p>
          <w:p w14:paraId="1151F598" w14:textId="77777777" w:rsidR="008643D9" w:rsidRPr="005362CD" w:rsidRDefault="008643D9" w:rsidP="00E5467D">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r>
              <w:rPr>
                <w:sz w:val="20"/>
                <w:lang w:eastAsia="fr-CA"/>
              </w:rPr>
              <w:t>About 30% of the</w:t>
            </w:r>
            <w:r w:rsidRPr="005362CD">
              <w:rPr>
                <w:sz w:val="20"/>
                <w:lang w:eastAsia="fr-CA"/>
              </w:rPr>
              <w:t xml:space="preserve"> issuers </w:t>
            </w:r>
            <w:r>
              <w:rPr>
                <w:sz w:val="20"/>
                <w:lang w:eastAsia="fr-CA"/>
              </w:rPr>
              <w:t xml:space="preserve">we reviewed </w:t>
            </w:r>
            <w:r w:rsidRPr="005362CD">
              <w:rPr>
                <w:sz w:val="20"/>
                <w:lang w:eastAsia="fr-CA"/>
              </w:rPr>
              <w:t>with material sources of measurement uncertainty related to COVID-19 did not disclose the expected resolutions of the uncertainty or the range of reasonably possible outcomes within the next financial year.</w:t>
            </w:r>
          </w:p>
          <w:p w14:paraId="235B1694" w14:textId="648EBA10" w:rsidR="008643D9" w:rsidRPr="00596163" w:rsidRDefault="008643D9" w:rsidP="00596163">
            <w:pPr>
              <w:pStyle w:val="ListParagraph"/>
              <w:numPr>
                <w:ilvl w:val="0"/>
                <w:numId w:val="6"/>
              </w:numPr>
              <w:spacing w:before="120"/>
              <w:cnfStyle w:val="000000100000" w:firstRow="0" w:lastRow="0" w:firstColumn="0" w:lastColumn="0" w:oddVBand="0" w:evenVBand="0" w:oddHBand="1" w:evenHBand="0" w:firstRowFirstColumn="0" w:firstRowLastColumn="0" w:lastRowFirstColumn="0" w:lastRowLastColumn="0"/>
              <w:rPr>
                <w:sz w:val="20"/>
                <w:lang w:eastAsia="fr-CA"/>
              </w:rPr>
            </w:pPr>
            <w:r>
              <w:rPr>
                <w:sz w:val="20"/>
                <w:lang w:eastAsia="fr-CA"/>
              </w:rPr>
              <w:t>Some issuers only disclosed s</w:t>
            </w:r>
            <w:r w:rsidRPr="005362CD">
              <w:rPr>
                <w:sz w:val="20"/>
                <w:lang w:eastAsia="fr-CA"/>
              </w:rPr>
              <w:t xml:space="preserve">ignificant </w:t>
            </w:r>
            <w:r>
              <w:rPr>
                <w:sz w:val="20"/>
                <w:lang w:eastAsia="fr-CA"/>
              </w:rPr>
              <w:t xml:space="preserve">judgements </w:t>
            </w:r>
            <w:r w:rsidRPr="005362CD">
              <w:rPr>
                <w:sz w:val="20"/>
                <w:lang w:eastAsia="fr-CA"/>
              </w:rPr>
              <w:t xml:space="preserve">in </w:t>
            </w:r>
            <w:r>
              <w:rPr>
                <w:sz w:val="20"/>
                <w:lang w:eastAsia="fr-CA"/>
              </w:rPr>
              <w:t>their</w:t>
            </w:r>
            <w:r w:rsidRPr="005362CD">
              <w:rPr>
                <w:sz w:val="20"/>
                <w:lang w:eastAsia="fr-CA"/>
              </w:rPr>
              <w:t xml:space="preserve"> MD&amp;A but not in their financial statements.</w:t>
            </w:r>
          </w:p>
        </w:tc>
        <w:tc>
          <w:tcPr>
            <w:tcW w:w="0" w:type="dxa"/>
            <w:tcBorders>
              <w:top w:val="single" w:sz="6" w:space="0" w:color="1F497D" w:themeColor="text2"/>
            </w:tcBorders>
            <w:shd w:val="clear" w:color="auto" w:fill="EEECE1" w:themeFill="background2"/>
          </w:tcPr>
          <w:p w14:paraId="787DE263" w14:textId="399E84F2" w:rsidR="008643D9" w:rsidRPr="00236FBC" w:rsidRDefault="008643D9" w:rsidP="00E5467D">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r w:rsidRPr="005362CD">
              <w:rPr>
                <w:sz w:val="20"/>
                <w:lang w:eastAsia="fr-CA"/>
              </w:rPr>
              <w:t xml:space="preserve">Issuers </w:t>
            </w:r>
            <w:r>
              <w:rPr>
                <w:sz w:val="20"/>
                <w:lang w:eastAsia="fr-CA"/>
              </w:rPr>
              <w:t xml:space="preserve">that </w:t>
            </w:r>
            <w:r w:rsidRPr="005362CD">
              <w:rPr>
                <w:sz w:val="20"/>
                <w:lang w:eastAsia="fr-CA"/>
              </w:rPr>
              <w:t>operate in sectors that are significantly affected by COVID-19 are expected to update</w:t>
            </w:r>
            <w:r w:rsidRPr="00236FBC">
              <w:rPr>
                <w:sz w:val="20"/>
                <w:lang w:eastAsia="fr-CA"/>
              </w:rPr>
              <w:t xml:space="preserve"> </w:t>
            </w:r>
            <w:r w:rsidR="00426CCE">
              <w:rPr>
                <w:sz w:val="20"/>
                <w:lang w:eastAsia="fr-CA"/>
              </w:rPr>
              <w:t>the following</w:t>
            </w:r>
            <w:r w:rsidRPr="00236FBC">
              <w:rPr>
                <w:sz w:val="20"/>
                <w:lang w:eastAsia="fr-CA"/>
              </w:rPr>
              <w:t xml:space="preserve"> disclosure </w:t>
            </w:r>
            <w:r w:rsidRPr="005362CD">
              <w:rPr>
                <w:sz w:val="20"/>
                <w:lang w:eastAsia="fr-CA"/>
              </w:rPr>
              <w:t>in the</w:t>
            </w:r>
            <w:r w:rsidR="0072726B">
              <w:rPr>
                <w:sz w:val="20"/>
                <w:lang w:eastAsia="fr-CA"/>
              </w:rPr>
              <w:t>ir</w:t>
            </w:r>
            <w:r w:rsidRPr="005362CD">
              <w:rPr>
                <w:sz w:val="20"/>
                <w:lang w:eastAsia="fr-CA"/>
              </w:rPr>
              <w:t xml:space="preserve"> </w:t>
            </w:r>
            <w:r>
              <w:rPr>
                <w:sz w:val="20"/>
                <w:lang w:eastAsia="fr-CA"/>
              </w:rPr>
              <w:t xml:space="preserve">interim and annual </w:t>
            </w:r>
            <w:r w:rsidRPr="005362CD">
              <w:rPr>
                <w:sz w:val="20"/>
                <w:lang w:eastAsia="fr-CA"/>
              </w:rPr>
              <w:t>financial statements</w:t>
            </w:r>
            <w:r w:rsidRPr="00236FBC">
              <w:rPr>
                <w:sz w:val="20"/>
                <w:lang w:eastAsia="fr-CA"/>
              </w:rPr>
              <w:t xml:space="preserve">: </w:t>
            </w:r>
          </w:p>
          <w:p w14:paraId="1062D9C4" w14:textId="77777777" w:rsidR="008643D9" w:rsidRPr="005362CD" w:rsidRDefault="008643D9" w:rsidP="00E5467D">
            <w:pPr>
              <w:pStyle w:val="ListParagraph"/>
              <w:numPr>
                <w:ilvl w:val="1"/>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r>
              <w:rPr>
                <w:sz w:val="20"/>
                <w:lang w:eastAsia="fr-CA"/>
              </w:rPr>
              <w:t>timely and e</w:t>
            </w:r>
            <w:r w:rsidRPr="00C47E4B">
              <w:rPr>
                <w:sz w:val="20"/>
                <w:lang w:eastAsia="fr-CA"/>
              </w:rPr>
              <w:t>ntity-specific disclosure</w:t>
            </w:r>
            <w:r>
              <w:rPr>
                <w:sz w:val="20"/>
                <w:lang w:eastAsia="fr-CA"/>
              </w:rPr>
              <w:t xml:space="preserve"> of </w:t>
            </w:r>
            <w:r w:rsidRPr="005362CD">
              <w:rPr>
                <w:sz w:val="20"/>
                <w:lang w:eastAsia="fr-CA"/>
              </w:rPr>
              <w:t>significant judgements and measurement uncertaint</w:t>
            </w:r>
            <w:r>
              <w:rPr>
                <w:sz w:val="20"/>
                <w:lang w:eastAsia="fr-CA"/>
              </w:rPr>
              <w:t>ies pertaining to the amounts recognized in the financial statements</w:t>
            </w:r>
            <w:r w:rsidRPr="005362CD">
              <w:rPr>
                <w:sz w:val="20"/>
                <w:lang w:eastAsia="fr-CA"/>
              </w:rPr>
              <w:t xml:space="preserve"> </w:t>
            </w:r>
            <w:r w:rsidRPr="009964D5">
              <w:rPr>
                <w:sz w:val="20"/>
                <w:lang w:eastAsia="fr-CA"/>
              </w:rPr>
              <w:t xml:space="preserve">in </w:t>
            </w:r>
            <w:r>
              <w:rPr>
                <w:sz w:val="20"/>
                <w:lang w:eastAsia="fr-CA"/>
              </w:rPr>
              <w:t xml:space="preserve">light of </w:t>
            </w:r>
            <w:r w:rsidRPr="009964D5">
              <w:rPr>
                <w:sz w:val="20"/>
                <w:lang w:eastAsia="fr-CA"/>
              </w:rPr>
              <w:t>the rapidly changing environment</w:t>
            </w:r>
            <w:r>
              <w:rPr>
                <w:sz w:val="20"/>
                <w:lang w:eastAsia="fr-CA"/>
              </w:rPr>
              <w:t xml:space="preserve"> and the </w:t>
            </w:r>
            <w:r w:rsidRPr="00CB1F20">
              <w:rPr>
                <w:sz w:val="20"/>
                <w:lang w:eastAsia="fr-CA"/>
              </w:rPr>
              <w:t>extended impact of</w:t>
            </w:r>
            <w:r>
              <w:rPr>
                <w:sz w:val="20"/>
                <w:lang w:eastAsia="fr-CA"/>
              </w:rPr>
              <w:t xml:space="preserve"> </w:t>
            </w:r>
            <w:r w:rsidRPr="00CB1F20">
              <w:rPr>
                <w:sz w:val="20"/>
                <w:lang w:eastAsia="fr-CA"/>
              </w:rPr>
              <w:t>COVID-19</w:t>
            </w:r>
            <w:r>
              <w:rPr>
                <w:sz w:val="20"/>
                <w:lang w:eastAsia="fr-CA"/>
              </w:rPr>
              <w:t xml:space="preserve"> (e.g., e</w:t>
            </w:r>
            <w:r w:rsidRPr="005362CD">
              <w:rPr>
                <w:sz w:val="20"/>
                <w:lang w:eastAsia="fr-CA"/>
              </w:rPr>
              <w:t>stimate of credit loss and valuation</w:t>
            </w:r>
            <w:r>
              <w:rPr>
                <w:sz w:val="20"/>
                <w:lang w:eastAsia="fr-CA"/>
              </w:rPr>
              <w:t xml:space="preserve"> of non-financial assets)</w:t>
            </w:r>
            <w:r w:rsidRPr="005362CD">
              <w:rPr>
                <w:sz w:val="20"/>
                <w:lang w:eastAsia="fr-CA"/>
              </w:rPr>
              <w:t>; and</w:t>
            </w:r>
          </w:p>
          <w:p w14:paraId="3B48F9F6" w14:textId="042CF20E" w:rsidR="008643D9" w:rsidRDefault="008643D9" w:rsidP="00E5467D">
            <w:pPr>
              <w:pStyle w:val="ListParagraph"/>
              <w:numPr>
                <w:ilvl w:val="1"/>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r>
              <w:rPr>
                <w:sz w:val="20"/>
                <w:lang w:eastAsia="fr-CA"/>
              </w:rPr>
              <w:t xml:space="preserve">explanation of </w:t>
            </w:r>
            <w:r w:rsidRPr="005362CD">
              <w:rPr>
                <w:sz w:val="20"/>
                <w:lang w:eastAsia="fr-CA"/>
              </w:rPr>
              <w:t xml:space="preserve">the nature of estimation uncertainty and sensitivity analysis to </w:t>
            </w:r>
            <w:r w:rsidR="0072726B">
              <w:rPr>
                <w:sz w:val="20"/>
                <w:lang w:eastAsia="fr-CA"/>
              </w:rPr>
              <w:t>help</w:t>
            </w:r>
            <w:r w:rsidRPr="005362CD">
              <w:rPr>
                <w:sz w:val="20"/>
                <w:lang w:eastAsia="fr-CA"/>
              </w:rPr>
              <w:t xml:space="preserve"> investors fully understand the potential impact of estimates made </w:t>
            </w:r>
            <w:r w:rsidR="00426CCE">
              <w:rPr>
                <w:sz w:val="20"/>
                <w:lang w:eastAsia="fr-CA"/>
              </w:rPr>
              <w:t>in</w:t>
            </w:r>
            <w:r w:rsidRPr="005362CD">
              <w:rPr>
                <w:sz w:val="20"/>
                <w:lang w:eastAsia="fr-CA"/>
              </w:rPr>
              <w:t xml:space="preserve"> the financial statements</w:t>
            </w:r>
            <w:r>
              <w:rPr>
                <w:sz w:val="20"/>
                <w:lang w:eastAsia="fr-CA"/>
              </w:rPr>
              <w:t>.</w:t>
            </w:r>
          </w:p>
          <w:p w14:paraId="79AA3053" w14:textId="19C14BC3" w:rsidR="008643D9" w:rsidRPr="005362CD" w:rsidRDefault="008643D9" w:rsidP="00E5467D">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r w:rsidRPr="005362CD">
              <w:rPr>
                <w:sz w:val="20"/>
                <w:lang w:eastAsia="fr-CA"/>
              </w:rPr>
              <w:t xml:space="preserve">While issuers are expected to supplement their discussion of </w:t>
            </w:r>
            <w:r w:rsidR="00596163">
              <w:rPr>
                <w:sz w:val="20"/>
                <w:lang w:eastAsia="fr-CA"/>
              </w:rPr>
              <w:t>significant judgments and</w:t>
            </w:r>
            <w:r w:rsidR="00596163" w:rsidRPr="005362CD">
              <w:rPr>
                <w:sz w:val="20"/>
                <w:lang w:eastAsia="fr-CA"/>
              </w:rPr>
              <w:t xml:space="preserve"> </w:t>
            </w:r>
            <w:r w:rsidRPr="005362CD">
              <w:rPr>
                <w:sz w:val="20"/>
                <w:lang w:eastAsia="fr-CA"/>
              </w:rPr>
              <w:t>measurement uncertainty in the MD&amp;A (critical accounting estimates, risk factors, forward looking information) the discussion of significant judgements and measurement uncertainty</w:t>
            </w:r>
            <w:r>
              <w:rPr>
                <w:sz w:val="20"/>
                <w:lang w:eastAsia="fr-CA"/>
              </w:rPr>
              <w:t xml:space="preserve"> is required</w:t>
            </w:r>
            <w:r w:rsidRPr="005362CD">
              <w:rPr>
                <w:sz w:val="20"/>
                <w:lang w:eastAsia="fr-CA"/>
              </w:rPr>
              <w:t xml:space="preserve"> in the notes to the </w:t>
            </w:r>
            <w:r w:rsidR="00783647">
              <w:rPr>
                <w:sz w:val="20"/>
                <w:lang w:eastAsia="fr-CA"/>
              </w:rPr>
              <w:t xml:space="preserve">annual </w:t>
            </w:r>
            <w:r w:rsidRPr="005362CD">
              <w:rPr>
                <w:sz w:val="20"/>
                <w:lang w:eastAsia="fr-CA"/>
              </w:rPr>
              <w:t>financial statements.</w:t>
            </w:r>
          </w:p>
          <w:p w14:paraId="110CD7D1" w14:textId="77777777" w:rsidR="008643D9" w:rsidRPr="005362CD" w:rsidRDefault="008643D9" w:rsidP="00E5467D">
            <w:pPr>
              <w:pStyle w:val="CommentTex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fr-CA"/>
              </w:rPr>
            </w:pPr>
          </w:p>
          <w:p w14:paraId="34C0238D" w14:textId="79B62219" w:rsidR="008643D9" w:rsidRPr="005362CD" w:rsidRDefault="008643D9" w:rsidP="00D93E09">
            <w:pPr>
              <w:pStyle w:val="CommentText"/>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eastAsia="fr-CA"/>
              </w:rPr>
            </w:pPr>
            <w:r w:rsidRPr="005362CD">
              <w:rPr>
                <w:rFonts w:ascii="Times New Roman" w:eastAsia="Times New Roman" w:hAnsi="Times New Roman" w:cs="Times New Roman"/>
                <w:b/>
                <w:bCs/>
                <w:lang w:eastAsia="fr-CA"/>
              </w:rPr>
              <w:t xml:space="preserve">References: </w:t>
            </w:r>
            <w:r w:rsidR="00A279EC">
              <w:rPr>
                <w:rFonts w:ascii="Times New Roman" w:eastAsia="Times New Roman" w:hAnsi="Times New Roman" w:cs="Times New Roman"/>
                <w:b/>
                <w:bCs/>
                <w:lang w:eastAsia="fr-CA"/>
              </w:rPr>
              <w:t>p</w:t>
            </w:r>
            <w:r w:rsidRPr="005362CD">
              <w:rPr>
                <w:rFonts w:ascii="Times New Roman" w:eastAsia="Times New Roman" w:hAnsi="Times New Roman" w:cs="Times New Roman"/>
                <w:b/>
                <w:bCs/>
                <w:lang w:eastAsia="fr-CA"/>
              </w:rPr>
              <w:t>ara 12</w:t>
            </w:r>
            <w:r w:rsidR="00596163">
              <w:rPr>
                <w:rFonts w:ascii="Times New Roman" w:eastAsia="Times New Roman" w:hAnsi="Times New Roman" w:cs="Times New Roman"/>
                <w:b/>
                <w:bCs/>
                <w:lang w:eastAsia="fr-CA"/>
              </w:rPr>
              <w:t>2</w:t>
            </w:r>
            <w:r w:rsidRPr="005362CD">
              <w:rPr>
                <w:rFonts w:ascii="Times New Roman" w:eastAsia="Times New Roman" w:hAnsi="Times New Roman" w:cs="Times New Roman"/>
                <w:b/>
                <w:bCs/>
                <w:lang w:eastAsia="fr-CA"/>
              </w:rPr>
              <w:t xml:space="preserve"> and 12</w:t>
            </w:r>
            <w:r w:rsidR="00596163">
              <w:rPr>
                <w:rFonts w:ascii="Times New Roman" w:eastAsia="Times New Roman" w:hAnsi="Times New Roman" w:cs="Times New Roman"/>
                <w:b/>
                <w:bCs/>
                <w:lang w:eastAsia="fr-CA"/>
              </w:rPr>
              <w:t>5</w:t>
            </w:r>
            <w:r w:rsidRPr="005362CD">
              <w:rPr>
                <w:rFonts w:ascii="Times New Roman" w:eastAsia="Times New Roman" w:hAnsi="Times New Roman" w:cs="Times New Roman"/>
                <w:b/>
                <w:bCs/>
                <w:lang w:eastAsia="fr-CA"/>
              </w:rPr>
              <w:t xml:space="preserve"> of IAS 1 </w:t>
            </w:r>
            <w:r w:rsidRPr="005362CD">
              <w:rPr>
                <w:rFonts w:ascii="Times New Roman" w:eastAsia="Times New Roman" w:hAnsi="Times New Roman" w:cs="Times New Roman"/>
                <w:b/>
                <w:bCs/>
                <w:i/>
                <w:iCs/>
                <w:lang w:eastAsia="fr-CA"/>
              </w:rPr>
              <w:t>Presentation of Financial Statements</w:t>
            </w:r>
          </w:p>
        </w:tc>
      </w:tr>
      <w:tr w:rsidR="008643D9" w:rsidRPr="00947F30" w14:paraId="208C18CE" w14:textId="77777777" w:rsidTr="00E5467D">
        <w:trPr>
          <w:trHeight w:val="1046"/>
        </w:trPr>
        <w:tc>
          <w:tcPr>
            <w:cnfStyle w:val="001000000000" w:firstRow="0" w:lastRow="0" w:firstColumn="1" w:lastColumn="0" w:oddVBand="0" w:evenVBand="0" w:oddHBand="0" w:evenHBand="0" w:firstRowFirstColumn="0" w:firstRowLastColumn="0" w:lastRowFirstColumn="0" w:lastRowLastColumn="0"/>
            <w:tcW w:w="1862" w:type="dxa"/>
            <w:shd w:val="clear" w:color="auto" w:fill="EEECE1" w:themeFill="background2"/>
          </w:tcPr>
          <w:p w14:paraId="60006827" w14:textId="77777777" w:rsidR="008643D9" w:rsidRPr="005362CD" w:rsidRDefault="008643D9" w:rsidP="00E5467D">
            <w:pPr>
              <w:rPr>
                <w:color w:val="000000" w:themeColor="text1"/>
                <w:sz w:val="20"/>
              </w:rPr>
            </w:pPr>
            <w:r>
              <w:rPr>
                <w:sz w:val="20"/>
                <w:lang w:eastAsia="fr-CA"/>
              </w:rPr>
              <w:t>Expected Credit Losses</w:t>
            </w:r>
            <w:r w:rsidRPr="005362CD">
              <w:rPr>
                <w:sz w:val="20"/>
                <w:lang w:eastAsia="fr-CA"/>
              </w:rPr>
              <w:t xml:space="preserve"> (ECL)</w:t>
            </w:r>
          </w:p>
        </w:tc>
        <w:tc>
          <w:tcPr>
            <w:tcW w:w="3378" w:type="dxa"/>
            <w:shd w:val="clear" w:color="auto" w:fill="EEECE1" w:themeFill="background2"/>
          </w:tcPr>
          <w:p w14:paraId="0AA87E22" w14:textId="77777777" w:rsidR="008643D9" w:rsidRPr="00E56AA3" w:rsidRDefault="008643D9" w:rsidP="00E5467D">
            <w:pPr>
              <w:cnfStyle w:val="000000000000" w:firstRow="0" w:lastRow="0" w:firstColumn="0" w:lastColumn="0" w:oddVBand="0" w:evenVBand="0" w:oddHBand="0" w:evenHBand="0" w:firstRowFirstColumn="0" w:firstRowLastColumn="0" w:lastRowFirstColumn="0" w:lastRowLastColumn="0"/>
              <w:rPr>
                <w:b/>
                <w:bCs/>
                <w:sz w:val="20"/>
                <w:lang w:eastAsia="fr-CA"/>
              </w:rPr>
            </w:pPr>
            <w:r w:rsidRPr="00E56AA3">
              <w:rPr>
                <w:b/>
                <w:bCs/>
                <w:sz w:val="20"/>
                <w:lang w:eastAsia="fr-CA"/>
              </w:rPr>
              <w:t>Financial Institutions</w:t>
            </w:r>
          </w:p>
          <w:p w14:paraId="7CFB8948" w14:textId="77777777" w:rsidR="008643D9" w:rsidRDefault="008643D9" w:rsidP="00E5467D">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lang w:eastAsia="fr-CA"/>
              </w:rPr>
            </w:pPr>
            <w:r>
              <w:rPr>
                <w:sz w:val="20"/>
                <w:lang w:eastAsia="fr-CA"/>
              </w:rPr>
              <w:t>Some</w:t>
            </w:r>
            <w:r w:rsidRPr="002B50F8">
              <w:rPr>
                <w:sz w:val="20"/>
                <w:lang w:eastAsia="fr-CA"/>
              </w:rPr>
              <w:t xml:space="preserve"> issuers disclosed an elevated level of credit risk </w:t>
            </w:r>
            <w:r w:rsidR="00426CCE">
              <w:rPr>
                <w:sz w:val="20"/>
                <w:lang w:eastAsia="fr-CA"/>
              </w:rPr>
              <w:t>on</w:t>
            </w:r>
            <w:r w:rsidRPr="002B50F8">
              <w:rPr>
                <w:sz w:val="20"/>
                <w:lang w:eastAsia="fr-CA"/>
              </w:rPr>
              <w:t xml:space="preserve"> their material financial assets by each asset class in light of the outbreak of COVID-19</w:t>
            </w:r>
            <w:r>
              <w:rPr>
                <w:sz w:val="20"/>
                <w:lang w:eastAsia="fr-CA"/>
              </w:rPr>
              <w:t xml:space="preserve"> and updated the key assumptions considered by management and</w:t>
            </w:r>
            <w:r w:rsidRPr="002B50F8">
              <w:rPr>
                <w:sz w:val="20"/>
                <w:lang w:eastAsia="fr-CA"/>
              </w:rPr>
              <w:t xml:space="preserve"> their strategies to </w:t>
            </w:r>
            <w:r>
              <w:rPr>
                <w:sz w:val="20"/>
                <w:lang w:eastAsia="fr-CA"/>
              </w:rPr>
              <w:t>strengthen</w:t>
            </w:r>
            <w:r w:rsidRPr="002B50F8">
              <w:rPr>
                <w:sz w:val="20"/>
                <w:lang w:eastAsia="fr-CA"/>
              </w:rPr>
              <w:t xml:space="preserve"> their risk profile (e.g., </w:t>
            </w:r>
            <w:r>
              <w:rPr>
                <w:sz w:val="20"/>
                <w:lang w:eastAsia="fr-CA"/>
              </w:rPr>
              <w:t xml:space="preserve">through </w:t>
            </w:r>
            <w:r w:rsidRPr="002B50F8">
              <w:rPr>
                <w:sz w:val="20"/>
                <w:lang w:eastAsia="fr-CA"/>
              </w:rPr>
              <w:t>temporarily reduc</w:t>
            </w:r>
            <w:r>
              <w:rPr>
                <w:sz w:val="20"/>
                <w:lang w:eastAsia="fr-CA"/>
              </w:rPr>
              <w:t>ing</w:t>
            </w:r>
            <w:r w:rsidRPr="002B50F8">
              <w:rPr>
                <w:sz w:val="20"/>
                <w:lang w:eastAsia="fr-CA"/>
              </w:rPr>
              <w:t xml:space="preserve"> </w:t>
            </w:r>
            <w:r>
              <w:rPr>
                <w:sz w:val="20"/>
                <w:lang w:eastAsia="fr-CA"/>
              </w:rPr>
              <w:t xml:space="preserve">risk </w:t>
            </w:r>
            <w:r w:rsidRPr="002B50F8">
              <w:rPr>
                <w:sz w:val="20"/>
                <w:lang w:eastAsia="fr-CA"/>
              </w:rPr>
              <w:t>appetite for certain asset classes or increas</w:t>
            </w:r>
            <w:r>
              <w:rPr>
                <w:sz w:val="20"/>
                <w:lang w:eastAsia="fr-CA"/>
              </w:rPr>
              <w:t>ing</w:t>
            </w:r>
            <w:r w:rsidRPr="002B50F8">
              <w:rPr>
                <w:sz w:val="20"/>
                <w:lang w:eastAsia="fr-CA"/>
              </w:rPr>
              <w:t xml:space="preserve"> loan-to-value ratios)</w:t>
            </w:r>
            <w:r>
              <w:rPr>
                <w:sz w:val="20"/>
                <w:lang w:eastAsia="fr-CA"/>
              </w:rPr>
              <w:t>.</w:t>
            </w:r>
          </w:p>
          <w:p w14:paraId="58CE926E" w14:textId="37876508" w:rsidR="008643D9" w:rsidRPr="007E6F8A" w:rsidRDefault="008643D9" w:rsidP="00E5467D">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lang w:eastAsia="fr-CA"/>
              </w:rPr>
            </w:pPr>
            <w:r>
              <w:rPr>
                <w:sz w:val="20"/>
                <w:lang w:eastAsia="fr-CA"/>
              </w:rPr>
              <w:t xml:space="preserve">Some issuers disclosed increased ECL or provided an adequate explanation regarding </w:t>
            </w:r>
            <w:r w:rsidR="0072726B">
              <w:rPr>
                <w:sz w:val="20"/>
                <w:lang w:eastAsia="fr-CA"/>
              </w:rPr>
              <w:t>their expectation that</w:t>
            </w:r>
            <w:r>
              <w:rPr>
                <w:sz w:val="20"/>
                <w:lang w:eastAsia="fr-CA"/>
              </w:rPr>
              <w:t xml:space="preserve"> COVID-19 </w:t>
            </w:r>
            <w:r w:rsidR="0072726B">
              <w:rPr>
                <w:sz w:val="20"/>
                <w:lang w:eastAsia="fr-CA"/>
              </w:rPr>
              <w:t>will</w:t>
            </w:r>
            <w:r w:rsidRPr="002B1225">
              <w:rPr>
                <w:sz w:val="20"/>
                <w:lang w:eastAsia="fr-CA"/>
              </w:rPr>
              <w:t xml:space="preserve"> not</w:t>
            </w:r>
            <w:r>
              <w:rPr>
                <w:sz w:val="20"/>
                <w:lang w:eastAsia="fr-CA"/>
              </w:rPr>
              <w:t xml:space="preserve"> </w:t>
            </w:r>
            <w:r w:rsidRPr="002B1225">
              <w:rPr>
                <w:sz w:val="20"/>
                <w:lang w:eastAsia="fr-CA"/>
              </w:rPr>
              <w:t xml:space="preserve">significantly impair </w:t>
            </w:r>
            <w:r>
              <w:rPr>
                <w:sz w:val="20"/>
                <w:lang w:eastAsia="fr-CA"/>
              </w:rPr>
              <w:t>their</w:t>
            </w:r>
            <w:r w:rsidRPr="002B1225">
              <w:rPr>
                <w:sz w:val="20"/>
                <w:lang w:eastAsia="fr-CA"/>
              </w:rPr>
              <w:t xml:space="preserve"> capital position</w:t>
            </w:r>
            <w:r>
              <w:rPr>
                <w:sz w:val="20"/>
                <w:lang w:eastAsia="fr-CA"/>
              </w:rPr>
              <w:t xml:space="preserve"> and credit quality.</w:t>
            </w:r>
          </w:p>
          <w:p w14:paraId="120D3BC2" w14:textId="48BC8A85" w:rsidR="006156E1" w:rsidRPr="006156E1" w:rsidRDefault="006156E1" w:rsidP="006156E1">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lang w:eastAsia="fr-CA"/>
              </w:rPr>
            </w:pPr>
            <w:r w:rsidRPr="006156E1">
              <w:rPr>
                <w:sz w:val="20"/>
                <w:lang w:eastAsia="fr-CA"/>
              </w:rPr>
              <w:t>Many issuers that provided loan deferral programs/payment holidays to borrowers during COVID-19 pandemic also discussed the impact of these changes on risk of default and discussed the impact of these deferrals, including that the deferral of payments may  not immediately or always result  in a significant increase in credit risk (SICR).</w:t>
            </w:r>
          </w:p>
          <w:p w14:paraId="7AC4FD9F" w14:textId="5614395F" w:rsidR="008643D9" w:rsidRDefault="008643D9" w:rsidP="00E5467D">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lang w:eastAsia="fr-CA"/>
              </w:rPr>
            </w:pPr>
            <w:r w:rsidRPr="00FE1716">
              <w:rPr>
                <w:sz w:val="20"/>
                <w:lang w:eastAsia="fr-CA"/>
              </w:rPr>
              <w:t xml:space="preserve">Some issuers did not update their sensitivity analysis or disclose adjustments/overlays to the ECL model in their financial statements </w:t>
            </w:r>
            <w:r w:rsidR="0072726B">
              <w:rPr>
                <w:sz w:val="20"/>
                <w:lang w:eastAsia="fr-CA"/>
              </w:rPr>
              <w:t xml:space="preserve">that may have been necessary </w:t>
            </w:r>
            <w:r w:rsidRPr="00FE1716">
              <w:rPr>
                <w:sz w:val="20"/>
                <w:lang w:eastAsia="fr-CA"/>
              </w:rPr>
              <w:t>due to COVID-19 pandemic.</w:t>
            </w:r>
          </w:p>
          <w:p w14:paraId="7242C0B5" w14:textId="77777777" w:rsidR="006E2A02" w:rsidRDefault="006E2A02" w:rsidP="006E2A02">
            <w:pPr>
              <w:cnfStyle w:val="000000000000" w:firstRow="0" w:lastRow="0" w:firstColumn="0" w:lastColumn="0" w:oddVBand="0" w:evenVBand="0" w:oddHBand="0" w:evenHBand="0" w:firstRowFirstColumn="0" w:firstRowLastColumn="0" w:lastRowFirstColumn="0" w:lastRowLastColumn="0"/>
              <w:rPr>
                <w:b/>
                <w:bCs/>
                <w:color w:val="000000" w:themeColor="text1"/>
                <w:sz w:val="20"/>
                <w:lang w:val="en-US"/>
              </w:rPr>
            </w:pPr>
          </w:p>
          <w:p w14:paraId="05E7DB04" w14:textId="77777777" w:rsidR="006E2A02" w:rsidRPr="00D93E09" w:rsidRDefault="006E2A02" w:rsidP="00D93E09">
            <w:pPr>
              <w:cnfStyle w:val="000000000000" w:firstRow="0" w:lastRow="0" w:firstColumn="0" w:lastColumn="0" w:oddVBand="0" w:evenVBand="0" w:oddHBand="0" w:evenHBand="0" w:firstRowFirstColumn="0" w:firstRowLastColumn="0" w:lastRowFirstColumn="0" w:lastRowLastColumn="0"/>
              <w:rPr>
                <w:b/>
                <w:bCs/>
                <w:color w:val="000000" w:themeColor="text1"/>
                <w:sz w:val="20"/>
                <w:lang w:val="en-US"/>
              </w:rPr>
            </w:pPr>
            <w:r w:rsidRPr="00E122AE">
              <w:rPr>
                <w:b/>
                <w:bCs/>
                <w:color w:val="000000" w:themeColor="text1"/>
                <w:sz w:val="20"/>
                <w:lang w:val="en-US"/>
              </w:rPr>
              <w:t xml:space="preserve">Useful </w:t>
            </w:r>
            <w:r>
              <w:rPr>
                <w:b/>
                <w:bCs/>
                <w:color w:val="000000" w:themeColor="text1"/>
                <w:sz w:val="20"/>
                <w:lang w:val="en-US"/>
              </w:rPr>
              <w:t>d</w:t>
            </w:r>
            <w:r w:rsidRPr="00E122AE">
              <w:rPr>
                <w:b/>
                <w:bCs/>
                <w:color w:val="000000" w:themeColor="text1"/>
                <w:sz w:val="20"/>
                <w:lang w:val="en-US"/>
              </w:rPr>
              <w:t xml:space="preserve">isclosure </w:t>
            </w:r>
            <w:r>
              <w:rPr>
                <w:b/>
                <w:bCs/>
                <w:color w:val="000000" w:themeColor="text1"/>
                <w:sz w:val="20"/>
                <w:lang w:val="en-US"/>
              </w:rPr>
              <w:t>o</w:t>
            </w:r>
            <w:r w:rsidRPr="00E122AE">
              <w:rPr>
                <w:b/>
                <w:bCs/>
                <w:color w:val="000000" w:themeColor="text1"/>
                <w:sz w:val="20"/>
                <w:lang w:val="en-US"/>
              </w:rPr>
              <w:t>bserved</w:t>
            </w:r>
            <w:r>
              <w:rPr>
                <w:b/>
                <w:bCs/>
                <w:color w:val="000000" w:themeColor="text1"/>
                <w:sz w:val="20"/>
                <w:lang w:val="en-US"/>
              </w:rPr>
              <w:t>:</w:t>
            </w:r>
          </w:p>
          <w:p w14:paraId="2AC9D44A" w14:textId="42387C17" w:rsidR="008643D9" w:rsidRPr="00EA2BBB" w:rsidRDefault="008643D9" w:rsidP="00E5467D">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lang w:eastAsia="fr-CA"/>
              </w:rPr>
            </w:pPr>
            <w:r>
              <w:rPr>
                <w:sz w:val="20"/>
                <w:lang w:eastAsia="fr-CA"/>
              </w:rPr>
              <w:t>Some issuers u</w:t>
            </w:r>
            <w:r w:rsidRPr="00EA2BBB">
              <w:rPr>
                <w:sz w:val="20"/>
                <w:lang w:eastAsia="fr-CA"/>
              </w:rPr>
              <w:t>se</w:t>
            </w:r>
            <w:r>
              <w:rPr>
                <w:sz w:val="20"/>
                <w:lang w:eastAsia="fr-CA"/>
              </w:rPr>
              <w:t>d</w:t>
            </w:r>
            <w:r w:rsidRPr="00EA2BBB">
              <w:rPr>
                <w:sz w:val="20"/>
                <w:lang w:eastAsia="fr-CA"/>
              </w:rPr>
              <w:t xml:space="preserve"> sensitivity analysis with respect to the ECL model by providing multi-factor sensitivities to show the impact of </w:t>
            </w:r>
            <w:r w:rsidR="006156E1">
              <w:rPr>
                <w:sz w:val="20"/>
                <w:lang w:eastAsia="fr-CA"/>
              </w:rPr>
              <w:t>possible</w:t>
            </w:r>
            <w:r w:rsidRPr="00EA2BBB">
              <w:rPr>
                <w:sz w:val="20"/>
                <w:lang w:eastAsia="fr-CA"/>
              </w:rPr>
              <w:t xml:space="preserve"> changes in multiple assumptions affecting the ECL allowance.</w:t>
            </w:r>
          </w:p>
          <w:p w14:paraId="1BE1D854" w14:textId="77777777" w:rsidR="008643D9" w:rsidRPr="00EA2BBB" w:rsidRDefault="008643D9" w:rsidP="00E5467D">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lang w:eastAsia="fr-CA"/>
              </w:rPr>
            </w:pPr>
            <w:r>
              <w:rPr>
                <w:sz w:val="20"/>
                <w:lang w:eastAsia="fr-CA"/>
              </w:rPr>
              <w:t>A few issuers t</w:t>
            </w:r>
            <w:r w:rsidRPr="00EA2BBB">
              <w:rPr>
                <w:sz w:val="20"/>
                <w:lang w:eastAsia="fr-CA"/>
              </w:rPr>
              <w:t>ailor</w:t>
            </w:r>
            <w:r>
              <w:rPr>
                <w:sz w:val="20"/>
                <w:lang w:eastAsia="fr-CA"/>
              </w:rPr>
              <w:t>ed</w:t>
            </w:r>
            <w:r w:rsidRPr="00EA2BBB">
              <w:rPr>
                <w:sz w:val="20"/>
                <w:lang w:eastAsia="fr-CA"/>
              </w:rPr>
              <w:t xml:space="preserve"> </w:t>
            </w:r>
            <w:r>
              <w:rPr>
                <w:sz w:val="20"/>
                <w:lang w:eastAsia="fr-CA"/>
              </w:rPr>
              <w:t xml:space="preserve">the </w:t>
            </w:r>
            <w:r w:rsidRPr="00EA2BBB">
              <w:rPr>
                <w:sz w:val="20"/>
                <w:lang w:eastAsia="fr-CA"/>
              </w:rPr>
              <w:t>forward</w:t>
            </w:r>
            <w:r>
              <w:rPr>
                <w:sz w:val="20"/>
                <w:lang w:eastAsia="fr-CA"/>
              </w:rPr>
              <w:t>-</w:t>
            </w:r>
            <w:r w:rsidRPr="00EA2BBB">
              <w:rPr>
                <w:sz w:val="20"/>
                <w:lang w:eastAsia="fr-CA"/>
              </w:rPr>
              <w:t xml:space="preserve">looking </w:t>
            </w:r>
            <w:r>
              <w:rPr>
                <w:sz w:val="20"/>
                <w:lang w:eastAsia="fr-CA"/>
              </w:rPr>
              <w:t xml:space="preserve">information incorporated in determining their ECL to reflect the changes in </w:t>
            </w:r>
            <w:r w:rsidRPr="00EA2BBB">
              <w:rPr>
                <w:sz w:val="20"/>
                <w:lang w:eastAsia="fr-CA"/>
              </w:rPr>
              <w:t xml:space="preserve">characteristics of </w:t>
            </w:r>
            <w:r>
              <w:rPr>
                <w:sz w:val="20"/>
                <w:lang w:eastAsia="fr-CA"/>
              </w:rPr>
              <w:t>individual</w:t>
            </w:r>
            <w:r w:rsidRPr="00EA2BBB">
              <w:rPr>
                <w:sz w:val="20"/>
                <w:lang w:eastAsia="fr-CA"/>
              </w:rPr>
              <w:t xml:space="preserve"> loan book</w:t>
            </w:r>
            <w:r>
              <w:rPr>
                <w:sz w:val="20"/>
                <w:lang w:eastAsia="fr-CA"/>
              </w:rPr>
              <w:t xml:space="preserve">s </w:t>
            </w:r>
            <w:r w:rsidRPr="009620E7">
              <w:rPr>
                <w:sz w:val="20"/>
                <w:lang w:eastAsia="fr-CA"/>
              </w:rPr>
              <w:t xml:space="preserve">(e.g., changes </w:t>
            </w:r>
            <w:r>
              <w:rPr>
                <w:sz w:val="20"/>
                <w:lang w:eastAsia="fr-CA"/>
              </w:rPr>
              <w:t>of</w:t>
            </w:r>
            <w:r w:rsidRPr="009620E7">
              <w:rPr>
                <w:sz w:val="20"/>
                <w:lang w:eastAsia="fr-CA"/>
              </w:rPr>
              <w:t xml:space="preserve"> credit risk in loans provided to borrowers in vulnerable sectors</w:t>
            </w:r>
            <w:r w:rsidR="006E2A02">
              <w:rPr>
                <w:sz w:val="20"/>
                <w:lang w:eastAsia="fr-CA"/>
              </w:rPr>
              <w:t>/geographic regions</w:t>
            </w:r>
            <w:r w:rsidRPr="009620E7">
              <w:rPr>
                <w:sz w:val="20"/>
                <w:lang w:eastAsia="fr-CA"/>
              </w:rPr>
              <w:t xml:space="preserve"> or </w:t>
            </w:r>
            <w:r>
              <w:rPr>
                <w:sz w:val="20"/>
                <w:lang w:eastAsia="fr-CA"/>
              </w:rPr>
              <w:t xml:space="preserve">of </w:t>
            </w:r>
            <w:r w:rsidRPr="009620E7">
              <w:rPr>
                <w:sz w:val="20"/>
                <w:lang w:eastAsia="fr-CA"/>
              </w:rPr>
              <w:t>higher downgrade sensitivity)</w:t>
            </w:r>
          </w:p>
          <w:p w14:paraId="7CB28290" w14:textId="56F11D04" w:rsidR="008643D9" w:rsidRDefault="007B545E" w:rsidP="00E5467D">
            <w:pPr>
              <w:cnfStyle w:val="000000000000" w:firstRow="0" w:lastRow="0" w:firstColumn="0" w:lastColumn="0" w:oddVBand="0" w:evenVBand="0" w:oddHBand="0" w:evenHBand="0" w:firstRowFirstColumn="0" w:firstRowLastColumn="0" w:lastRowFirstColumn="0" w:lastRowLastColumn="0"/>
              <w:rPr>
                <w:b/>
                <w:bCs/>
                <w:sz w:val="20"/>
                <w:lang w:eastAsia="fr-CA"/>
              </w:rPr>
            </w:pPr>
            <w:r>
              <w:rPr>
                <w:b/>
                <w:bCs/>
                <w:sz w:val="20"/>
                <w:lang w:eastAsia="fr-CA"/>
              </w:rPr>
              <w:t>Issuers</w:t>
            </w:r>
            <w:r w:rsidR="008643D9">
              <w:rPr>
                <w:b/>
                <w:bCs/>
                <w:sz w:val="20"/>
                <w:lang w:eastAsia="fr-CA"/>
              </w:rPr>
              <w:t xml:space="preserve"> Applying the “simplified” ECL model</w:t>
            </w:r>
          </w:p>
          <w:p w14:paraId="6747CE5D" w14:textId="77777777" w:rsidR="008643D9" w:rsidRPr="00E115D0" w:rsidRDefault="008643D9" w:rsidP="00E5467D">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lang w:eastAsia="fr-CA"/>
              </w:rPr>
            </w:pPr>
            <w:r>
              <w:rPr>
                <w:sz w:val="20"/>
                <w:lang w:eastAsia="fr-CA"/>
              </w:rPr>
              <w:t>Over 20% of the</w:t>
            </w:r>
            <w:r w:rsidRPr="00FC0D6E">
              <w:rPr>
                <w:sz w:val="20"/>
                <w:lang w:eastAsia="fr-CA"/>
              </w:rPr>
              <w:t xml:space="preserve"> issuers</w:t>
            </w:r>
            <w:r>
              <w:rPr>
                <w:sz w:val="20"/>
                <w:lang w:eastAsia="fr-CA"/>
              </w:rPr>
              <w:t xml:space="preserve"> we reviewed </w:t>
            </w:r>
            <w:r w:rsidRPr="00FC0D6E">
              <w:rPr>
                <w:sz w:val="20"/>
                <w:lang w:eastAsia="fr-CA"/>
              </w:rPr>
              <w:t xml:space="preserve">did not disclose ECL/allowance for doubtful accounts for their significant accounts receivable balance, or did not provide </w:t>
            </w:r>
            <w:r>
              <w:rPr>
                <w:sz w:val="20"/>
                <w:lang w:eastAsia="fr-CA"/>
              </w:rPr>
              <w:t>sufficiently detailed</w:t>
            </w:r>
            <w:r w:rsidRPr="00FC0D6E">
              <w:rPr>
                <w:sz w:val="20"/>
                <w:lang w:eastAsia="fr-CA"/>
              </w:rPr>
              <w:t xml:space="preserve"> updates to the measurement of ECL </w:t>
            </w:r>
            <w:r>
              <w:rPr>
                <w:sz w:val="20"/>
                <w:lang w:eastAsia="fr-CA"/>
              </w:rPr>
              <w:t>due to</w:t>
            </w:r>
            <w:r w:rsidRPr="00FC0D6E">
              <w:rPr>
                <w:sz w:val="20"/>
                <w:lang w:eastAsia="fr-CA"/>
              </w:rPr>
              <w:t xml:space="preserve"> the COVID-19 outbreak</w:t>
            </w:r>
            <w:r>
              <w:rPr>
                <w:sz w:val="20"/>
                <w:lang w:eastAsia="fr-CA"/>
              </w:rPr>
              <w:t xml:space="preserve"> (e.g., </w:t>
            </w:r>
            <w:r w:rsidRPr="00FC0D6E">
              <w:rPr>
                <w:sz w:val="20"/>
                <w:lang w:eastAsia="fr-CA"/>
              </w:rPr>
              <w:t xml:space="preserve">the adjustment for </w:t>
            </w:r>
            <w:r>
              <w:rPr>
                <w:sz w:val="20"/>
                <w:lang w:eastAsia="fr-CA"/>
              </w:rPr>
              <w:t>key assumptions and change in grouping of trade receivables).</w:t>
            </w:r>
          </w:p>
        </w:tc>
        <w:tc>
          <w:tcPr>
            <w:tcW w:w="4541" w:type="dxa"/>
            <w:shd w:val="clear" w:color="auto" w:fill="EEECE1" w:themeFill="background2"/>
          </w:tcPr>
          <w:p w14:paraId="4FF25CBB" w14:textId="6E116444" w:rsidR="00596163" w:rsidRPr="00596163" w:rsidRDefault="008643D9" w:rsidP="00596163">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lang w:eastAsia="fr-CA"/>
              </w:rPr>
            </w:pPr>
            <w:r w:rsidRPr="005362CD">
              <w:rPr>
                <w:sz w:val="20"/>
                <w:lang w:eastAsia="fr-CA"/>
              </w:rPr>
              <w:t xml:space="preserve">Issuers are </w:t>
            </w:r>
            <w:r>
              <w:rPr>
                <w:sz w:val="20"/>
                <w:lang w:eastAsia="fr-CA"/>
              </w:rPr>
              <w:t xml:space="preserve">required </w:t>
            </w:r>
            <w:r w:rsidRPr="005362CD">
              <w:rPr>
                <w:sz w:val="20"/>
                <w:lang w:eastAsia="fr-CA"/>
              </w:rPr>
              <w:t>to disclose the following:</w:t>
            </w:r>
          </w:p>
          <w:p w14:paraId="1FDC55AA" w14:textId="77777777" w:rsidR="00596163" w:rsidRPr="00BB0F2A" w:rsidRDefault="00596163" w:rsidP="00596163">
            <w:pPr>
              <w:pStyle w:val="ListParagraph"/>
              <w:numPr>
                <w:ilvl w:val="0"/>
                <w:numId w:val="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themeColor="text1"/>
                <w:spacing w:val="-5"/>
                <w:sz w:val="20"/>
              </w:rPr>
            </w:pPr>
            <w:r>
              <w:rPr>
                <w:rFonts w:eastAsiaTheme="minorHAnsi"/>
                <w:sz w:val="20"/>
                <w:lang w:eastAsia="fr-CA"/>
              </w:rPr>
              <w:t>An explanation of the inputs, assumptions and judgments made in estimating ECL</w:t>
            </w:r>
          </w:p>
          <w:p w14:paraId="3C9F329B" w14:textId="1EF69C36" w:rsidR="008643D9" w:rsidRPr="00EA2BBB" w:rsidRDefault="008643D9" w:rsidP="00E5467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eastAsiaTheme="minorHAnsi"/>
                <w:sz w:val="20"/>
                <w:lang w:eastAsia="fr-CA"/>
              </w:rPr>
            </w:pPr>
            <w:r>
              <w:rPr>
                <w:sz w:val="20"/>
                <w:lang w:eastAsia="fr-CA"/>
              </w:rPr>
              <w:t>T</w:t>
            </w:r>
            <w:r w:rsidRPr="005362CD">
              <w:rPr>
                <w:sz w:val="20"/>
                <w:lang w:eastAsia="fr-CA"/>
              </w:rPr>
              <w:t xml:space="preserve">he quantitative and qualitative factors taken into account in determining </w:t>
            </w:r>
            <w:r>
              <w:rPr>
                <w:sz w:val="20"/>
                <w:lang w:eastAsia="fr-CA"/>
              </w:rPr>
              <w:t xml:space="preserve">what constitutes a </w:t>
            </w:r>
            <w:r w:rsidR="00761BD8">
              <w:rPr>
                <w:sz w:val="20"/>
                <w:lang w:eastAsia="fr-CA"/>
              </w:rPr>
              <w:t>SICR</w:t>
            </w:r>
          </w:p>
          <w:p w14:paraId="31ED77B1" w14:textId="54C8E42B" w:rsidR="00596163" w:rsidRDefault="00596163" w:rsidP="0059616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eastAsiaTheme="minorHAnsi"/>
                <w:sz w:val="20"/>
                <w:lang w:eastAsia="fr-CA"/>
              </w:rPr>
            </w:pPr>
            <w:r>
              <w:rPr>
                <w:rFonts w:eastAsiaTheme="minorHAnsi"/>
                <w:sz w:val="20"/>
                <w:lang w:eastAsia="fr-CA"/>
              </w:rPr>
              <w:t>An</w:t>
            </w:r>
            <w:r w:rsidR="0072726B">
              <w:rPr>
                <w:rFonts w:eastAsiaTheme="minorHAnsi"/>
                <w:sz w:val="20"/>
                <w:lang w:eastAsia="fr-CA"/>
              </w:rPr>
              <w:t xml:space="preserve"> issuer</w:t>
            </w:r>
            <w:r>
              <w:rPr>
                <w:rFonts w:eastAsiaTheme="minorHAnsi"/>
                <w:sz w:val="20"/>
                <w:lang w:eastAsia="fr-CA"/>
              </w:rPr>
              <w:t xml:space="preserve">’s </w:t>
            </w:r>
            <w:r w:rsidR="004A2559" w:rsidRPr="004A2559">
              <w:rPr>
                <w:rFonts w:eastAsiaTheme="minorHAnsi"/>
                <w:sz w:val="20"/>
                <w:lang w:eastAsia="fr-CA"/>
              </w:rPr>
              <w:t>definitions of default, including the reasons for selecting</w:t>
            </w:r>
            <w:r w:rsidR="004A2559">
              <w:rPr>
                <w:rFonts w:eastAsiaTheme="minorHAnsi"/>
                <w:sz w:val="20"/>
                <w:lang w:eastAsia="fr-CA"/>
              </w:rPr>
              <w:t xml:space="preserve"> </w:t>
            </w:r>
            <w:r w:rsidR="004A2559" w:rsidRPr="004A2559">
              <w:rPr>
                <w:rFonts w:eastAsiaTheme="minorHAnsi"/>
                <w:sz w:val="20"/>
                <w:lang w:eastAsia="fr-CA"/>
              </w:rPr>
              <w:t>those definitions</w:t>
            </w:r>
          </w:p>
          <w:p w14:paraId="7E157EF7" w14:textId="28ACCB10" w:rsidR="00596163" w:rsidRDefault="00596163" w:rsidP="0059616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eastAsiaTheme="minorHAnsi"/>
                <w:sz w:val="20"/>
                <w:lang w:eastAsia="fr-CA"/>
              </w:rPr>
            </w:pPr>
            <w:r>
              <w:rPr>
                <w:rFonts w:eastAsiaTheme="minorHAnsi"/>
                <w:sz w:val="20"/>
                <w:lang w:eastAsia="fr-CA"/>
              </w:rPr>
              <w:t xml:space="preserve">An </w:t>
            </w:r>
            <w:r w:rsidR="005502AC">
              <w:rPr>
                <w:rFonts w:eastAsiaTheme="minorHAnsi"/>
                <w:sz w:val="20"/>
                <w:lang w:eastAsia="fr-CA"/>
              </w:rPr>
              <w:t>issuer</w:t>
            </w:r>
            <w:r>
              <w:rPr>
                <w:rFonts w:eastAsiaTheme="minorHAnsi"/>
                <w:sz w:val="20"/>
                <w:lang w:eastAsia="fr-CA"/>
              </w:rPr>
              <w:t>’s write-off policy, including the indicators that there is no reasonable expectation of recovery</w:t>
            </w:r>
          </w:p>
          <w:p w14:paraId="3E95A5EE" w14:textId="5695876D" w:rsidR="008643D9" w:rsidRPr="00EA2BBB" w:rsidRDefault="008643D9" w:rsidP="00E5467D">
            <w:pPr>
              <w:pStyle w:val="CommentText"/>
              <w:numPr>
                <w:ilvl w:val="0"/>
                <w:numId w:val="9"/>
              </w:num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sidRPr="00667A81">
              <w:rPr>
                <w:rFonts w:ascii="Times New Roman" w:hAnsi="Times New Roman" w:cs="Times New Roman"/>
                <w:lang w:eastAsia="fr-CA"/>
              </w:rPr>
              <w:t xml:space="preserve">How forward-looking information has been incorporated into the determination of ECL. </w:t>
            </w:r>
            <w:r w:rsidR="004A2559">
              <w:rPr>
                <w:rFonts w:ascii="Times New Roman" w:hAnsi="Times New Roman" w:cs="Times New Roman"/>
                <w:lang w:eastAsia="fr-CA"/>
              </w:rPr>
              <w:t>F</w:t>
            </w:r>
            <w:r w:rsidRPr="00667A81">
              <w:rPr>
                <w:rFonts w:ascii="Times New Roman" w:hAnsi="Times New Roman" w:cs="Times New Roman"/>
                <w:lang w:eastAsia="fr-CA"/>
              </w:rPr>
              <w:t xml:space="preserve">orward-looking information can include macroeconomic information, for example: unemployment rate, GDP growth rate, housing price index/home price index growth rate, </w:t>
            </w:r>
            <w:r w:rsidR="004A2559">
              <w:rPr>
                <w:rFonts w:ascii="Times New Roman" w:hAnsi="Times New Roman" w:cs="Times New Roman"/>
                <w:lang w:eastAsia="fr-CA"/>
              </w:rPr>
              <w:t xml:space="preserve">and </w:t>
            </w:r>
            <w:r w:rsidRPr="00667A81">
              <w:rPr>
                <w:rFonts w:ascii="Times New Roman" w:hAnsi="Times New Roman" w:cs="Times New Roman"/>
                <w:lang w:eastAsia="fr-CA"/>
              </w:rPr>
              <w:t xml:space="preserve">interest rate forecasts. </w:t>
            </w:r>
            <w:r w:rsidR="00596163">
              <w:rPr>
                <w:rFonts w:ascii="Times New Roman" w:hAnsi="Times New Roman" w:cs="Times New Roman"/>
                <w:lang w:eastAsia="fr-CA"/>
              </w:rPr>
              <w:t xml:space="preserve">Staff expect that </w:t>
            </w:r>
            <w:r w:rsidR="006B5A58">
              <w:rPr>
                <w:rFonts w:ascii="Times New Roman" w:hAnsi="Times New Roman" w:cs="Times New Roman"/>
                <w:lang w:eastAsia="fr-CA"/>
              </w:rPr>
              <w:t>forward-looking information</w:t>
            </w:r>
            <w:r w:rsidRPr="00EA2BBB">
              <w:rPr>
                <w:rFonts w:ascii="Times New Roman" w:hAnsi="Times New Roman" w:cs="Times New Roman"/>
                <w:lang w:eastAsia="fr-CA"/>
              </w:rPr>
              <w:t xml:space="preserve"> should take COVID-19 impacts into consideration.</w:t>
            </w:r>
          </w:p>
          <w:p w14:paraId="0E0B66C4" w14:textId="394427FB" w:rsidR="008643D9" w:rsidRPr="00596163" w:rsidRDefault="008643D9" w:rsidP="00E5467D">
            <w:pPr>
              <w:pStyle w:val="ListParagraph"/>
              <w:numPr>
                <w:ilvl w:val="0"/>
                <w:numId w:val="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themeColor="text1"/>
                <w:spacing w:val="-5"/>
                <w:sz w:val="20"/>
              </w:rPr>
            </w:pPr>
            <w:r>
              <w:rPr>
                <w:rFonts w:eastAsiaTheme="minorHAnsi"/>
                <w:sz w:val="20"/>
                <w:lang w:eastAsia="fr-CA"/>
              </w:rPr>
              <w:t>I</w:t>
            </w:r>
            <w:r w:rsidRPr="005362CD">
              <w:rPr>
                <w:rFonts w:eastAsiaTheme="minorHAnsi"/>
                <w:sz w:val="20"/>
                <w:lang w:eastAsia="fr-CA"/>
              </w:rPr>
              <w:t>nformation about credit risk management practices</w:t>
            </w:r>
            <w:r>
              <w:rPr>
                <w:rFonts w:eastAsiaTheme="minorHAnsi"/>
                <w:sz w:val="20"/>
                <w:lang w:eastAsia="fr-CA"/>
              </w:rPr>
              <w:t xml:space="preserve"> and any significant changes to credit risk exposure, which may in part be due to the impact of COVID-19</w:t>
            </w:r>
            <w:r w:rsidRPr="005362CD">
              <w:rPr>
                <w:sz w:val="20"/>
                <w:lang w:eastAsia="fr-CA"/>
              </w:rPr>
              <w:t>.</w:t>
            </w:r>
          </w:p>
          <w:p w14:paraId="220669BD" w14:textId="77777777" w:rsidR="00596163" w:rsidRPr="00EA2BBB" w:rsidRDefault="00596163" w:rsidP="00596163">
            <w:pPr>
              <w:pStyle w:val="ListParagraph"/>
              <w:autoSpaceDE w:val="0"/>
              <w:autoSpaceDN w:val="0"/>
              <w:adjustRightInd w:val="0"/>
              <w:ind w:left="360"/>
              <w:cnfStyle w:val="000000000000" w:firstRow="0" w:lastRow="0" w:firstColumn="0" w:lastColumn="0" w:oddVBand="0" w:evenVBand="0" w:oddHBand="0" w:evenHBand="0" w:firstRowFirstColumn="0" w:firstRowLastColumn="0" w:lastRowFirstColumn="0" w:lastRowLastColumn="0"/>
              <w:rPr>
                <w:color w:val="000000" w:themeColor="text1"/>
                <w:spacing w:val="-5"/>
                <w:sz w:val="20"/>
              </w:rPr>
            </w:pPr>
          </w:p>
          <w:p w14:paraId="361DD7FA" w14:textId="77777777" w:rsidR="008643D9" w:rsidRPr="005362CD" w:rsidRDefault="008643D9" w:rsidP="00E5467D">
            <w:pPr>
              <w:pStyle w:val="CommentText"/>
              <w:shd w:val="clear" w:color="auto" w:fill="DDD9C3" w:themeFill="background2" w:themeFillShade="E6"/>
              <w:spacing w:after="0"/>
              <w:cnfStyle w:val="000000000000" w:firstRow="0" w:lastRow="0" w:firstColumn="0" w:lastColumn="0" w:oddVBand="0" w:evenVBand="0" w:oddHBand="0" w:evenHBand="0" w:firstRowFirstColumn="0" w:firstRowLastColumn="0" w:lastRowFirstColumn="0" w:lastRowLastColumn="0"/>
              <w:rPr>
                <w:b/>
                <w:lang w:eastAsia="fr-CA"/>
              </w:rPr>
            </w:pPr>
            <w:r w:rsidRPr="00EF0119">
              <w:rPr>
                <w:rFonts w:ascii="Times New Roman" w:hAnsi="Times New Roman" w:cs="Times New Roman"/>
                <w:b/>
                <w:bCs/>
                <w:color w:val="000000" w:themeColor="text1"/>
                <w:spacing w:val="-5"/>
              </w:rPr>
              <w:t>Other considerations</w:t>
            </w:r>
            <w:r>
              <w:rPr>
                <w:rFonts w:ascii="Times New Roman" w:hAnsi="Times New Roman" w:cs="Times New Roman"/>
                <w:b/>
                <w:color w:val="000000" w:themeColor="text1"/>
                <w:spacing w:val="-5"/>
              </w:rPr>
              <w:t>:</w:t>
            </w:r>
          </w:p>
          <w:p w14:paraId="0AFBFC3A" w14:textId="048146D7" w:rsidR="006156E1" w:rsidRPr="00596163" w:rsidRDefault="006156E1" w:rsidP="00596163">
            <w:pPr>
              <w:pStyle w:val="CommentText"/>
              <w:numPr>
                <w:ilvl w:val="0"/>
                <w:numId w:val="46"/>
              </w:numPr>
              <w:shd w:val="clear" w:color="auto" w:fill="DDD9C3" w:themeFill="background2" w:themeFillShade="E6"/>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sidRPr="006156E1">
              <w:rPr>
                <w:rFonts w:ascii="Times New Roman" w:hAnsi="Times New Roman" w:cs="Times New Roman"/>
                <w:color w:val="000000" w:themeColor="text1"/>
                <w:spacing w:val="-5"/>
              </w:rPr>
              <w:t>Relying solely on historic loss rates in determining ECL would not be appropriate if the entity has been, or is expected to be, impacted by the pandemic.</w:t>
            </w:r>
          </w:p>
          <w:p w14:paraId="6F1099F8" w14:textId="22DC7D30" w:rsidR="008E2280" w:rsidRDefault="008E2280" w:rsidP="008E2280">
            <w:pPr>
              <w:pStyle w:val="CommentText"/>
              <w:numPr>
                <w:ilvl w:val="0"/>
                <w:numId w:val="46"/>
              </w:numPr>
              <w:shd w:val="clear" w:color="auto" w:fill="DDD9C3" w:themeFill="background2" w:themeFillShade="E6"/>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sidRPr="0018231E">
              <w:rPr>
                <w:rFonts w:ascii="Times New Roman" w:hAnsi="Times New Roman" w:cs="Times New Roman"/>
                <w:color w:val="000000" w:themeColor="text1"/>
                <w:spacing w:val="-5"/>
              </w:rPr>
              <w:t xml:space="preserve">It may be difficult at this time to incorporate the specific effects of the pandemic (e.g. government support and customer relief measures) into </w:t>
            </w:r>
            <w:r>
              <w:rPr>
                <w:rFonts w:ascii="Times New Roman" w:hAnsi="Times New Roman" w:cs="Times New Roman"/>
                <w:color w:val="000000" w:themeColor="text1"/>
                <w:spacing w:val="-5"/>
              </w:rPr>
              <w:t xml:space="preserve">the </w:t>
            </w:r>
            <w:r w:rsidRPr="0018231E">
              <w:rPr>
                <w:rFonts w:ascii="Times New Roman" w:hAnsi="Times New Roman" w:cs="Times New Roman"/>
                <w:color w:val="000000" w:themeColor="text1"/>
                <w:spacing w:val="-5"/>
              </w:rPr>
              <w:t>ECL models</w:t>
            </w:r>
            <w:r>
              <w:rPr>
                <w:rFonts w:ascii="Times New Roman" w:hAnsi="Times New Roman" w:cs="Times New Roman"/>
                <w:color w:val="000000" w:themeColor="text1"/>
                <w:spacing w:val="-5"/>
              </w:rPr>
              <w:t xml:space="preserve"> as systems may not be calibrated to address the impacts of COVID-19</w:t>
            </w:r>
            <w:r w:rsidRPr="0018231E">
              <w:rPr>
                <w:rFonts w:ascii="Times New Roman" w:hAnsi="Times New Roman" w:cs="Times New Roman"/>
                <w:color w:val="000000" w:themeColor="text1"/>
                <w:spacing w:val="-5"/>
              </w:rPr>
              <w:t>. When it is not possible to reflect such information in models, issuers should consider post-model overlays or adjustments, and provide adequate disclosure of those overlays and adjustments.</w:t>
            </w:r>
          </w:p>
          <w:p w14:paraId="22C9A701" w14:textId="77777777" w:rsidR="00DD27C3" w:rsidRDefault="00DD27C3" w:rsidP="00DD27C3">
            <w:pPr>
              <w:pStyle w:val="CommentText"/>
              <w:shd w:val="clear" w:color="auto" w:fill="DDD9C3" w:themeFill="background2" w:themeFillShade="E6"/>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p>
          <w:p w14:paraId="4FA5FBCF" w14:textId="266F9C3D" w:rsidR="00DD27C3" w:rsidRDefault="00DD27C3" w:rsidP="0066778B">
            <w:pPr>
              <w:pStyle w:val="CommentText"/>
              <w:numPr>
                <w:ilvl w:val="0"/>
                <w:numId w:val="46"/>
              </w:numPr>
              <w:shd w:val="clear" w:color="auto" w:fill="DDD9C3" w:themeFill="background2" w:themeFillShade="E6"/>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Pr>
                <w:rFonts w:ascii="Times New Roman" w:hAnsi="Times New Roman" w:cs="Times New Roman"/>
                <w:color w:val="000000" w:themeColor="text1"/>
                <w:spacing w:val="-5"/>
              </w:rPr>
              <w:t xml:space="preserve">Other disclosure considerations include: </w:t>
            </w:r>
          </w:p>
          <w:p w14:paraId="2DBA11C9" w14:textId="77777777" w:rsidR="00DD27C3" w:rsidRPr="00596163" w:rsidRDefault="00DD27C3" w:rsidP="0066778B">
            <w:pPr>
              <w:pStyle w:val="CommentText"/>
              <w:numPr>
                <w:ilvl w:val="1"/>
                <w:numId w:val="46"/>
              </w:numPr>
              <w:shd w:val="clear" w:color="auto" w:fill="DDD9C3" w:themeFill="background2" w:themeFillShade="E6"/>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sidRPr="00596163">
              <w:rPr>
                <w:rFonts w:ascii="Times New Roman" w:hAnsi="Times New Roman" w:cs="Times New Roman"/>
                <w:color w:val="000000" w:themeColor="text1"/>
                <w:spacing w:val="-5"/>
              </w:rPr>
              <w:t xml:space="preserve">The values of the key macroeconomic inputs used in the multiple economic scenario analysis and the probability weights of these scenarios. </w:t>
            </w:r>
          </w:p>
          <w:p w14:paraId="7FBB4DD6" w14:textId="551D28EF" w:rsidR="00DD27C3" w:rsidRPr="00DD27C3" w:rsidRDefault="00DD27C3" w:rsidP="0066778B">
            <w:pPr>
              <w:pStyle w:val="CommentText"/>
              <w:numPr>
                <w:ilvl w:val="1"/>
                <w:numId w:val="46"/>
              </w:numPr>
              <w:shd w:val="clear" w:color="auto" w:fill="DDD9C3" w:themeFill="background2" w:themeFillShade="E6"/>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sidRPr="00596163">
              <w:rPr>
                <w:rFonts w:ascii="Times New Roman" w:hAnsi="Times New Roman" w:cs="Times New Roman"/>
                <w:color w:val="000000" w:themeColor="text1"/>
                <w:spacing w:val="-5"/>
              </w:rPr>
              <w:t>The assumptions used to determine how the different challenges for specific sectors and regions have been taken into account.</w:t>
            </w:r>
          </w:p>
          <w:p w14:paraId="1F9D2751" w14:textId="2EC90DD5" w:rsidR="008E2280" w:rsidRDefault="008E2280" w:rsidP="0066778B">
            <w:pPr>
              <w:pStyle w:val="CommentText"/>
              <w:numPr>
                <w:ilvl w:val="1"/>
                <w:numId w:val="46"/>
              </w:numPr>
              <w:shd w:val="clear" w:color="auto" w:fill="DDD9C3" w:themeFill="background2" w:themeFillShade="E6"/>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Pr>
                <w:rFonts w:ascii="Times New Roman" w:hAnsi="Times New Roman" w:cs="Times New Roman"/>
                <w:color w:val="000000" w:themeColor="text1"/>
                <w:spacing w:val="-5"/>
              </w:rPr>
              <w:t>If material, issuers may consider disclosing further details about payment deferral programs such as the amount and nature of</w:t>
            </w:r>
            <w:r w:rsidR="005502AC">
              <w:rPr>
                <w:rFonts w:ascii="Times New Roman" w:hAnsi="Times New Roman" w:cs="Times New Roman"/>
                <w:color w:val="000000" w:themeColor="text1"/>
                <w:spacing w:val="-5"/>
              </w:rPr>
              <w:t xml:space="preserve"> the</w:t>
            </w:r>
            <w:r>
              <w:rPr>
                <w:rFonts w:ascii="Times New Roman" w:hAnsi="Times New Roman" w:cs="Times New Roman"/>
                <w:color w:val="000000" w:themeColor="text1"/>
                <w:spacing w:val="-5"/>
              </w:rPr>
              <w:t xml:space="preserve"> </w:t>
            </w:r>
            <w:r w:rsidRPr="0035057D">
              <w:rPr>
                <w:rFonts w:ascii="Times New Roman" w:hAnsi="Times New Roman" w:cs="Times New Roman"/>
                <w:color w:val="000000" w:themeColor="text1"/>
                <w:spacing w:val="-5"/>
              </w:rPr>
              <w:t xml:space="preserve">total principal balance outstanding within </w:t>
            </w:r>
            <w:r w:rsidRPr="00F83399">
              <w:rPr>
                <w:rFonts w:ascii="Times New Roman" w:hAnsi="Times New Roman" w:cs="Times New Roman"/>
                <w:color w:val="000000" w:themeColor="text1"/>
                <w:spacing w:val="-5"/>
              </w:rPr>
              <w:t>payment deferral</w:t>
            </w:r>
            <w:r>
              <w:rPr>
                <w:rFonts w:ascii="Times New Roman" w:hAnsi="Times New Roman" w:cs="Times New Roman"/>
                <w:color w:val="000000" w:themeColor="text1"/>
                <w:spacing w:val="-5"/>
              </w:rPr>
              <w:t xml:space="preserve">/payment holiday </w:t>
            </w:r>
            <w:r w:rsidRPr="00F83399">
              <w:rPr>
                <w:rFonts w:ascii="Times New Roman" w:hAnsi="Times New Roman" w:cs="Times New Roman"/>
                <w:color w:val="000000" w:themeColor="text1"/>
                <w:spacing w:val="-5"/>
              </w:rPr>
              <w:t>program</w:t>
            </w:r>
            <w:r>
              <w:rPr>
                <w:rFonts w:ascii="Times New Roman" w:hAnsi="Times New Roman" w:cs="Times New Roman"/>
                <w:color w:val="000000" w:themeColor="text1"/>
                <w:spacing w:val="-5"/>
              </w:rPr>
              <w:t>s</w:t>
            </w:r>
            <w:r w:rsidRPr="00F83399">
              <w:rPr>
                <w:rFonts w:ascii="Times New Roman" w:hAnsi="Times New Roman" w:cs="Times New Roman"/>
                <w:color w:val="000000" w:themeColor="text1"/>
                <w:spacing w:val="-5"/>
              </w:rPr>
              <w:t xml:space="preserve"> </w:t>
            </w:r>
            <w:r>
              <w:rPr>
                <w:rFonts w:ascii="Times New Roman" w:hAnsi="Times New Roman" w:cs="Times New Roman"/>
                <w:color w:val="000000" w:themeColor="text1"/>
                <w:spacing w:val="-5"/>
              </w:rPr>
              <w:t>provided to</w:t>
            </w:r>
            <w:r w:rsidRPr="00F83399">
              <w:rPr>
                <w:rFonts w:ascii="Times New Roman" w:hAnsi="Times New Roman" w:cs="Times New Roman"/>
                <w:color w:val="000000" w:themeColor="text1"/>
                <w:spacing w:val="-5"/>
              </w:rPr>
              <w:t xml:space="preserve"> </w:t>
            </w:r>
            <w:r w:rsidRPr="00BF6DF7">
              <w:rPr>
                <w:rFonts w:ascii="Times New Roman" w:hAnsi="Times New Roman" w:cs="Times New Roman"/>
                <w:color w:val="000000" w:themeColor="text1"/>
                <w:spacing w:val="-5"/>
              </w:rPr>
              <w:t>borrowers as a result of COVID-19. Issuers may also consider disclosing total mortgages previously</w:t>
            </w:r>
            <w:r w:rsidR="005502AC">
              <w:rPr>
                <w:rFonts w:ascii="Times New Roman" w:hAnsi="Times New Roman" w:cs="Times New Roman"/>
                <w:color w:val="000000" w:themeColor="text1"/>
                <w:spacing w:val="-5"/>
              </w:rPr>
              <w:t xml:space="preserve"> included</w:t>
            </w:r>
            <w:r w:rsidRPr="00BF6DF7">
              <w:rPr>
                <w:rFonts w:ascii="Times New Roman" w:hAnsi="Times New Roman" w:cs="Times New Roman"/>
                <w:color w:val="000000" w:themeColor="text1"/>
                <w:spacing w:val="-5"/>
              </w:rPr>
              <w:t xml:space="preserve"> in payment deferral programs that are now included in total mortgage arrears to provide investors with timely and transparent disclosure of the impact of such programs.</w:t>
            </w:r>
          </w:p>
          <w:p w14:paraId="7B7D0B39" w14:textId="77777777" w:rsidR="008643D9" w:rsidRDefault="008643D9" w:rsidP="00E5467D">
            <w:pPr>
              <w:pStyle w:val="Comment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eastAsia="fr-CA"/>
              </w:rPr>
            </w:pPr>
          </w:p>
          <w:p w14:paraId="07248EEF" w14:textId="77777777" w:rsidR="008643D9" w:rsidRPr="005362CD" w:rsidRDefault="008643D9" w:rsidP="00E5467D">
            <w:pPr>
              <w:pStyle w:val="Comment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pacing w:val="-5"/>
              </w:rPr>
            </w:pPr>
            <w:r w:rsidRPr="005362CD">
              <w:rPr>
                <w:rFonts w:ascii="Times New Roman" w:hAnsi="Times New Roman" w:cs="Times New Roman"/>
                <w:b/>
                <w:bCs/>
                <w:lang w:eastAsia="fr-CA"/>
              </w:rPr>
              <w:t>Reference: para 5.5.11 of IFRS 9</w:t>
            </w:r>
            <w:r>
              <w:rPr>
                <w:rFonts w:ascii="Times New Roman" w:hAnsi="Times New Roman" w:cs="Times New Roman"/>
                <w:b/>
                <w:bCs/>
                <w:lang w:eastAsia="fr-CA"/>
              </w:rPr>
              <w:t xml:space="preserve"> </w:t>
            </w:r>
            <w:r w:rsidRPr="00D80B7B">
              <w:rPr>
                <w:rFonts w:ascii="Times New Roman" w:hAnsi="Times New Roman" w:cs="Times New Roman"/>
                <w:b/>
                <w:bCs/>
                <w:i/>
                <w:iCs/>
                <w:lang w:eastAsia="fr-CA"/>
              </w:rPr>
              <w:t>Financial Instruments</w:t>
            </w:r>
            <w:r>
              <w:rPr>
                <w:rFonts w:ascii="Times New Roman" w:hAnsi="Times New Roman" w:cs="Times New Roman"/>
                <w:b/>
                <w:bCs/>
                <w:i/>
                <w:iCs/>
                <w:lang w:eastAsia="fr-CA"/>
              </w:rPr>
              <w:t xml:space="preserve">, IFRS 7 </w:t>
            </w:r>
            <w:r w:rsidRPr="001969BF">
              <w:rPr>
                <w:rFonts w:ascii="Times New Roman" w:hAnsi="Times New Roman" w:cs="Times New Roman"/>
                <w:b/>
                <w:bCs/>
                <w:lang w:eastAsia="fr-CA"/>
              </w:rPr>
              <w:t>Financial Instruments: Disclosure</w:t>
            </w:r>
          </w:p>
        </w:tc>
      </w:tr>
      <w:tr w:rsidR="008643D9" w:rsidRPr="00947F30" w14:paraId="0CD64C1D" w14:textId="77777777" w:rsidTr="00E5467D">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1862" w:type="dxa"/>
            <w:shd w:val="clear" w:color="auto" w:fill="EEECE1" w:themeFill="background2"/>
          </w:tcPr>
          <w:p w14:paraId="39A0503B" w14:textId="77777777" w:rsidR="008643D9" w:rsidRPr="005362CD" w:rsidRDefault="008643D9" w:rsidP="00E5467D">
            <w:pPr>
              <w:rPr>
                <w:color w:val="000000" w:themeColor="text1"/>
                <w:sz w:val="20"/>
              </w:rPr>
            </w:pPr>
            <w:r>
              <w:rPr>
                <w:sz w:val="20"/>
                <w:lang w:eastAsia="fr-CA"/>
              </w:rPr>
              <w:t>F</w:t>
            </w:r>
            <w:r w:rsidR="00CB19F7">
              <w:rPr>
                <w:sz w:val="20"/>
                <w:lang w:eastAsia="fr-CA"/>
              </w:rPr>
              <w:t xml:space="preserve">V </w:t>
            </w:r>
            <w:r>
              <w:rPr>
                <w:sz w:val="20"/>
                <w:lang w:eastAsia="fr-CA"/>
              </w:rPr>
              <w:t>Changes for Real Estate Industry</w:t>
            </w:r>
          </w:p>
        </w:tc>
        <w:tc>
          <w:tcPr>
            <w:tcW w:w="3378" w:type="dxa"/>
            <w:shd w:val="clear" w:color="auto" w:fill="EEECE1" w:themeFill="background2"/>
          </w:tcPr>
          <w:p w14:paraId="5632C684" w14:textId="05D1554D" w:rsidR="008643D9" w:rsidRPr="00D93E09" w:rsidRDefault="008643D9" w:rsidP="00761BD8">
            <w:pPr>
              <w:pStyle w:val="ListParagraph"/>
              <w:numPr>
                <w:ilvl w:val="0"/>
                <w:numId w:val="56"/>
              </w:numPr>
              <w:cnfStyle w:val="000000100000" w:firstRow="0" w:lastRow="0" w:firstColumn="0" w:lastColumn="0" w:oddVBand="0" w:evenVBand="0" w:oddHBand="1" w:evenHBand="0" w:firstRowFirstColumn="0" w:firstRowLastColumn="0" w:lastRowFirstColumn="0" w:lastRowLastColumn="0"/>
              <w:rPr>
                <w:sz w:val="20"/>
                <w:lang w:eastAsia="fr-CA"/>
              </w:rPr>
            </w:pPr>
            <w:r w:rsidRPr="00D93E09">
              <w:rPr>
                <w:sz w:val="20"/>
                <w:lang w:eastAsia="fr-CA"/>
              </w:rPr>
              <w:t xml:space="preserve">Some issuers did not disclose in sufficient detail the inputs used in determining FV or discuss the sensitivity </w:t>
            </w:r>
            <w:r w:rsidR="00847342">
              <w:rPr>
                <w:sz w:val="20"/>
                <w:lang w:eastAsia="fr-CA"/>
              </w:rPr>
              <w:t>of</w:t>
            </w:r>
            <w:r w:rsidRPr="00D93E09">
              <w:rPr>
                <w:sz w:val="20"/>
                <w:lang w:eastAsia="fr-CA"/>
              </w:rPr>
              <w:t xml:space="preserve"> </w:t>
            </w:r>
            <w:r w:rsidR="0096225D">
              <w:rPr>
                <w:sz w:val="20"/>
                <w:lang w:eastAsia="fr-CA"/>
              </w:rPr>
              <w:t>level 3 fair value measurements to changes in unobservable inputs.</w:t>
            </w:r>
          </w:p>
          <w:p w14:paraId="74F6A30C" w14:textId="77777777" w:rsidR="008643D9" w:rsidRPr="004A257C" w:rsidRDefault="008643D9" w:rsidP="00E5467D">
            <w:pPr>
              <w:spacing w:before="120"/>
              <w:cnfStyle w:val="000000100000" w:firstRow="0" w:lastRow="0" w:firstColumn="0" w:lastColumn="0" w:oddVBand="0" w:evenVBand="0" w:oddHBand="1" w:evenHBand="0" w:firstRowFirstColumn="0" w:firstRowLastColumn="0" w:lastRowFirstColumn="0" w:lastRowLastColumn="0"/>
              <w:rPr>
                <w:sz w:val="20"/>
                <w:lang w:eastAsia="fr-CA"/>
              </w:rPr>
            </w:pPr>
          </w:p>
        </w:tc>
        <w:tc>
          <w:tcPr>
            <w:tcW w:w="4541" w:type="dxa"/>
            <w:shd w:val="clear" w:color="auto" w:fill="EEECE1" w:themeFill="background2"/>
          </w:tcPr>
          <w:p w14:paraId="06436115" w14:textId="4C18FB7D" w:rsidR="00580D51" w:rsidRDefault="00580D51" w:rsidP="00580D5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0"/>
                <w:lang w:eastAsia="fr-CA"/>
              </w:rPr>
            </w:pPr>
            <w:r>
              <w:rPr>
                <w:sz w:val="20"/>
                <w:lang w:eastAsia="fr-CA"/>
              </w:rPr>
              <w:t>Issuers are required to d</w:t>
            </w:r>
            <w:r w:rsidRPr="004A257C">
              <w:rPr>
                <w:sz w:val="20"/>
                <w:lang w:eastAsia="fr-CA"/>
              </w:rPr>
              <w:t xml:space="preserve">isclose the extent to which the FV of an investment property has been independently valued (or the fact that </w:t>
            </w:r>
            <w:r>
              <w:rPr>
                <w:sz w:val="20"/>
                <w:lang w:eastAsia="fr-CA"/>
              </w:rPr>
              <w:t xml:space="preserve">there has been no such </w:t>
            </w:r>
            <w:r w:rsidR="0088391A">
              <w:rPr>
                <w:sz w:val="20"/>
                <w:lang w:eastAsia="fr-CA"/>
              </w:rPr>
              <w:t xml:space="preserve">independent </w:t>
            </w:r>
            <w:r>
              <w:rPr>
                <w:sz w:val="20"/>
                <w:lang w:eastAsia="fr-CA"/>
              </w:rPr>
              <w:t>valuation</w:t>
            </w:r>
            <w:r w:rsidRPr="004A257C">
              <w:rPr>
                <w:sz w:val="20"/>
                <w:lang w:eastAsia="fr-CA"/>
              </w:rPr>
              <w:t>).</w:t>
            </w:r>
          </w:p>
          <w:p w14:paraId="61F00E16" w14:textId="77777777" w:rsidR="00580D51" w:rsidRPr="005362CD" w:rsidRDefault="00580D51" w:rsidP="00580D51">
            <w:pPr>
              <w:pStyle w:val="ListParagraph"/>
              <w:numPr>
                <w:ilvl w:val="0"/>
                <w:numId w:val="10"/>
              </w:numPr>
              <w:spacing w:before="120"/>
              <w:cnfStyle w:val="000000100000" w:firstRow="0" w:lastRow="0" w:firstColumn="0" w:lastColumn="0" w:oddVBand="0" w:evenVBand="0" w:oddHBand="1" w:evenHBand="0" w:firstRowFirstColumn="0" w:firstRowLastColumn="0" w:lastRowFirstColumn="0" w:lastRowLastColumn="0"/>
              <w:rPr>
                <w:sz w:val="20"/>
                <w:lang w:eastAsia="fr-CA"/>
              </w:rPr>
            </w:pPr>
            <w:r w:rsidRPr="005362CD">
              <w:rPr>
                <w:sz w:val="20"/>
                <w:lang w:eastAsia="fr-CA"/>
              </w:rPr>
              <w:t>Issuers should consider disclosing qualitative factors impacting the fair values of commercial properties, including</w:t>
            </w:r>
            <w:r>
              <w:rPr>
                <w:sz w:val="20"/>
                <w:lang w:eastAsia="fr-CA"/>
              </w:rPr>
              <w:t>, for example</w:t>
            </w:r>
            <w:r w:rsidRPr="005362CD">
              <w:rPr>
                <w:sz w:val="20"/>
                <w:lang w:eastAsia="fr-CA"/>
              </w:rPr>
              <w:t xml:space="preserve">: </w:t>
            </w:r>
          </w:p>
          <w:p w14:paraId="51594951" w14:textId="77777777" w:rsidR="00580D51" w:rsidRPr="005362CD" w:rsidRDefault="00580D51" w:rsidP="00580D51">
            <w:pPr>
              <w:pStyle w:val="ListParagraph"/>
              <w:numPr>
                <w:ilvl w:val="1"/>
                <w:numId w:val="1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r w:rsidRPr="005362CD">
              <w:rPr>
                <w:sz w:val="20"/>
                <w:lang w:eastAsia="fr-CA"/>
              </w:rPr>
              <w:t>Possible changes in consumer preferences between retail and online shopping</w:t>
            </w:r>
          </w:p>
          <w:p w14:paraId="695E94C5" w14:textId="77777777" w:rsidR="00580D51" w:rsidRPr="005362CD" w:rsidRDefault="00580D51" w:rsidP="00580D51">
            <w:pPr>
              <w:pStyle w:val="ListParagraph"/>
              <w:numPr>
                <w:ilvl w:val="1"/>
                <w:numId w:val="1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r w:rsidRPr="005362CD">
              <w:rPr>
                <w:sz w:val="20"/>
                <w:lang w:eastAsia="fr-CA"/>
              </w:rPr>
              <w:t>Changes in the financial condition of existing tenants</w:t>
            </w:r>
          </w:p>
          <w:p w14:paraId="6C7E3C6E" w14:textId="77777777" w:rsidR="00580D51" w:rsidRDefault="00580D51" w:rsidP="00580D51">
            <w:pPr>
              <w:pStyle w:val="ListParagraph"/>
              <w:numPr>
                <w:ilvl w:val="1"/>
                <w:numId w:val="1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r w:rsidRPr="005362CD">
              <w:rPr>
                <w:sz w:val="20"/>
                <w:lang w:eastAsia="fr-CA"/>
              </w:rPr>
              <w:t>Restructuring of agreements with tenants.</w:t>
            </w:r>
          </w:p>
          <w:p w14:paraId="41E13342" w14:textId="77777777" w:rsidR="00580D51" w:rsidRDefault="00580D51" w:rsidP="00580D51">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p>
          <w:p w14:paraId="77784902" w14:textId="77777777" w:rsidR="00580D51" w:rsidRPr="00802F73" w:rsidRDefault="00580D51" w:rsidP="00580D51">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sz w:val="20"/>
                <w:lang w:eastAsia="fr-CA"/>
              </w:rPr>
            </w:pPr>
            <w:r w:rsidRPr="00802F73">
              <w:rPr>
                <w:b/>
                <w:bCs/>
                <w:sz w:val="20"/>
                <w:lang w:eastAsia="fr-CA"/>
              </w:rPr>
              <w:t xml:space="preserve">Issuers with material assets measured using level 3 inputs </w:t>
            </w:r>
          </w:p>
          <w:p w14:paraId="3399C5A5" w14:textId="7B03D9FE" w:rsidR="008643D9" w:rsidRDefault="00F65D9D" w:rsidP="00F65D9D">
            <w:pPr>
              <w:pStyle w:val="ListParagraph"/>
              <w:numPr>
                <w:ilvl w:val="0"/>
                <w:numId w:val="1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r w:rsidRPr="00F65D9D">
              <w:rPr>
                <w:sz w:val="20"/>
                <w:lang w:eastAsia="fr-CA"/>
              </w:rPr>
              <w:t xml:space="preserve">Issuers are required include a narrative description of the sensitivity of recurring fair value measurements to changes in unobservable level 3 inputs if a change in those inputs might result in a significantly higher or lower fair value measurement. Examples of unobservable inputs may include discount rates, interest rates on loans, and terminal capitalization rates. </w:t>
            </w:r>
          </w:p>
          <w:p w14:paraId="5DCED238" w14:textId="77777777" w:rsidR="00F65D9D" w:rsidRPr="00F65D9D" w:rsidRDefault="00F65D9D" w:rsidP="00F65D9D">
            <w:pPr>
              <w:pStyle w:val="ListParagraph"/>
              <w:autoSpaceDE w:val="0"/>
              <w:autoSpaceDN w:val="0"/>
              <w:adjustRightInd w:val="0"/>
              <w:ind w:left="360"/>
              <w:cnfStyle w:val="000000100000" w:firstRow="0" w:lastRow="0" w:firstColumn="0" w:lastColumn="0" w:oddVBand="0" w:evenVBand="0" w:oddHBand="1" w:evenHBand="0" w:firstRowFirstColumn="0" w:firstRowLastColumn="0" w:lastRowFirstColumn="0" w:lastRowLastColumn="0"/>
              <w:rPr>
                <w:sz w:val="20"/>
                <w:lang w:eastAsia="fr-CA"/>
              </w:rPr>
            </w:pPr>
          </w:p>
          <w:p w14:paraId="2D400A42" w14:textId="77777777" w:rsidR="008643D9" w:rsidRPr="005362CD" w:rsidRDefault="008643D9" w:rsidP="00E5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000000" w:themeColor="text1"/>
                <w:spacing w:val="-5"/>
                <w:sz w:val="20"/>
              </w:rPr>
            </w:pPr>
            <w:r w:rsidRPr="00634B86">
              <w:rPr>
                <w:rFonts w:eastAsiaTheme="minorHAnsi"/>
                <w:b/>
                <w:bCs/>
                <w:sz w:val="20"/>
                <w:lang w:eastAsia="fr-CA"/>
              </w:rPr>
              <w:t>Reference: para. 93(h)(i) of IFRS 13</w:t>
            </w:r>
            <w:r>
              <w:rPr>
                <w:rFonts w:eastAsiaTheme="minorHAnsi"/>
                <w:b/>
                <w:bCs/>
                <w:sz w:val="20"/>
                <w:lang w:eastAsia="fr-CA"/>
              </w:rPr>
              <w:t xml:space="preserve"> </w:t>
            </w:r>
            <w:r w:rsidRPr="00CB0AAC">
              <w:rPr>
                <w:rFonts w:eastAsiaTheme="minorHAnsi"/>
                <w:b/>
                <w:bCs/>
                <w:i/>
                <w:iCs/>
                <w:sz w:val="20"/>
                <w:lang w:eastAsia="fr-CA"/>
              </w:rPr>
              <w:t>Fair Value Measurement</w:t>
            </w:r>
            <w:r>
              <w:rPr>
                <w:rFonts w:eastAsiaTheme="minorHAnsi"/>
                <w:b/>
                <w:bCs/>
                <w:i/>
                <w:iCs/>
                <w:sz w:val="20"/>
                <w:lang w:eastAsia="fr-CA"/>
              </w:rPr>
              <w:t xml:space="preserve">, </w:t>
            </w:r>
            <w:r w:rsidRPr="004A257C">
              <w:rPr>
                <w:rFonts w:eastAsiaTheme="minorHAnsi"/>
                <w:b/>
                <w:bCs/>
                <w:sz w:val="20"/>
                <w:lang w:eastAsia="fr-CA"/>
              </w:rPr>
              <w:t>IAS 40</w:t>
            </w:r>
            <w:r>
              <w:rPr>
                <w:rFonts w:eastAsiaTheme="minorHAnsi"/>
                <w:b/>
                <w:bCs/>
                <w:sz w:val="20"/>
                <w:lang w:eastAsia="fr-CA"/>
              </w:rPr>
              <w:t xml:space="preserve"> </w:t>
            </w:r>
            <w:r w:rsidRPr="004A257C">
              <w:rPr>
                <w:rFonts w:eastAsiaTheme="minorHAnsi"/>
                <w:b/>
                <w:bCs/>
                <w:i/>
                <w:iCs/>
                <w:sz w:val="20"/>
                <w:lang w:eastAsia="fr-CA"/>
              </w:rPr>
              <w:t>Investment Property</w:t>
            </w:r>
          </w:p>
        </w:tc>
      </w:tr>
      <w:tr w:rsidR="008643D9" w:rsidRPr="00947F30" w14:paraId="54A6BA57" w14:textId="77777777" w:rsidTr="00E5467D">
        <w:trPr>
          <w:trHeight w:val="733"/>
        </w:trPr>
        <w:tc>
          <w:tcPr>
            <w:cnfStyle w:val="001000000000" w:firstRow="0" w:lastRow="0" w:firstColumn="1" w:lastColumn="0" w:oddVBand="0" w:evenVBand="0" w:oddHBand="0" w:evenHBand="0" w:firstRowFirstColumn="0" w:firstRowLastColumn="0" w:lastRowFirstColumn="0" w:lastRowLastColumn="0"/>
            <w:tcW w:w="1862" w:type="dxa"/>
            <w:shd w:val="clear" w:color="auto" w:fill="EEECE1" w:themeFill="background2"/>
          </w:tcPr>
          <w:p w14:paraId="1432A89D" w14:textId="77777777" w:rsidR="008643D9" w:rsidRPr="005362CD" w:rsidRDefault="00701809" w:rsidP="00E5467D">
            <w:pPr>
              <w:rPr>
                <w:sz w:val="20"/>
                <w:lang w:eastAsia="fr-CA"/>
              </w:rPr>
            </w:pPr>
            <w:r>
              <w:rPr>
                <w:sz w:val="20"/>
                <w:lang w:eastAsia="fr-CA"/>
              </w:rPr>
              <w:t>Financial Instrument</w:t>
            </w:r>
            <w:r w:rsidR="008643D9" w:rsidRPr="005362CD">
              <w:rPr>
                <w:sz w:val="20"/>
                <w:lang w:eastAsia="fr-CA"/>
              </w:rPr>
              <w:t xml:space="preserve"> </w:t>
            </w:r>
            <w:r w:rsidR="008643D9">
              <w:rPr>
                <w:sz w:val="20"/>
                <w:lang w:eastAsia="fr-CA"/>
              </w:rPr>
              <w:t>Risk Disclosures</w:t>
            </w:r>
          </w:p>
        </w:tc>
        <w:tc>
          <w:tcPr>
            <w:tcW w:w="3378" w:type="dxa"/>
            <w:shd w:val="clear" w:color="auto" w:fill="EEECE1" w:themeFill="background2"/>
          </w:tcPr>
          <w:p w14:paraId="767B4BB9" w14:textId="77777777" w:rsidR="008643D9" w:rsidRPr="005362CD" w:rsidRDefault="00CB19F7" w:rsidP="00E5467D">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lang w:eastAsia="fr-CA"/>
              </w:rPr>
            </w:pPr>
            <w:r>
              <w:rPr>
                <w:sz w:val="20"/>
                <w:lang w:eastAsia="fr-CA"/>
              </w:rPr>
              <w:t>W</w:t>
            </w:r>
            <w:r w:rsidR="008643D9">
              <w:rPr>
                <w:sz w:val="20"/>
                <w:lang w:eastAsia="fr-CA"/>
              </w:rPr>
              <w:t>e noted issuers that disclosed material impacts of COVID-19</w:t>
            </w:r>
            <w:r w:rsidR="008643D9" w:rsidRPr="005362CD">
              <w:rPr>
                <w:sz w:val="20"/>
                <w:lang w:eastAsia="fr-CA"/>
              </w:rPr>
              <w:t xml:space="preserve"> </w:t>
            </w:r>
            <w:r w:rsidR="008643D9">
              <w:rPr>
                <w:sz w:val="20"/>
                <w:lang w:eastAsia="fr-CA"/>
              </w:rPr>
              <w:t>on their business operations in the</w:t>
            </w:r>
            <w:r w:rsidR="00B90828">
              <w:rPr>
                <w:sz w:val="20"/>
                <w:lang w:eastAsia="fr-CA"/>
              </w:rPr>
              <w:t>ir</w:t>
            </w:r>
            <w:r w:rsidR="008643D9">
              <w:rPr>
                <w:sz w:val="20"/>
                <w:lang w:eastAsia="fr-CA"/>
              </w:rPr>
              <w:t xml:space="preserve"> MD&amp;A appeared to have increased their liquidity/market/credit risk but did not provide an entity-specific update to their</w:t>
            </w:r>
            <w:r w:rsidR="008643D9" w:rsidRPr="005362CD">
              <w:rPr>
                <w:sz w:val="20"/>
                <w:lang w:eastAsia="fr-CA"/>
              </w:rPr>
              <w:t xml:space="preserve"> risk</w:t>
            </w:r>
            <w:r w:rsidR="008643D9">
              <w:rPr>
                <w:sz w:val="20"/>
                <w:lang w:eastAsia="fr-CA"/>
              </w:rPr>
              <w:t xml:space="preserve"> disclosure in the financial statements. </w:t>
            </w:r>
          </w:p>
          <w:p w14:paraId="7314FD5A" w14:textId="77777777" w:rsidR="008643D9" w:rsidRPr="00294DDB" w:rsidRDefault="008643D9" w:rsidP="00E5467D">
            <w:pPr>
              <w:pStyle w:val="ListParagraph"/>
              <w:autoSpaceDE w:val="0"/>
              <w:autoSpaceDN w:val="0"/>
              <w:adjustRightInd w:val="0"/>
              <w:ind w:left="360"/>
              <w:cnfStyle w:val="000000000000" w:firstRow="0" w:lastRow="0" w:firstColumn="0" w:lastColumn="0" w:oddVBand="0" w:evenVBand="0" w:oddHBand="0" w:evenHBand="0" w:firstRowFirstColumn="0" w:firstRowLastColumn="0" w:lastRowFirstColumn="0" w:lastRowLastColumn="0"/>
              <w:rPr>
                <w:sz w:val="20"/>
                <w:lang w:eastAsia="fr-CA"/>
              </w:rPr>
            </w:pPr>
          </w:p>
        </w:tc>
        <w:tc>
          <w:tcPr>
            <w:tcW w:w="4541" w:type="dxa"/>
            <w:shd w:val="clear" w:color="auto" w:fill="EEECE1" w:themeFill="background2"/>
          </w:tcPr>
          <w:p w14:paraId="07485D5C" w14:textId="11BC3241" w:rsidR="008643D9" w:rsidRPr="005362CD" w:rsidRDefault="00580D51" w:rsidP="00E5467D">
            <w:pPr>
              <w:pStyle w:val="ListParagraph"/>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lang w:eastAsia="fr-CA"/>
              </w:rPr>
            </w:pPr>
            <w:r>
              <w:rPr>
                <w:sz w:val="20"/>
                <w:lang w:eastAsia="fr-CA"/>
              </w:rPr>
              <w:t xml:space="preserve">Issuers should carefully consider whether there have been changes to their credit risk. </w:t>
            </w:r>
            <w:r w:rsidR="008643D9">
              <w:rPr>
                <w:sz w:val="20"/>
                <w:lang w:eastAsia="fr-CA"/>
              </w:rPr>
              <w:t>The</w:t>
            </w:r>
            <w:r w:rsidR="008643D9" w:rsidRPr="005362CD">
              <w:rPr>
                <w:sz w:val="20"/>
                <w:lang w:eastAsia="fr-CA"/>
              </w:rPr>
              <w:t xml:space="preserve"> following</w:t>
            </w:r>
            <w:r w:rsidR="008643D9">
              <w:rPr>
                <w:sz w:val="20"/>
                <w:lang w:eastAsia="fr-CA"/>
              </w:rPr>
              <w:t xml:space="preserve"> factors may be taken into consideration in assessing credit risk</w:t>
            </w:r>
            <w:r w:rsidR="008643D9" w:rsidRPr="005362CD">
              <w:rPr>
                <w:sz w:val="20"/>
                <w:lang w:eastAsia="fr-CA"/>
              </w:rPr>
              <w:t>:</w:t>
            </w:r>
          </w:p>
          <w:p w14:paraId="7E32490B" w14:textId="77777777" w:rsidR="008643D9" w:rsidRPr="005362CD" w:rsidRDefault="008643D9" w:rsidP="00E5467D">
            <w:pPr>
              <w:pStyle w:val="ListParagraph"/>
              <w:numPr>
                <w:ilvl w:val="1"/>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lang w:eastAsia="fr-CA"/>
              </w:rPr>
            </w:pPr>
            <w:r w:rsidRPr="005362CD">
              <w:rPr>
                <w:sz w:val="20"/>
                <w:lang w:eastAsia="fr-CA"/>
              </w:rPr>
              <w:t>Risk concentrations</w:t>
            </w:r>
          </w:p>
          <w:p w14:paraId="6A2914CB" w14:textId="77777777" w:rsidR="008643D9" w:rsidRPr="005362CD" w:rsidRDefault="008643D9" w:rsidP="00E5467D">
            <w:pPr>
              <w:pStyle w:val="ListParagraph"/>
              <w:numPr>
                <w:ilvl w:val="1"/>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lang w:eastAsia="fr-CA"/>
              </w:rPr>
            </w:pPr>
            <w:r w:rsidRPr="005362CD">
              <w:rPr>
                <w:sz w:val="20"/>
                <w:lang w:eastAsia="fr-CA"/>
              </w:rPr>
              <w:t xml:space="preserve">Significant risk in </w:t>
            </w:r>
            <w:r>
              <w:rPr>
                <w:sz w:val="20"/>
                <w:lang w:eastAsia="fr-CA"/>
              </w:rPr>
              <w:t xml:space="preserve">ECL </w:t>
            </w:r>
            <w:r w:rsidRPr="005362CD">
              <w:rPr>
                <w:sz w:val="20"/>
                <w:lang w:eastAsia="fr-CA"/>
              </w:rPr>
              <w:t>(i</w:t>
            </w:r>
            <w:r>
              <w:rPr>
                <w:sz w:val="20"/>
                <w:lang w:eastAsia="fr-CA"/>
              </w:rPr>
              <w:t>.</w:t>
            </w:r>
            <w:r w:rsidRPr="005362CD">
              <w:rPr>
                <w:sz w:val="20"/>
                <w:lang w:eastAsia="fr-CA"/>
              </w:rPr>
              <w:t>e.</w:t>
            </w:r>
            <w:r>
              <w:rPr>
                <w:sz w:val="20"/>
                <w:lang w:eastAsia="fr-CA"/>
              </w:rPr>
              <w:t>, f</w:t>
            </w:r>
            <w:r w:rsidRPr="005362CD">
              <w:rPr>
                <w:sz w:val="20"/>
                <w:lang w:eastAsia="fr-CA"/>
              </w:rPr>
              <w:t>inancial condition of specific lenders/clients)</w:t>
            </w:r>
          </w:p>
          <w:p w14:paraId="450F9BDE" w14:textId="77777777" w:rsidR="008643D9" w:rsidRDefault="008643D9" w:rsidP="00E5467D">
            <w:pPr>
              <w:pStyle w:val="ListParagraph"/>
              <w:numPr>
                <w:ilvl w:val="1"/>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lang w:eastAsia="fr-CA"/>
              </w:rPr>
            </w:pPr>
            <w:r w:rsidRPr="005362CD">
              <w:rPr>
                <w:sz w:val="20"/>
                <w:lang w:eastAsia="fr-CA"/>
              </w:rPr>
              <w:t>Significant assumptions underlying ECL measurement</w:t>
            </w:r>
          </w:p>
          <w:p w14:paraId="02DB719D" w14:textId="77777777" w:rsidR="008643D9" w:rsidRPr="000908EB" w:rsidRDefault="008643D9" w:rsidP="00E5467D">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sz w:val="20"/>
                <w:lang w:eastAsia="fr-CA"/>
              </w:rPr>
            </w:pPr>
            <w:r w:rsidRPr="005E32CC">
              <w:rPr>
                <w:sz w:val="20"/>
                <w:lang w:eastAsia="fr-CA"/>
              </w:rPr>
              <w:t xml:space="preserve">Issuers </w:t>
            </w:r>
            <w:r>
              <w:rPr>
                <w:sz w:val="20"/>
                <w:lang w:eastAsia="fr-CA"/>
              </w:rPr>
              <w:t>should</w:t>
            </w:r>
            <w:r w:rsidRPr="005E32CC">
              <w:rPr>
                <w:sz w:val="20"/>
                <w:lang w:eastAsia="fr-CA"/>
              </w:rPr>
              <w:t xml:space="preserve"> also consider updating</w:t>
            </w:r>
            <w:r>
              <w:rPr>
                <w:sz w:val="20"/>
                <w:lang w:eastAsia="fr-CA"/>
              </w:rPr>
              <w:t xml:space="preserve"> the disclosure of their c</w:t>
            </w:r>
            <w:r w:rsidRPr="005E32CC">
              <w:rPr>
                <w:sz w:val="20"/>
                <w:lang w:eastAsia="fr-CA"/>
              </w:rPr>
              <w:t>redit risk management practices</w:t>
            </w:r>
            <w:r>
              <w:rPr>
                <w:sz w:val="20"/>
                <w:lang w:eastAsia="fr-CA"/>
              </w:rPr>
              <w:t xml:space="preserve"> accordingly.</w:t>
            </w:r>
          </w:p>
          <w:p w14:paraId="66568D01" w14:textId="77777777" w:rsidR="008643D9" w:rsidRDefault="008643D9" w:rsidP="00E5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sz w:val="20"/>
                <w:lang w:eastAsia="fr-CA"/>
              </w:rPr>
            </w:pPr>
          </w:p>
          <w:p w14:paraId="216C5933" w14:textId="4222F8AC" w:rsidR="008643D9" w:rsidRPr="00600273" w:rsidRDefault="008643D9" w:rsidP="00E5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i/>
                <w:sz w:val="20"/>
                <w:lang w:eastAsia="fr-CA"/>
              </w:rPr>
            </w:pPr>
            <w:r w:rsidRPr="005362CD">
              <w:rPr>
                <w:b/>
                <w:bCs/>
                <w:sz w:val="20"/>
                <w:lang w:eastAsia="fr-CA"/>
              </w:rPr>
              <w:t xml:space="preserve">References: </w:t>
            </w:r>
            <w:r w:rsidR="00A279EC">
              <w:rPr>
                <w:b/>
                <w:bCs/>
                <w:sz w:val="20"/>
                <w:lang w:eastAsia="fr-CA"/>
              </w:rPr>
              <w:t>p</w:t>
            </w:r>
            <w:r w:rsidRPr="005362CD">
              <w:rPr>
                <w:b/>
                <w:bCs/>
                <w:sz w:val="20"/>
                <w:lang w:eastAsia="fr-CA"/>
              </w:rPr>
              <w:t xml:space="preserve">ara. </w:t>
            </w:r>
            <w:r w:rsidR="00580D51">
              <w:rPr>
                <w:b/>
                <w:bCs/>
                <w:sz w:val="20"/>
                <w:lang w:eastAsia="fr-CA"/>
              </w:rPr>
              <w:t>35A</w:t>
            </w:r>
            <w:r w:rsidRPr="48D7EA67">
              <w:rPr>
                <w:b/>
                <w:bCs/>
                <w:sz w:val="20"/>
                <w:lang w:eastAsia="fr-CA"/>
              </w:rPr>
              <w:t xml:space="preserve"> of IFRS 7 </w:t>
            </w:r>
            <w:r w:rsidRPr="00600273">
              <w:rPr>
                <w:b/>
                <w:i/>
                <w:sz w:val="20"/>
                <w:lang w:eastAsia="fr-CA"/>
              </w:rPr>
              <w:t>Financial instruments: Disclosures</w:t>
            </w:r>
          </w:p>
        </w:tc>
      </w:tr>
      <w:tr w:rsidR="008643D9" w:rsidRPr="00947F30" w14:paraId="2A467AFF" w14:textId="77777777" w:rsidTr="00E5467D">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1862" w:type="dxa"/>
            <w:shd w:val="clear" w:color="auto" w:fill="EEECE1" w:themeFill="background2"/>
          </w:tcPr>
          <w:p w14:paraId="1B477A05" w14:textId="77777777" w:rsidR="008643D9" w:rsidRPr="005362CD" w:rsidRDefault="008643D9" w:rsidP="00E5467D">
            <w:pPr>
              <w:rPr>
                <w:sz w:val="20"/>
                <w:lang w:eastAsia="fr-CA"/>
              </w:rPr>
            </w:pPr>
            <w:r>
              <w:rPr>
                <w:sz w:val="20"/>
                <w:lang w:eastAsia="fr-CA"/>
              </w:rPr>
              <w:t>Government Assistance</w:t>
            </w:r>
          </w:p>
        </w:tc>
        <w:tc>
          <w:tcPr>
            <w:tcW w:w="3378" w:type="dxa"/>
            <w:shd w:val="clear" w:color="auto" w:fill="EEECE1" w:themeFill="background2"/>
          </w:tcPr>
          <w:p w14:paraId="2020C033" w14:textId="77777777" w:rsidR="008643D9" w:rsidRDefault="008643D9" w:rsidP="00E5467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0"/>
                <w:lang w:eastAsia="fr-CA"/>
              </w:rPr>
            </w:pPr>
            <w:r>
              <w:rPr>
                <w:sz w:val="20"/>
                <w:lang w:eastAsia="fr-CA"/>
              </w:rPr>
              <w:t xml:space="preserve">Over half of the issuers we reviewed recognized, or disclosed in subsequent events, </w:t>
            </w:r>
            <w:r w:rsidRPr="009A2933">
              <w:rPr>
                <w:sz w:val="20"/>
                <w:lang w:eastAsia="fr-CA"/>
              </w:rPr>
              <w:t xml:space="preserve">COVID-19 related government grants in </w:t>
            </w:r>
            <w:r>
              <w:rPr>
                <w:sz w:val="20"/>
                <w:lang w:eastAsia="fr-CA"/>
              </w:rPr>
              <w:t>their</w:t>
            </w:r>
            <w:r w:rsidRPr="009A2933">
              <w:rPr>
                <w:sz w:val="20"/>
                <w:lang w:eastAsia="fr-CA"/>
              </w:rPr>
              <w:t xml:space="preserve"> financial statements</w:t>
            </w:r>
            <w:r>
              <w:rPr>
                <w:sz w:val="20"/>
                <w:lang w:eastAsia="fr-CA"/>
              </w:rPr>
              <w:t xml:space="preserve"> since the outbreak of COVID-19 pandemic, including but not limited to, </w:t>
            </w:r>
            <w:r w:rsidRPr="003477A4">
              <w:rPr>
                <w:sz w:val="20"/>
                <w:lang w:eastAsia="fr-CA"/>
              </w:rPr>
              <w:t>CEWS</w:t>
            </w:r>
            <w:r>
              <w:rPr>
                <w:sz w:val="20"/>
                <w:lang w:eastAsia="fr-CA"/>
              </w:rPr>
              <w:t xml:space="preserve">, </w:t>
            </w:r>
            <w:r w:rsidRPr="002A281A">
              <w:rPr>
                <w:sz w:val="20"/>
                <w:lang w:eastAsia="fr-CA"/>
              </w:rPr>
              <w:t>Canada Emergency Commercial Rent Assistance (CECRA)</w:t>
            </w:r>
            <w:r>
              <w:rPr>
                <w:sz w:val="20"/>
                <w:lang w:eastAsia="fr-CA"/>
              </w:rPr>
              <w:t>, etc.</w:t>
            </w:r>
            <w:r w:rsidRPr="005362CD">
              <w:rPr>
                <w:sz w:val="20"/>
                <w:lang w:eastAsia="fr-CA"/>
              </w:rPr>
              <w:t xml:space="preserve"> </w:t>
            </w:r>
          </w:p>
          <w:p w14:paraId="237A28B7" w14:textId="77777777" w:rsidR="008643D9" w:rsidRPr="006D67C0" w:rsidRDefault="008643D9" w:rsidP="00E5467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0"/>
                <w:lang w:eastAsia="fr-CA"/>
              </w:rPr>
            </w:pPr>
            <w:r>
              <w:rPr>
                <w:sz w:val="20"/>
                <w:lang w:eastAsia="fr-CA"/>
              </w:rPr>
              <w:t>Only some</w:t>
            </w:r>
            <w:r w:rsidRPr="005362CD">
              <w:rPr>
                <w:sz w:val="20"/>
                <w:lang w:eastAsia="fr-CA"/>
              </w:rPr>
              <w:t xml:space="preserve"> issuers included</w:t>
            </w:r>
            <w:r w:rsidR="00EC0AD5">
              <w:rPr>
                <w:sz w:val="20"/>
                <w:lang w:eastAsia="fr-CA"/>
              </w:rPr>
              <w:t xml:space="preserve"> </w:t>
            </w:r>
            <w:r w:rsidRPr="005362CD">
              <w:rPr>
                <w:sz w:val="20"/>
                <w:lang w:eastAsia="fr-CA"/>
              </w:rPr>
              <w:t xml:space="preserve">separate note disclosure </w:t>
            </w:r>
            <w:r w:rsidR="00773AD9">
              <w:rPr>
                <w:sz w:val="20"/>
                <w:lang w:eastAsia="fr-CA"/>
              </w:rPr>
              <w:t xml:space="preserve">in their financial statements </w:t>
            </w:r>
            <w:r w:rsidRPr="005362CD">
              <w:rPr>
                <w:sz w:val="20"/>
                <w:lang w:eastAsia="fr-CA"/>
              </w:rPr>
              <w:t>in connection with the COVID-19 related government grants</w:t>
            </w:r>
            <w:r w:rsidR="00773AD9">
              <w:rPr>
                <w:sz w:val="20"/>
                <w:lang w:eastAsia="fr-CA"/>
              </w:rPr>
              <w:t>.</w:t>
            </w:r>
            <w:r w:rsidRPr="005362CD">
              <w:rPr>
                <w:sz w:val="20"/>
                <w:lang w:eastAsia="fr-CA"/>
              </w:rPr>
              <w:t xml:space="preserve"> </w:t>
            </w:r>
          </w:p>
          <w:p w14:paraId="2078B333" w14:textId="77777777" w:rsidR="008643D9" w:rsidRPr="00BC7D01" w:rsidRDefault="008643D9" w:rsidP="00B90828">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0"/>
                <w:lang w:eastAsia="fr-CA"/>
              </w:rPr>
            </w:pPr>
            <w:r w:rsidRPr="00CB19F7">
              <w:rPr>
                <w:sz w:val="20"/>
                <w:lang w:eastAsia="fr-CA"/>
              </w:rPr>
              <w:t>Some issuers only disclosed that they have received government grant</w:t>
            </w:r>
            <w:r w:rsidR="00D81C6F" w:rsidRPr="00CB19F7">
              <w:rPr>
                <w:sz w:val="20"/>
                <w:lang w:eastAsia="fr-CA"/>
              </w:rPr>
              <w:t>s</w:t>
            </w:r>
            <w:r w:rsidRPr="00CB19F7">
              <w:rPr>
                <w:sz w:val="20"/>
                <w:lang w:eastAsia="fr-CA"/>
              </w:rPr>
              <w:t xml:space="preserve"> for pandemic expenses without identifying the amount received</w:t>
            </w:r>
            <w:r w:rsidR="00B90828">
              <w:rPr>
                <w:sz w:val="20"/>
                <w:lang w:eastAsia="fr-CA"/>
              </w:rPr>
              <w:t>,</w:t>
            </w:r>
            <w:r w:rsidRPr="00CB19F7">
              <w:rPr>
                <w:sz w:val="20"/>
                <w:lang w:eastAsia="fr-CA"/>
              </w:rPr>
              <w:t xml:space="preserve"> naming the specific assistance program or disclosing the accounting policy for recognizing government grants</w:t>
            </w:r>
            <w:r>
              <w:rPr>
                <w:sz w:val="20"/>
                <w:lang w:eastAsia="fr-CA"/>
              </w:rPr>
              <w:t>.</w:t>
            </w:r>
          </w:p>
        </w:tc>
        <w:tc>
          <w:tcPr>
            <w:tcW w:w="4541" w:type="dxa"/>
            <w:shd w:val="clear" w:color="auto" w:fill="EEECE1" w:themeFill="background2"/>
          </w:tcPr>
          <w:p w14:paraId="517F6047" w14:textId="77777777" w:rsidR="008643D9" w:rsidRPr="005362CD" w:rsidRDefault="008643D9" w:rsidP="00E5467D">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r>
              <w:rPr>
                <w:sz w:val="20"/>
                <w:lang w:eastAsia="fr-CA"/>
              </w:rPr>
              <w:t>I</w:t>
            </w:r>
            <w:r w:rsidRPr="005362CD">
              <w:rPr>
                <w:sz w:val="20"/>
                <w:lang w:eastAsia="fr-CA"/>
              </w:rPr>
              <w:t xml:space="preserve">ssuers are </w:t>
            </w:r>
            <w:r>
              <w:rPr>
                <w:sz w:val="20"/>
                <w:lang w:eastAsia="fr-CA"/>
              </w:rPr>
              <w:t>required</w:t>
            </w:r>
            <w:r w:rsidRPr="005362CD">
              <w:rPr>
                <w:sz w:val="20"/>
                <w:lang w:eastAsia="fr-CA"/>
              </w:rPr>
              <w:t xml:space="preserve"> to disclose the following in connection with the government assistance received during the period:</w:t>
            </w:r>
          </w:p>
          <w:p w14:paraId="1E9D58D7" w14:textId="5AFD6709" w:rsidR="008643D9" w:rsidRDefault="008643D9" w:rsidP="00E5467D">
            <w:pPr>
              <w:pStyle w:val="ListParagraph"/>
              <w:numPr>
                <w:ilvl w:val="1"/>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r w:rsidRPr="005362CD">
              <w:rPr>
                <w:sz w:val="20"/>
                <w:lang w:eastAsia="fr-CA"/>
              </w:rPr>
              <w:t>The accounting policy adopted for government grants, including the method of presentation adopted in the financial statements</w:t>
            </w:r>
            <w:r>
              <w:rPr>
                <w:sz w:val="20"/>
                <w:lang w:eastAsia="fr-CA"/>
              </w:rPr>
              <w:t xml:space="preserve"> (e.g. offsetting</w:t>
            </w:r>
            <w:r w:rsidRPr="00C91091">
              <w:rPr>
                <w:sz w:val="20"/>
                <w:lang w:eastAsia="fr-CA"/>
              </w:rPr>
              <w:t xml:space="preserve"> against expenses</w:t>
            </w:r>
            <w:r>
              <w:rPr>
                <w:sz w:val="20"/>
                <w:lang w:eastAsia="fr-CA"/>
              </w:rPr>
              <w:t xml:space="preserve"> or presenting as a separate financial statement line item)</w:t>
            </w:r>
          </w:p>
          <w:p w14:paraId="1565E9CE" w14:textId="77777777" w:rsidR="008643D9" w:rsidRPr="005362CD" w:rsidRDefault="008643D9" w:rsidP="00E5467D">
            <w:pPr>
              <w:pStyle w:val="ListParagraph"/>
              <w:numPr>
                <w:ilvl w:val="1"/>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r w:rsidRPr="005362CD">
              <w:rPr>
                <w:sz w:val="20"/>
                <w:lang w:eastAsia="fr-CA"/>
              </w:rPr>
              <w:t>The nature and extent of government grants recognized in the financial statements</w:t>
            </w:r>
            <w:r>
              <w:rPr>
                <w:sz w:val="20"/>
                <w:lang w:eastAsia="fr-CA"/>
              </w:rPr>
              <w:t xml:space="preserve"> </w:t>
            </w:r>
          </w:p>
          <w:p w14:paraId="01C73212" w14:textId="77777777" w:rsidR="008643D9" w:rsidRDefault="008643D9" w:rsidP="00E5467D">
            <w:pPr>
              <w:pStyle w:val="ListParagraph"/>
              <w:numPr>
                <w:ilvl w:val="1"/>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r w:rsidRPr="005362CD">
              <w:rPr>
                <w:sz w:val="20"/>
                <w:lang w:eastAsia="fr-CA"/>
              </w:rPr>
              <w:t>Unfulfilled conditions and other contingencies attaching to government assistance that has been recognized</w:t>
            </w:r>
          </w:p>
          <w:p w14:paraId="51D892C9" w14:textId="77777777" w:rsidR="008643D9" w:rsidRPr="005362CD" w:rsidRDefault="008643D9" w:rsidP="00E5467D">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r>
              <w:rPr>
                <w:sz w:val="20"/>
                <w:lang w:eastAsia="fr-CA"/>
              </w:rPr>
              <w:t>For issuers that received g</w:t>
            </w:r>
            <w:r w:rsidRPr="00147687">
              <w:rPr>
                <w:sz w:val="20"/>
                <w:lang w:eastAsia="fr-CA"/>
              </w:rPr>
              <w:t>overnment loans with forgiveness options</w:t>
            </w:r>
            <w:r>
              <w:rPr>
                <w:sz w:val="20"/>
                <w:lang w:eastAsia="fr-CA"/>
              </w:rPr>
              <w:t>,</w:t>
            </w:r>
            <w:r w:rsidRPr="00147687">
              <w:rPr>
                <w:sz w:val="20"/>
                <w:lang w:eastAsia="fr-CA"/>
              </w:rPr>
              <w:t xml:space="preserve"> </w:t>
            </w:r>
            <w:r>
              <w:rPr>
                <w:sz w:val="20"/>
                <w:lang w:eastAsia="fr-CA"/>
              </w:rPr>
              <w:t>i</w:t>
            </w:r>
            <w:r w:rsidRPr="005362CD">
              <w:rPr>
                <w:sz w:val="20"/>
                <w:lang w:eastAsia="fr-CA"/>
              </w:rPr>
              <w:t>ssuers</w:t>
            </w:r>
            <w:r>
              <w:rPr>
                <w:sz w:val="20"/>
                <w:lang w:eastAsia="fr-CA"/>
              </w:rPr>
              <w:t xml:space="preserve"> are required to</w:t>
            </w:r>
            <w:r w:rsidRPr="005362CD">
              <w:rPr>
                <w:sz w:val="20"/>
                <w:lang w:eastAsia="fr-CA"/>
              </w:rPr>
              <w:t xml:space="preserve"> disclose the </w:t>
            </w:r>
            <w:r>
              <w:rPr>
                <w:sz w:val="20"/>
                <w:lang w:eastAsia="fr-CA"/>
              </w:rPr>
              <w:t xml:space="preserve">terms and conditions </w:t>
            </w:r>
            <w:r w:rsidRPr="005362CD">
              <w:rPr>
                <w:sz w:val="20"/>
                <w:lang w:eastAsia="fr-CA"/>
              </w:rPr>
              <w:t>of the government assistance.</w:t>
            </w:r>
          </w:p>
          <w:p w14:paraId="7C841657" w14:textId="77777777" w:rsidR="008643D9" w:rsidRPr="00521F7B" w:rsidRDefault="008643D9" w:rsidP="00E5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p>
          <w:p w14:paraId="7259F8F8" w14:textId="77777777" w:rsidR="008643D9" w:rsidRPr="005362CD" w:rsidRDefault="008643D9" w:rsidP="00E5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0"/>
                <w:lang w:eastAsia="fr-CA"/>
              </w:rPr>
            </w:pPr>
          </w:p>
          <w:p w14:paraId="00B13B8F" w14:textId="77777777" w:rsidR="008643D9" w:rsidRPr="00E115D0" w:rsidRDefault="008643D9" w:rsidP="00E5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i/>
                <w:iCs/>
                <w:sz w:val="20"/>
                <w:lang w:eastAsia="fr-CA"/>
              </w:rPr>
            </w:pPr>
            <w:r w:rsidRPr="005362CD">
              <w:rPr>
                <w:b/>
                <w:bCs/>
                <w:sz w:val="20"/>
                <w:lang w:eastAsia="fr-CA"/>
              </w:rPr>
              <w:t>Reference: para. 39 of IAS 20</w:t>
            </w:r>
            <w:r>
              <w:rPr>
                <w:b/>
                <w:bCs/>
                <w:sz w:val="20"/>
                <w:lang w:eastAsia="fr-CA"/>
              </w:rPr>
              <w:t xml:space="preserve"> </w:t>
            </w:r>
            <w:r w:rsidRPr="00E43796">
              <w:rPr>
                <w:b/>
                <w:bCs/>
                <w:i/>
                <w:iCs/>
                <w:sz w:val="20"/>
                <w:lang w:eastAsia="fr-CA"/>
              </w:rPr>
              <w:t>Accounting for Government Grants and Disclosure of Government Assistance</w:t>
            </w:r>
          </w:p>
        </w:tc>
      </w:tr>
      <w:tr w:rsidR="008643D9" w:rsidRPr="00947F30" w14:paraId="51ABB068" w14:textId="77777777" w:rsidTr="00E5467D">
        <w:trPr>
          <w:trHeight w:val="1178"/>
        </w:trPr>
        <w:tc>
          <w:tcPr>
            <w:cnfStyle w:val="001000000000" w:firstRow="0" w:lastRow="0" w:firstColumn="1" w:lastColumn="0" w:oddVBand="0" w:evenVBand="0" w:oddHBand="0" w:evenHBand="0" w:firstRowFirstColumn="0" w:firstRowLastColumn="0" w:lastRowFirstColumn="0" w:lastRowLastColumn="0"/>
            <w:tcW w:w="1862" w:type="dxa"/>
            <w:shd w:val="clear" w:color="auto" w:fill="EEECE1" w:themeFill="background2"/>
          </w:tcPr>
          <w:p w14:paraId="6CE95C41" w14:textId="59E633DC" w:rsidR="008643D9" w:rsidRPr="005362CD" w:rsidRDefault="0035034E" w:rsidP="00E5467D">
            <w:pPr>
              <w:rPr>
                <w:sz w:val="20"/>
                <w:lang w:eastAsia="fr-CA"/>
              </w:rPr>
            </w:pPr>
            <w:r>
              <w:rPr>
                <w:sz w:val="20"/>
                <w:lang w:eastAsia="fr-CA"/>
              </w:rPr>
              <w:t xml:space="preserve">COVID-19 Related </w:t>
            </w:r>
            <w:r w:rsidR="001209DF">
              <w:rPr>
                <w:sz w:val="20"/>
                <w:lang w:eastAsia="fr-CA"/>
              </w:rPr>
              <w:t>A</w:t>
            </w:r>
            <w:r w:rsidR="008643D9">
              <w:rPr>
                <w:sz w:val="20"/>
                <w:lang w:eastAsia="fr-CA"/>
              </w:rPr>
              <w:t xml:space="preserve">mendments to IFRS 16 Leases for Lessees </w:t>
            </w:r>
          </w:p>
        </w:tc>
        <w:tc>
          <w:tcPr>
            <w:tcW w:w="3378" w:type="dxa"/>
            <w:shd w:val="clear" w:color="auto" w:fill="EEECE1" w:themeFill="background2"/>
          </w:tcPr>
          <w:p w14:paraId="4A2BAE14" w14:textId="7A40EFBF" w:rsidR="00580D51" w:rsidRDefault="00580D51" w:rsidP="00580D51">
            <w:pPr>
              <w:cnfStyle w:val="000000000000" w:firstRow="0" w:lastRow="0" w:firstColumn="0" w:lastColumn="0" w:oddVBand="0" w:evenVBand="0" w:oddHBand="0" w:evenHBand="0" w:firstRowFirstColumn="0" w:firstRowLastColumn="0" w:lastRowFirstColumn="0" w:lastRowLastColumn="0"/>
              <w:rPr>
                <w:sz w:val="20"/>
                <w:lang w:eastAsia="fr-CA"/>
              </w:rPr>
            </w:pPr>
            <w:r w:rsidRPr="00FA1319">
              <w:rPr>
                <w:sz w:val="20"/>
                <w:lang w:eastAsia="fr-CA"/>
              </w:rPr>
              <w:t xml:space="preserve">The IASB issued amendments to IFRS 16 </w:t>
            </w:r>
            <w:r w:rsidRPr="00154BEF">
              <w:rPr>
                <w:i/>
                <w:iCs/>
                <w:sz w:val="20"/>
                <w:lang w:eastAsia="fr-CA"/>
              </w:rPr>
              <w:t>Leases</w:t>
            </w:r>
            <w:r w:rsidRPr="00FA1319">
              <w:rPr>
                <w:sz w:val="20"/>
                <w:lang w:eastAsia="fr-CA"/>
              </w:rPr>
              <w:t xml:space="preserve"> to </w:t>
            </w:r>
            <w:r>
              <w:rPr>
                <w:sz w:val="20"/>
                <w:lang w:eastAsia="fr-CA"/>
              </w:rPr>
              <w:t>provide a practical expedient that</w:t>
            </w:r>
            <w:r w:rsidRPr="00FA1319">
              <w:rPr>
                <w:sz w:val="20"/>
                <w:lang w:eastAsia="fr-CA"/>
              </w:rPr>
              <w:t xml:space="preserve"> allow</w:t>
            </w:r>
            <w:r>
              <w:rPr>
                <w:sz w:val="20"/>
                <w:lang w:eastAsia="fr-CA"/>
              </w:rPr>
              <w:t>s</w:t>
            </w:r>
            <w:r w:rsidRPr="00FA1319">
              <w:rPr>
                <w:sz w:val="20"/>
                <w:lang w:eastAsia="fr-CA"/>
              </w:rPr>
              <w:t xml:space="preserve"> lessees </w:t>
            </w:r>
            <w:r>
              <w:rPr>
                <w:sz w:val="20"/>
                <w:lang w:eastAsia="fr-CA"/>
              </w:rPr>
              <w:t>to elect</w:t>
            </w:r>
            <w:r w:rsidRPr="00FA1319">
              <w:rPr>
                <w:sz w:val="20"/>
                <w:lang w:eastAsia="fr-CA"/>
              </w:rPr>
              <w:t xml:space="preserve"> not to </w:t>
            </w:r>
            <w:r>
              <w:rPr>
                <w:sz w:val="20"/>
                <w:lang w:eastAsia="fr-CA"/>
              </w:rPr>
              <w:t>assess</w:t>
            </w:r>
            <w:r w:rsidRPr="00FA1319">
              <w:rPr>
                <w:sz w:val="20"/>
                <w:lang w:eastAsia="fr-CA"/>
              </w:rPr>
              <w:t xml:space="preserve"> </w:t>
            </w:r>
            <w:r>
              <w:rPr>
                <w:sz w:val="20"/>
                <w:lang w:eastAsia="fr-CA"/>
              </w:rPr>
              <w:t>whether a</w:t>
            </w:r>
            <w:r w:rsidRPr="00FA1319">
              <w:rPr>
                <w:sz w:val="20"/>
                <w:lang w:eastAsia="fr-CA"/>
              </w:rPr>
              <w:t xml:space="preserve"> rent concession </w:t>
            </w:r>
            <w:r>
              <w:rPr>
                <w:sz w:val="20"/>
                <w:lang w:eastAsia="fr-CA"/>
              </w:rPr>
              <w:t>is a</w:t>
            </w:r>
            <w:r w:rsidRPr="00FA1319">
              <w:rPr>
                <w:sz w:val="20"/>
                <w:lang w:eastAsia="fr-CA"/>
              </w:rPr>
              <w:t xml:space="preserve"> lease modification</w:t>
            </w:r>
            <w:r>
              <w:rPr>
                <w:sz w:val="20"/>
                <w:lang w:eastAsia="fr-CA"/>
              </w:rPr>
              <w:t xml:space="preserve">. The application of the practical expedient is permitted, but not required.  In order to apply the practical expedient, certain conditions </w:t>
            </w:r>
            <w:r w:rsidR="002836B3">
              <w:rPr>
                <w:sz w:val="20"/>
                <w:lang w:eastAsia="fr-CA"/>
              </w:rPr>
              <w:t xml:space="preserve">specified in IFRS 16 </w:t>
            </w:r>
            <w:r>
              <w:rPr>
                <w:sz w:val="20"/>
                <w:lang w:eastAsia="fr-CA"/>
              </w:rPr>
              <w:t>need to be met.</w:t>
            </w:r>
          </w:p>
          <w:p w14:paraId="3BB8452D" w14:textId="68B67FBA" w:rsidR="008643D9" w:rsidRPr="00580D51" w:rsidRDefault="00580D51" w:rsidP="00E5467D">
            <w:pPr>
              <w:pStyle w:val="ListParagraph"/>
              <w:numPr>
                <w:ilvl w:val="0"/>
                <w:numId w:val="53"/>
              </w:numPr>
              <w:cnfStyle w:val="000000000000" w:firstRow="0" w:lastRow="0" w:firstColumn="0" w:lastColumn="0" w:oddVBand="0" w:evenVBand="0" w:oddHBand="0" w:evenHBand="0" w:firstRowFirstColumn="0" w:firstRowLastColumn="0" w:lastRowFirstColumn="0" w:lastRowLastColumn="0"/>
              <w:rPr>
                <w:sz w:val="20"/>
                <w:lang w:eastAsia="fr-CA"/>
              </w:rPr>
            </w:pPr>
            <w:r w:rsidRPr="004A257C">
              <w:rPr>
                <w:sz w:val="20"/>
                <w:lang w:eastAsia="fr-CA"/>
              </w:rPr>
              <w:t>The vast majority of the issuers we reviewed with material rent concessions met the</w:t>
            </w:r>
            <w:r>
              <w:rPr>
                <w:sz w:val="20"/>
                <w:lang w:eastAsia="fr-CA"/>
              </w:rPr>
              <w:t xml:space="preserve"> required</w:t>
            </w:r>
            <w:r w:rsidRPr="004A257C">
              <w:rPr>
                <w:sz w:val="20"/>
                <w:lang w:eastAsia="fr-CA"/>
              </w:rPr>
              <w:t xml:space="preserve"> conditions, but </w:t>
            </w:r>
            <w:r>
              <w:rPr>
                <w:sz w:val="20"/>
                <w:lang w:eastAsia="fr-CA"/>
              </w:rPr>
              <w:t xml:space="preserve">some </w:t>
            </w:r>
            <w:r w:rsidRPr="004A257C">
              <w:rPr>
                <w:sz w:val="20"/>
                <w:lang w:eastAsia="fr-CA"/>
              </w:rPr>
              <w:t xml:space="preserve">did not sufficiently disclose </w:t>
            </w:r>
            <w:r w:rsidR="00F63AD4">
              <w:rPr>
                <w:sz w:val="20"/>
                <w:lang w:eastAsia="fr-CA"/>
              </w:rPr>
              <w:t>whether</w:t>
            </w:r>
            <w:r w:rsidRPr="004A257C">
              <w:rPr>
                <w:sz w:val="20"/>
                <w:lang w:eastAsia="fr-CA"/>
              </w:rPr>
              <w:t xml:space="preserve"> they applied the practical expedient to all </w:t>
            </w:r>
            <w:r>
              <w:rPr>
                <w:sz w:val="20"/>
                <w:lang w:eastAsia="fr-CA"/>
              </w:rPr>
              <w:t>their</w:t>
            </w:r>
            <w:r w:rsidRPr="004A257C">
              <w:rPr>
                <w:sz w:val="20"/>
                <w:lang w:eastAsia="fr-CA"/>
              </w:rPr>
              <w:t xml:space="preserve"> rent concessions or only to some of them, or the amount </w:t>
            </w:r>
            <w:r>
              <w:rPr>
                <w:sz w:val="20"/>
                <w:lang w:eastAsia="fr-CA"/>
              </w:rPr>
              <w:t xml:space="preserve">recognised </w:t>
            </w:r>
            <w:r w:rsidRPr="004A257C">
              <w:rPr>
                <w:sz w:val="20"/>
                <w:lang w:eastAsia="fr-CA"/>
              </w:rPr>
              <w:t xml:space="preserve">in profit or loss as a result of applying the practical expedient </w:t>
            </w:r>
          </w:p>
        </w:tc>
        <w:tc>
          <w:tcPr>
            <w:tcW w:w="4541" w:type="dxa"/>
            <w:shd w:val="clear" w:color="auto" w:fill="EEECE1" w:themeFill="background2"/>
          </w:tcPr>
          <w:p w14:paraId="6744A00F" w14:textId="77777777" w:rsidR="00580D51" w:rsidRPr="005362CD" w:rsidRDefault="00580D51" w:rsidP="00580D51">
            <w:pPr>
              <w:pStyle w:val="ListParagraph"/>
              <w:numPr>
                <w:ilvl w:val="0"/>
                <w:numId w:val="5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lang w:eastAsia="fr-CA"/>
              </w:rPr>
            </w:pPr>
            <w:r>
              <w:rPr>
                <w:sz w:val="20"/>
                <w:lang w:eastAsia="fr-CA"/>
              </w:rPr>
              <w:t>When</w:t>
            </w:r>
            <w:r w:rsidRPr="005362CD">
              <w:rPr>
                <w:sz w:val="20"/>
                <w:lang w:eastAsia="fr-CA"/>
              </w:rPr>
              <w:t xml:space="preserve"> the practical expedient</w:t>
            </w:r>
            <w:r>
              <w:rPr>
                <w:sz w:val="20"/>
                <w:lang w:eastAsia="fr-CA"/>
              </w:rPr>
              <w:t xml:space="preserve"> is elected and applied, a lessee is required to disclose: </w:t>
            </w:r>
          </w:p>
          <w:p w14:paraId="4EBD3FF5" w14:textId="77777777" w:rsidR="00580D51" w:rsidRDefault="00580D51" w:rsidP="00580D51">
            <w:pPr>
              <w:pStyle w:val="ListParagraph"/>
              <w:numPr>
                <w:ilvl w:val="1"/>
                <w:numId w:val="5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lang w:eastAsia="fr-CA"/>
              </w:rPr>
            </w:pPr>
            <w:r w:rsidRPr="005362CD">
              <w:rPr>
                <w:sz w:val="20"/>
                <w:lang w:eastAsia="fr-CA"/>
              </w:rPr>
              <w:t>it has applied the practical expedient to all its rent concessions</w:t>
            </w:r>
            <w:r>
              <w:rPr>
                <w:sz w:val="20"/>
                <w:lang w:eastAsia="fr-CA"/>
              </w:rPr>
              <w:t xml:space="preserve"> that meet the conditions</w:t>
            </w:r>
            <w:r w:rsidRPr="005362CD">
              <w:rPr>
                <w:sz w:val="20"/>
                <w:lang w:eastAsia="fr-CA"/>
              </w:rPr>
              <w:t xml:space="preserve">, or </w:t>
            </w:r>
            <w:r>
              <w:rPr>
                <w:sz w:val="20"/>
                <w:lang w:eastAsia="fr-CA"/>
              </w:rPr>
              <w:t xml:space="preserve">if not applied to all such rent concessions, information about the nature of the contracts to which it has applied the practical expedient. </w:t>
            </w:r>
          </w:p>
          <w:p w14:paraId="4D4B720B" w14:textId="77777777" w:rsidR="00580D51" w:rsidRDefault="00580D51" w:rsidP="00580D51">
            <w:pPr>
              <w:pStyle w:val="ListParagraph"/>
              <w:numPr>
                <w:ilvl w:val="1"/>
                <w:numId w:val="5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lang w:eastAsia="fr-CA"/>
              </w:rPr>
            </w:pPr>
            <w:r>
              <w:rPr>
                <w:sz w:val="20"/>
                <w:lang w:eastAsia="fr-CA"/>
              </w:rPr>
              <w:t xml:space="preserve">the amount recognised in profit or loss for the reporting period to reflect changes in lease payments arising from such rent concessions to which the lessee has applied the practical expedient. </w:t>
            </w:r>
          </w:p>
          <w:p w14:paraId="5B51DC36" w14:textId="77777777" w:rsidR="008643D9" w:rsidRDefault="008643D9" w:rsidP="00E5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sz w:val="20"/>
                <w:lang w:eastAsia="fr-CA"/>
              </w:rPr>
            </w:pPr>
          </w:p>
          <w:p w14:paraId="6E79F4FB" w14:textId="77777777" w:rsidR="008643D9" w:rsidRDefault="008643D9" w:rsidP="00E5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sz w:val="20"/>
                <w:lang w:eastAsia="fr-CA"/>
              </w:rPr>
            </w:pPr>
          </w:p>
          <w:p w14:paraId="57B83A91" w14:textId="5E21AC08" w:rsidR="008643D9" w:rsidRPr="00357CCA" w:rsidRDefault="008643D9" w:rsidP="00E5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lang w:eastAsia="fr-CA"/>
              </w:rPr>
            </w:pPr>
            <w:r w:rsidRPr="004A72C5">
              <w:rPr>
                <w:b/>
                <w:bCs/>
                <w:sz w:val="20"/>
                <w:lang w:eastAsia="fr-CA"/>
              </w:rPr>
              <w:t>Reference:</w:t>
            </w:r>
            <w:r w:rsidRPr="00DA2BD5">
              <w:rPr>
                <w:b/>
                <w:bCs/>
                <w:sz w:val="20"/>
                <w:lang w:eastAsia="fr-CA"/>
              </w:rPr>
              <w:t xml:space="preserve"> </w:t>
            </w:r>
            <w:r w:rsidR="000F1D47" w:rsidRPr="006A351B">
              <w:rPr>
                <w:b/>
                <w:bCs/>
                <w:sz w:val="20"/>
                <w:lang w:eastAsia="fr-CA"/>
              </w:rPr>
              <w:t>para 46A,46B and 60A of IFRS 16</w:t>
            </w:r>
            <w:r w:rsidR="000F1D47">
              <w:rPr>
                <w:b/>
                <w:bCs/>
                <w:i/>
                <w:iCs/>
                <w:sz w:val="20"/>
                <w:lang w:eastAsia="fr-CA"/>
              </w:rPr>
              <w:t xml:space="preserve"> Leases</w:t>
            </w:r>
          </w:p>
        </w:tc>
      </w:tr>
    </w:tbl>
    <w:p w14:paraId="429B568E" w14:textId="77777777" w:rsidR="008643D9" w:rsidRDefault="008643D9" w:rsidP="008643D9">
      <w:pPr>
        <w:spacing w:after="240"/>
        <w:jc w:val="both"/>
      </w:pPr>
    </w:p>
    <w:p w14:paraId="5C545815" w14:textId="77777777" w:rsidR="00B071CC" w:rsidRDefault="00B071CC" w:rsidP="00646FE1">
      <w:pPr>
        <w:spacing w:after="240"/>
        <w:jc w:val="both"/>
        <w:rPr>
          <w:bCs/>
          <w:sz w:val="20"/>
        </w:rPr>
      </w:pPr>
    </w:p>
    <w:p w14:paraId="2AC3F6F2" w14:textId="77777777" w:rsidR="00646FE1" w:rsidRPr="006355FB" w:rsidRDefault="00646FE1" w:rsidP="00D93E09">
      <w:pPr>
        <w:spacing w:after="240"/>
        <w:jc w:val="both"/>
      </w:pPr>
    </w:p>
    <w:p w14:paraId="3AE5692C" w14:textId="77777777" w:rsidR="006355FB" w:rsidRDefault="0001469C" w:rsidP="002210E9">
      <w:pPr>
        <w:rPr>
          <w:b/>
          <w:bCs/>
          <w:color w:val="1F497D" w:themeColor="text2"/>
          <w:sz w:val="28"/>
          <w:szCs w:val="28"/>
        </w:rPr>
      </w:pPr>
      <w:r>
        <w:br w:type="page"/>
      </w:r>
      <w:bookmarkStart w:id="9" w:name="_Toc62334911"/>
      <w:r w:rsidR="00646FE1">
        <w:rPr>
          <w:b/>
          <w:bCs/>
          <w:color w:val="1F497D" w:themeColor="text2"/>
          <w:sz w:val="28"/>
          <w:szCs w:val="28"/>
        </w:rPr>
        <w:t>A</w:t>
      </w:r>
      <w:r w:rsidR="006355FB" w:rsidRPr="006355FB">
        <w:rPr>
          <w:b/>
          <w:bCs/>
          <w:color w:val="1F497D" w:themeColor="text2"/>
          <w:sz w:val="28"/>
          <w:szCs w:val="28"/>
        </w:rPr>
        <w:t>.</w:t>
      </w:r>
      <w:r w:rsidR="00646FE1">
        <w:rPr>
          <w:b/>
          <w:bCs/>
          <w:color w:val="1F497D" w:themeColor="text2"/>
          <w:sz w:val="28"/>
          <w:szCs w:val="28"/>
        </w:rPr>
        <w:t>3</w:t>
      </w:r>
      <w:r w:rsidR="006355FB" w:rsidRPr="006355FB">
        <w:rPr>
          <w:b/>
          <w:bCs/>
          <w:color w:val="1F497D" w:themeColor="text2"/>
          <w:sz w:val="28"/>
          <w:szCs w:val="28"/>
        </w:rPr>
        <w:t xml:space="preserve"> </w:t>
      </w:r>
      <w:r w:rsidR="006355FB">
        <w:rPr>
          <w:b/>
          <w:bCs/>
          <w:color w:val="1F497D" w:themeColor="text2"/>
          <w:sz w:val="28"/>
          <w:szCs w:val="28"/>
        </w:rPr>
        <w:t>Other Regulatory Matters</w:t>
      </w:r>
      <w:bookmarkEnd w:id="9"/>
    </w:p>
    <w:p w14:paraId="0E008CDC" w14:textId="77777777" w:rsidR="002210E9" w:rsidRPr="002210E9" w:rsidRDefault="002210E9" w:rsidP="002210E9"/>
    <w:p w14:paraId="46289F86" w14:textId="77777777" w:rsidR="0067285E" w:rsidRDefault="0067285E" w:rsidP="0067285E">
      <w:pPr>
        <w:rPr>
          <w:color w:val="000000" w:themeColor="text1"/>
          <w:sz w:val="20"/>
          <w:lang w:eastAsia="en-CA"/>
        </w:rPr>
      </w:pPr>
      <w:r w:rsidRPr="00947F30">
        <w:rPr>
          <w:color w:val="000000" w:themeColor="text1"/>
          <w:sz w:val="20"/>
          <w:lang w:eastAsia="en-CA"/>
        </w:rPr>
        <w:t xml:space="preserve">Disclosure related to the COVID-19 </w:t>
      </w:r>
      <w:r>
        <w:rPr>
          <w:color w:val="000000" w:themeColor="text1"/>
          <w:sz w:val="20"/>
          <w:lang w:eastAsia="en-CA"/>
        </w:rPr>
        <w:t xml:space="preserve">pandemic </w:t>
      </w:r>
      <w:r w:rsidRPr="00947F30">
        <w:rPr>
          <w:color w:val="000000" w:themeColor="text1"/>
          <w:sz w:val="20"/>
          <w:lang w:eastAsia="en-CA"/>
        </w:rPr>
        <w:t>may also result in consideration of other regulatory requirements including the requirements and/or guidance related to</w:t>
      </w:r>
      <w:r>
        <w:rPr>
          <w:color w:val="000000" w:themeColor="text1"/>
          <w:sz w:val="20"/>
          <w:lang w:eastAsia="en-CA"/>
        </w:rPr>
        <w:t xml:space="preserve"> the following:</w:t>
      </w:r>
    </w:p>
    <w:p w14:paraId="1F7CBC16" w14:textId="77777777" w:rsidR="0067285E" w:rsidRPr="00424BEC" w:rsidRDefault="0067285E" w:rsidP="0067285E">
      <w:pPr>
        <w:rPr>
          <w:color w:val="000000" w:themeColor="text1"/>
          <w:sz w:val="20"/>
          <w:lang w:eastAsia="en-CA"/>
        </w:rPr>
      </w:pPr>
    </w:p>
    <w:tbl>
      <w:tblPr>
        <w:tblStyle w:val="GridTable4-Accent6"/>
        <w:tblW w:w="9781"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clear" w:color="auto" w:fill="EEECE1" w:themeFill="background2"/>
        <w:tblLayout w:type="fixed"/>
        <w:tblLook w:val="04A0" w:firstRow="1" w:lastRow="0" w:firstColumn="1" w:lastColumn="0" w:noHBand="0" w:noVBand="1"/>
      </w:tblPr>
      <w:tblGrid>
        <w:gridCol w:w="1696"/>
        <w:gridCol w:w="3686"/>
        <w:gridCol w:w="4399"/>
      </w:tblGrid>
      <w:tr w:rsidR="0067285E" w:rsidRPr="00947F30" w14:paraId="12445E50" w14:textId="77777777" w:rsidTr="00E5467D">
        <w:trPr>
          <w:cnfStyle w:val="100000000000" w:firstRow="1" w:lastRow="0" w:firstColumn="0" w:lastColumn="0" w:oddVBand="0" w:evenVBand="0" w:oddHBand="0" w:evenHBand="0" w:firstRowFirstColumn="0" w:firstRowLastColumn="0" w:lastRowFirstColumn="0" w:lastRowLastColumn="0"/>
          <w:trHeight w:val="339"/>
          <w:tblHeader/>
        </w:trPr>
        <w:tc>
          <w:tcPr>
            <w:cnfStyle w:val="001000000000" w:firstRow="0" w:lastRow="0" w:firstColumn="1" w:lastColumn="0" w:oddVBand="0" w:evenVBand="0" w:oddHBand="0" w:evenHBand="0" w:firstRowFirstColumn="0" w:firstRowLastColumn="0" w:lastRowFirstColumn="0" w:lastRowLastColumn="0"/>
            <w:tcW w:w="1696" w:type="dxa"/>
            <w:shd w:val="clear" w:color="auto" w:fill="4F81BD" w:themeFill="accent1"/>
          </w:tcPr>
          <w:p w14:paraId="0F485AC2" w14:textId="77777777" w:rsidR="0067285E" w:rsidRPr="00947F30" w:rsidRDefault="0067285E" w:rsidP="00E5467D">
            <w:pPr>
              <w:spacing w:line="276" w:lineRule="auto"/>
              <w:jc w:val="center"/>
              <w:rPr>
                <w:sz w:val="20"/>
                <w:lang w:val="en-US"/>
              </w:rPr>
            </w:pPr>
            <w:r w:rsidRPr="00947F30">
              <w:rPr>
                <w:sz w:val="20"/>
                <w:lang w:val="en-US"/>
              </w:rPr>
              <w:t>Focus Area</w:t>
            </w:r>
          </w:p>
        </w:tc>
        <w:tc>
          <w:tcPr>
            <w:tcW w:w="3686" w:type="dxa"/>
            <w:shd w:val="clear" w:color="auto" w:fill="4F81BD" w:themeFill="accent1"/>
          </w:tcPr>
          <w:p w14:paraId="65CE71E2" w14:textId="77777777" w:rsidR="0067285E" w:rsidRPr="00947F30" w:rsidRDefault="0067285E" w:rsidP="00E5467D">
            <w:pPr>
              <w:spacing w:line="276" w:lineRule="auto"/>
              <w:jc w:val="center"/>
              <w:cnfStyle w:val="100000000000" w:firstRow="1" w:lastRow="0" w:firstColumn="0" w:lastColumn="0" w:oddVBand="0" w:evenVBand="0" w:oddHBand="0" w:evenHBand="0" w:firstRowFirstColumn="0" w:firstRowLastColumn="0" w:lastRowFirstColumn="0" w:lastRowLastColumn="0"/>
              <w:rPr>
                <w:sz w:val="20"/>
                <w:lang w:val="en-US"/>
              </w:rPr>
            </w:pPr>
            <w:r w:rsidRPr="00947F30">
              <w:rPr>
                <w:sz w:val="20"/>
                <w:lang w:val="en-US"/>
              </w:rPr>
              <w:t>Observations</w:t>
            </w:r>
          </w:p>
        </w:tc>
        <w:tc>
          <w:tcPr>
            <w:tcW w:w="4399" w:type="dxa"/>
            <w:shd w:val="clear" w:color="auto" w:fill="4F81BD" w:themeFill="accent1"/>
          </w:tcPr>
          <w:p w14:paraId="3BF3C7CA" w14:textId="77777777" w:rsidR="0067285E" w:rsidRPr="00947F30" w:rsidRDefault="0067285E" w:rsidP="00E5467D">
            <w:pPr>
              <w:spacing w:line="276" w:lineRule="auto"/>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Considerations</w:t>
            </w:r>
          </w:p>
        </w:tc>
      </w:tr>
      <w:tr w:rsidR="0067285E" w:rsidRPr="00E04193" w14:paraId="480EC13A" w14:textId="77777777" w:rsidTr="00E5467D">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1696" w:type="dxa"/>
            <w:shd w:val="clear" w:color="auto" w:fill="EEECE1" w:themeFill="background2"/>
          </w:tcPr>
          <w:p w14:paraId="63E2D2F1" w14:textId="77777777" w:rsidR="0067285E" w:rsidRPr="00424BEC" w:rsidRDefault="0067285E" w:rsidP="00E5467D">
            <w:pPr>
              <w:spacing w:line="276" w:lineRule="auto"/>
              <w:rPr>
                <w:b w:val="0"/>
                <w:color w:val="000000" w:themeColor="text1"/>
                <w:sz w:val="20"/>
                <w:lang w:val="en-US"/>
              </w:rPr>
            </w:pPr>
            <w:r w:rsidRPr="00E04193">
              <w:rPr>
                <w:bCs w:val="0"/>
                <w:color w:val="000000" w:themeColor="text1"/>
                <w:sz w:val="20"/>
                <w:lang w:val="en-US"/>
              </w:rPr>
              <w:t>NGMs</w:t>
            </w:r>
            <w:r>
              <w:rPr>
                <w:bCs w:val="0"/>
                <w:color w:val="000000" w:themeColor="text1"/>
                <w:sz w:val="20"/>
                <w:lang w:val="en-US"/>
              </w:rPr>
              <w:t xml:space="preserve"> Adjusted for Impacts Related to COVID-19</w:t>
            </w:r>
            <w:r w:rsidRPr="00424BEC">
              <w:rPr>
                <w:rStyle w:val="FootnoteReference"/>
                <w:bCs w:val="0"/>
                <w:color w:val="000000" w:themeColor="text1"/>
                <w:sz w:val="18"/>
                <w:szCs w:val="18"/>
                <w:vertAlign w:val="superscript"/>
                <w:lang w:val="en-US"/>
              </w:rPr>
              <w:footnoteReference w:id="4"/>
            </w:r>
          </w:p>
        </w:tc>
        <w:tc>
          <w:tcPr>
            <w:tcW w:w="3686" w:type="dxa"/>
            <w:shd w:val="clear" w:color="auto" w:fill="EEECE1" w:themeFill="background2"/>
          </w:tcPr>
          <w:p w14:paraId="0FC34404" w14:textId="77777777" w:rsidR="0067285E" w:rsidRPr="00E04193" w:rsidRDefault="00FE5493" w:rsidP="00D156AB">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rPr>
            </w:pPr>
            <w:r>
              <w:rPr>
                <w:sz w:val="20"/>
              </w:rPr>
              <w:t>Less than 5% of the issuers we reviewed</w:t>
            </w:r>
            <w:r w:rsidR="0067285E" w:rsidRPr="00E04193">
              <w:rPr>
                <w:sz w:val="20"/>
              </w:rPr>
              <w:t xml:space="preserve"> disclose</w:t>
            </w:r>
            <w:r>
              <w:rPr>
                <w:sz w:val="20"/>
              </w:rPr>
              <w:t>d</w:t>
            </w:r>
            <w:r w:rsidR="0067285E" w:rsidRPr="00E04193">
              <w:rPr>
                <w:sz w:val="20"/>
              </w:rPr>
              <w:t xml:space="preserve"> NGMs adjusted for impact</w:t>
            </w:r>
            <w:r w:rsidR="0067285E">
              <w:rPr>
                <w:sz w:val="20"/>
              </w:rPr>
              <w:t>s related to</w:t>
            </w:r>
            <w:r w:rsidR="0067285E" w:rsidRPr="00E04193">
              <w:rPr>
                <w:sz w:val="20"/>
              </w:rPr>
              <w:t xml:space="preserve"> COVID-19.</w:t>
            </w:r>
          </w:p>
          <w:p w14:paraId="51150679" w14:textId="77777777" w:rsidR="0067285E" w:rsidRPr="00E04193" w:rsidRDefault="0067285E" w:rsidP="00D156AB">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rPr>
            </w:pPr>
            <w:r w:rsidRPr="00E04193">
              <w:rPr>
                <w:sz w:val="20"/>
              </w:rPr>
              <w:t>In certain cases</w:t>
            </w:r>
            <w:r>
              <w:rPr>
                <w:sz w:val="20"/>
              </w:rPr>
              <w:t xml:space="preserve"> where a NGM was disclosed, i</w:t>
            </w:r>
            <w:r w:rsidRPr="00E04193">
              <w:rPr>
                <w:sz w:val="20"/>
              </w:rPr>
              <w:t>ssuers did not adequately explain how adjustments were attributable to the pandemic and/or were non-recurring.</w:t>
            </w:r>
          </w:p>
          <w:p w14:paraId="2EA63290" w14:textId="3BBE60FA" w:rsidR="0067285E" w:rsidRDefault="0067285E" w:rsidP="00D156AB">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rPr>
            </w:pPr>
            <w:r>
              <w:rPr>
                <w:sz w:val="20"/>
              </w:rPr>
              <w:t>CSA s</w:t>
            </w:r>
            <w:r w:rsidRPr="00E04193">
              <w:rPr>
                <w:sz w:val="20"/>
              </w:rPr>
              <w:t>taff found a few instances where the disclosure of NGMs w</w:t>
            </w:r>
            <w:r w:rsidR="005502AC">
              <w:rPr>
                <w:sz w:val="20"/>
              </w:rPr>
              <w:t>as</w:t>
            </w:r>
            <w:r>
              <w:rPr>
                <w:sz w:val="20"/>
              </w:rPr>
              <w:t xml:space="preserve"> potentially</w:t>
            </w:r>
            <w:r w:rsidRPr="00E04193">
              <w:rPr>
                <w:sz w:val="20"/>
              </w:rPr>
              <w:t xml:space="preserve"> misleading as the issuer:</w:t>
            </w:r>
            <w:r>
              <w:rPr>
                <w:sz w:val="20"/>
              </w:rPr>
              <w:t xml:space="preserve"> </w:t>
            </w:r>
            <w:r w:rsidRPr="00701038">
              <w:rPr>
                <w:sz w:val="20"/>
              </w:rPr>
              <w:t>adjusted for expenses attributable to COVID-19 without adjusting for government subsidies</w:t>
            </w:r>
            <w:r>
              <w:rPr>
                <w:sz w:val="20"/>
              </w:rPr>
              <w:t xml:space="preserve"> or </w:t>
            </w:r>
            <w:r w:rsidRPr="00701038">
              <w:rPr>
                <w:sz w:val="20"/>
              </w:rPr>
              <w:t>attempted to “normalize” revenue or expenses for the year-to-date period based on more positive results for one quarter</w:t>
            </w:r>
            <w:r>
              <w:rPr>
                <w:sz w:val="20"/>
              </w:rPr>
              <w:t>.</w:t>
            </w:r>
          </w:p>
          <w:p w14:paraId="38EE99A7" w14:textId="77777777" w:rsidR="0067285E" w:rsidRPr="00147E96" w:rsidRDefault="0067285E" w:rsidP="00E5467D">
            <w:pPr>
              <w:pStyle w:val="ListParagraph"/>
              <w:ind w:left="360"/>
              <w:cnfStyle w:val="000000100000" w:firstRow="0" w:lastRow="0" w:firstColumn="0" w:lastColumn="0" w:oddVBand="0" w:evenVBand="0" w:oddHBand="1" w:evenHBand="0" w:firstRowFirstColumn="0" w:firstRowLastColumn="0" w:lastRowFirstColumn="0" w:lastRowLastColumn="0"/>
              <w:rPr>
                <w:sz w:val="20"/>
              </w:rPr>
            </w:pPr>
          </w:p>
        </w:tc>
        <w:tc>
          <w:tcPr>
            <w:tcW w:w="4399" w:type="dxa"/>
            <w:shd w:val="clear" w:color="auto" w:fill="EEECE1" w:themeFill="background2"/>
          </w:tcPr>
          <w:p w14:paraId="34895F41" w14:textId="53AE2BAC" w:rsidR="0067285E" w:rsidRPr="005D6A59" w:rsidRDefault="0067285E" w:rsidP="00E5467D">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i/>
                <w:iCs/>
                <w:color w:val="000000" w:themeColor="text1"/>
                <w:sz w:val="20"/>
              </w:rPr>
            </w:pPr>
            <w:r w:rsidRPr="00E04193">
              <w:rPr>
                <w:color w:val="000000" w:themeColor="text1"/>
                <w:sz w:val="20"/>
              </w:rPr>
              <w:t>Before presenting NGMs adjusted for COVID-19 impacts, consider how it assists investors, how management uses the measure and why management believes it</w:t>
            </w:r>
            <w:r w:rsidR="00537863">
              <w:rPr>
                <w:color w:val="000000" w:themeColor="text1"/>
                <w:sz w:val="20"/>
              </w:rPr>
              <w:t xml:space="preserve"> i</w:t>
            </w:r>
            <w:r w:rsidRPr="00E04193">
              <w:rPr>
                <w:color w:val="000000" w:themeColor="text1"/>
                <w:sz w:val="20"/>
              </w:rPr>
              <w:t>s a useful and meaningful alternative to explain the</w:t>
            </w:r>
            <w:r>
              <w:rPr>
                <w:color w:val="000000" w:themeColor="text1"/>
                <w:sz w:val="20"/>
              </w:rPr>
              <w:t xml:space="preserve"> </w:t>
            </w:r>
            <w:r w:rsidRPr="00E04193">
              <w:rPr>
                <w:color w:val="000000" w:themeColor="text1"/>
                <w:sz w:val="20"/>
              </w:rPr>
              <w:t>impact of COVID-19.</w:t>
            </w:r>
          </w:p>
          <w:p w14:paraId="15181450" w14:textId="7C556842" w:rsidR="005D6A59" w:rsidRPr="005D6A59" w:rsidRDefault="005D6A59" w:rsidP="00E5467D">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Consider</w:t>
            </w:r>
            <w:r w:rsidRPr="005D6A59">
              <w:rPr>
                <w:color w:val="000000" w:themeColor="text1"/>
                <w:sz w:val="20"/>
              </w:rPr>
              <w:t xml:space="preserve"> whether the adjustment matches the corresponding usefulness of the </w:t>
            </w:r>
            <w:r>
              <w:rPr>
                <w:color w:val="000000" w:themeColor="text1"/>
                <w:sz w:val="20"/>
              </w:rPr>
              <w:t>NGM</w:t>
            </w:r>
            <w:r w:rsidRPr="005D6A59">
              <w:rPr>
                <w:color w:val="000000" w:themeColor="text1"/>
                <w:sz w:val="20"/>
              </w:rPr>
              <w:t xml:space="preserve"> and </w:t>
            </w:r>
            <w:r>
              <w:rPr>
                <w:color w:val="000000" w:themeColor="text1"/>
                <w:sz w:val="20"/>
              </w:rPr>
              <w:t xml:space="preserve">the disclosure is balanced (i.e., </w:t>
            </w:r>
            <w:r w:rsidRPr="005D6A59">
              <w:rPr>
                <w:color w:val="000000" w:themeColor="text1"/>
                <w:sz w:val="20"/>
              </w:rPr>
              <w:t xml:space="preserve">whether both positive and negative components </w:t>
            </w:r>
            <w:r>
              <w:rPr>
                <w:color w:val="000000" w:themeColor="text1"/>
                <w:sz w:val="20"/>
              </w:rPr>
              <w:t>are disclosed).</w:t>
            </w:r>
          </w:p>
          <w:p w14:paraId="57CFF06B" w14:textId="77777777" w:rsidR="0067285E" w:rsidRPr="00E04193" w:rsidRDefault="0067285E" w:rsidP="00E5467D">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i/>
                <w:iCs/>
                <w:color w:val="000000" w:themeColor="text1"/>
                <w:sz w:val="20"/>
              </w:rPr>
            </w:pPr>
            <w:r w:rsidRPr="00E04193">
              <w:rPr>
                <w:color w:val="000000" w:themeColor="text1"/>
                <w:sz w:val="20"/>
              </w:rPr>
              <w:t>As the pandemic continues, there may be a limited basis for management to conclude that an adjustment is non-recurring, infrequent or unusual even if the item is directly related to COVID-19.</w:t>
            </w:r>
          </w:p>
          <w:p w14:paraId="5F470AEA" w14:textId="709AA35A" w:rsidR="0067285E" w:rsidRPr="00E04193" w:rsidRDefault="0067285E" w:rsidP="00E5467D">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i/>
                <w:iCs/>
                <w:color w:val="000000" w:themeColor="text1"/>
                <w:sz w:val="20"/>
              </w:rPr>
            </w:pPr>
            <w:r>
              <w:rPr>
                <w:color w:val="000000" w:themeColor="text1"/>
                <w:sz w:val="20"/>
              </w:rPr>
              <w:t>B</w:t>
            </w:r>
            <w:r w:rsidRPr="00E04193">
              <w:rPr>
                <w:color w:val="000000" w:themeColor="text1"/>
                <w:sz w:val="20"/>
              </w:rPr>
              <w:t xml:space="preserve">e specific in </w:t>
            </w:r>
            <w:r>
              <w:rPr>
                <w:color w:val="000000" w:themeColor="text1"/>
                <w:sz w:val="20"/>
              </w:rPr>
              <w:t>describing</w:t>
            </w:r>
            <w:r w:rsidRPr="00E04193">
              <w:rPr>
                <w:color w:val="000000" w:themeColor="text1"/>
                <w:sz w:val="20"/>
              </w:rPr>
              <w:t xml:space="preserve"> adjustments </w:t>
            </w:r>
            <w:r w:rsidR="005502AC">
              <w:rPr>
                <w:color w:val="000000" w:themeColor="text1"/>
                <w:sz w:val="20"/>
              </w:rPr>
              <w:t>(</w:t>
            </w:r>
            <w:r w:rsidRPr="00E04193">
              <w:rPr>
                <w:color w:val="000000" w:themeColor="text1"/>
                <w:sz w:val="20"/>
              </w:rPr>
              <w:t xml:space="preserve">and not </w:t>
            </w:r>
            <w:r w:rsidR="005502AC">
              <w:rPr>
                <w:color w:val="000000" w:themeColor="text1"/>
                <w:sz w:val="20"/>
              </w:rPr>
              <w:t xml:space="preserve">simply </w:t>
            </w:r>
            <w:r w:rsidRPr="00E04193">
              <w:rPr>
                <w:color w:val="000000" w:themeColor="text1"/>
                <w:sz w:val="20"/>
              </w:rPr>
              <w:t>disclose</w:t>
            </w:r>
            <w:r w:rsidR="005502AC">
              <w:rPr>
                <w:color w:val="000000" w:themeColor="text1"/>
                <w:sz w:val="20"/>
              </w:rPr>
              <w:t xml:space="preserve">, for instance, </w:t>
            </w:r>
            <w:r w:rsidRPr="00E04193">
              <w:rPr>
                <w:color w:val="000000" w:themeColor="text1"/>
                <w:sz w:val="20"/>
              </w:rPr>
              <w:t>“other costs related to COVID”.</w:t>
            </w:r>
          </w:p>
          <w:p w14:paraId="437AAF3D" w14:textId="77777777" w:rsidR="0067285E" w:rsidRPr="00E04193" w:rsidRDefault="0067285E" w:rsidP="00E5467D">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i/>
                <w:iCs/>
                <w:color w:val="000000" w:themeColor="text1"/>
                <w:sz w:val="20"/>
              </w:rPr>
            </w:pPr>
            <w:r w:rsidRPr="00E04193">
              <w:rPr>
                <w:color w:val="000000" w:themeColor="text1"/>
                <w:sz w:val="20"/>
              </w:rPr>
              <w:t xml:space="preserve">If disclosing NGMs adjusted for COVID-19, </w:t>
            </w:r>
            <w:r>
              <w:rPr>
                <w:color w:val="000000" w:themeColor="text1"/>
                <w:sz w:val="20"/>
              </w:rPr>
              <w:t>include b</w:t>
            </w:r>
            <w:r w:rsidRPr="00E04193">
              <w:rPr>
                <w:color w:val="000000" w:themeColor="text1"/>
                <w:sz w:val="20"/>
              </w:rPr>
              <w:t xml:space="preserve">alanced </w:t>
            </w:r>
            <w:r>
              <w:rPr>
                <w:color w:val="000000" w:themeColor="text1"/>
                <w:sz w:val="20"/>
              </w:rPr>
              <w:t xml:space="preserve">adjustments </w:t>
            </w:r>
            <w:r w:rsidRPr="00E04193">
              <w:rPr>
                <w:color w:val="000000" w:themeColor="text1"/>
                <w:sz w:val="20"/>
              </w:rPr>
              <w:t xml:space="preserve">and consider the impacts </w:t>
            </w:r>
            <w:r>
              <w:rPr>
                <w:color w:val="000000" w:themeColor="text1"/>
                <w:sz w:val="20"/>
              </w:rPr>
              <w:t xml:space="preserve">of </w:t>
            </w:r>
            <w:r w:rsidRPr="00E04193">
              <w:rPr>
                <w:color w:val="000000" w:themeColor="text1"/>
                <w:sz w:val="20"/>
              </w:rPr>
              <w:t>government subsidies, insurance recoveries and relief from landlords.</w:t>
            </w:r>
          </w:p>
          <w:p w14:paraId="54A19724" w14:textId="77777777" w:rsidR="0067285E" w:rsidRPr="00E04193" w:rsidRDefault="0067285E" w:rsidP="00E5467D">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i/>
                <w:iCs/>
                <w:color w:val="000000" w:themeColor="text1"/>
                <w:sz w:val="20"/>
              </w:rPr>
            </w:pPr>
            <w:r w:rsidRPr="00E04193">
              <w:rPr>
                <w:color w:val="000000" w:themeColor="text1"/>
                <w:sz w:val="20"/>
              </w:rPr>
              <w:t xml:space="preserve">All adjustments should be based on actual results. Adjustments that attempt to estimate or forecast results </w:t>
            </w:r>
            <w:r w:rsidR="00FE5493">
              <w:rPr>
                <w:color w:val="000000" w:themeColor="text1"/>
                <w:sz w:val="20"/>
              </w:rPr>
              <w:t>as if the pandemic had not occurred</w:t>
            </w:r>
            <w:r w:rsidRPr="00E04193">
              <w:rPr>
                <w:color w:val="000000" w:themeColor="text1"/>
                <w:sz w:val="20"/>
              </w:rPr>
              <w:t xml:space="preserve"> are not appropriate. </w:t>
            </w:r>
          </w:p>
          <w:p w14:paraId="56303411" w14:textId="77777777" w:rsidR="0067285E" w:rsidRPr="00E04193" w:rsidRDefault="0067285E" w:rsidP="00E5467D">
            <w:pPr>
              <w:pStyle w:val="ListParagraph"/>
              <w:cnfStyle w:val="000000100000" w:firstRow="0" w:lastRow="0" w:firstColumn="0" w:lastColumn="0" w:oddVBand="0" w:evenVBand="0" w:oddHBand="1" w:evenHBand="0" w:firstRowFirstColumn="0" w:firstRowLastColumn="0" w:lastRowFirstColumn="0" w:lastRowLastColumn="0"/>
              <w:rPr>
                <w:i/>
                <w:iCs/>
                <w:color w:val="000000" w:themeColor="text1"/>
                <w:sz w:val="20"/>
              </w:rPr>
            </w:pPr>
          </w:p>
          <w:p w14:paraId="124A50E9" w14:textId="77777777" w:rsidR="0067285E" w:rsidRPr="00E04193" w:rsidRDefault="0067285E" w:rsidP="00E5467D">
            <w:pPr>
              <w:cnfStyle w:val="000000100000" w:firstRow="0" w:lastRow="0" w:firstColumn="0" w:lastColumn="0" w:oddVBand="0" w:evenVBand="0" w:oddHBand="1" w:evenHBand="0" w:firstRowFirstColumn="0" w:firstRowLastColumn="0" w:lastRowFirstColumn="0" w:lastRowLastColumn="0"/>
              <w:rPr>
                <w:b/>
                <w:bCs/>
                <w:color w:val="000000" w:themeColor="text1"/>
                <w:sz w:val="20"/>
              </w:rPr>
            </w:pPr>
            <w:r w:rsidRPr="00E04193">
              <w:rPr>
                <w:b/>
                <w:bCs/>
                <w:color w:val="000000" w:themeColor="text1"/>
                <w:sz w:val="20"/>
              </w:rPr>
              <w:t>Reference: SN 52-306</w:t>
            </w:r>
          </w:p>
        </w:tc>
      </w:tr>
      <w:tr w:rsidR="0067285E" w:rsidRPr="00E04193" w14:paraId="09BBD403" w14:textId="77777777" w:rsidTr="00D93E09">
        <w:trPr>
          <w:trHeight w:val="626"/>
        </w:trPr>
        <w:tc>
          <w:tcPr>
            <w:cnfStyle w:val="001000000000" w:firstRow="0" w:lastRow="0" w:firstColumn="1" w:lastColumn="0" w:oddVBand="0" w:evenVBand="0" w:oddHBand="0" w:evenHBand="0" w:firstRowFirstColumn="0" w:firstRowLastColumn="0" w:lastRowFirstColumn="0" w:lastRowLastColumn="0"/>
            <w:tcW w:w="0" w:type="dxa"/>
            <w:shd w:val="clear" w:color="auto" w:fill="EEECE1" w:themeFill="background2"/>
          </w:tcPr>
          <w:p w14:paraId="7917ABF4" w14:textId="77777777" w:rsidR="0067285E" w:rsidRPr="00E04193" w:rsidRDefault="0067285E" w:rsidP="00E5467D">
            <w:pPr>
              <w:spacing w:line="276" w:lineRule="auto"/>
              <w:rPr>
                <w:bCs w:val="0"/>
                <w:color w:val="000000" w:themeColor="text1"/>
                <w:sz w:val="20"/>
              </w:rPr>
            </w:pPr>
            <w:r w:rsidRPr="00E04193">
              <w:rPr>
                <w:bCs w:val="0"/>
                <w:color w:val="000000" w:themeColor="text1"/>
                <w:sz w:val="20"/>
              </w:rPr>
              <w:t>FLI</w:t>
            </w:r>
            <w:r>
              <w:rPr>
                <w:bCs w:val="0"/>
                <w:color w:val="000000" w:themeColor="text1"/>
                <w:sz w:val="20"/>
              </w:rPr>
              <w:t xml:space="preserve"> in Effect During COVID-19</w:t>
            </w:r>
          </w:p>
        </w:tc>
        <w:tc>
          <w:tcPr>
            <w:tcW w:w="0" w:type="dxa"/>
            <w:shd w:val="clear" w:color="auto" w:fill="EEECE1" w:themeFill="background2"/>
          </w:tcPr>
          <w:p w14:paraId="1C2CA056" w14:textId="77777777" w:rsidR="0067285E" w:rsidRPr="00E04193" w:rsidRDefault="0067285E" w:rsidP="00D532AA">
            <w:pPr>
              <w:pStyle w:val="ListParagraph"/>
              <w:numPr>
                <w:ilvl w:val="0"/>
                <w:numId w:val="29"/>
              </w:numPr>
              <w:shd w:val="clear" w:color="auto" w:fill="EEECE1" w:themeFill="background2"/>
              <w:cnfStyle w:val="000000000000" w:firstRow="0" w:lastRow="0" w:firstColumn="0" w:lastColumn="0" w:oddVBand="0" w:evenVBand="0" w:oddHBand="0" w:evenHBand="0" w:firstRowFirstColumn="0" w:firstRowLastColumn="0" w:lastRowFirstColumn="0" w:lastRowLastColumn="0"/>
              <w:rPr>
                <w:color w:val="444444"/>
                <w:sz w:val="20"/>
                <w:shd w:val="clear" w:color="auto" w:fill="FFFFFF"/>
              </w:rPr>
            </w:pPr>
            <w:r w:rsidRPr="00E04193">
              <w:rPr>
                <w:color w:val="000000" w:themeColor="text1"/>
                <w:sz w:val="20"/>
                <w:lang w:val="en-US"/>
              </w:rPr>
              <w:t xml:space="preserve">Most issuers that disclosed financial outlooks prior to COVID-19, withdrew their FLI. </w:t>
            </w:r>
          </w:p>
          <w:p w14:paraId="770FBDE8" w14:textId="77777777" w:rsidR="0067285E" w:rsidRDefault="0067285E" w:rsidP="00D532AA">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color w:val="000000" w:themeColor="text1"/>
                <w:sz w:val="20"/>
                <w:lang w:val="en-US"/>
              </w:rPr>
            </w:pPr>
            <w:r w:rsidRPr="00E04193">
              <w:rPr>
                <w:color w:val="000000" w:themeColor="text1"/>
                <w:sz w:val="20"/>
                <w:lang w:val="en-US"/>
              </w:rPr>
              <w:t xml:space="preserve">Some issuers provided detailed and meaningful disclosure including “outlook” sections with </w:t>
            </w:r>
            <w:r>
              <w:rPr>
                <w:color w:val="000000" w:themeColor="text1"/>
                <w:sz w:val="20"/>
                <w:lang w:val="en-US"/>
              </w:rPr>
              <w:t>FLI</w:t>
            </w:r>
            <w:r w:rsidRPr="00E04193">
              <w:rPr>
                <w:color w:val="000000" w:themeColor="text1"/>
                <w:sz w:val="20"/>
                <w:lang w:val="en-US"/>
              </w:rPr>
              <w:t xml:space="preserve"> discussing the anticipated medium to longer term impact of COVID-19 to the issuer’s business and industry.</w:t>
            </w:r>
          </w:p>
          <w:p w14:paraId="31F5761A" w14:textId="77777777" w:rsidR="0067285E" w:rsidRPr="00E04193" w:rsidRDefault="0067285E" w:rsidP="00D532AA">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color w:val="000000" w:themeColor="text1"/>
                <w:sz w:val="20"/>
                <w:lang w:val="en-US"/>
              </w:rPr>
            </w:pPr>
            <w:r>
              <w:rPr>
                <w:color w:val="000000" w:themeColor="text1"/>
                <w:sz w:val="20"/>
                <w:lang w:val="en-US"/>
              </w:rPr>
              <w:t>However, w</w:t>
            </w:r>
            <w:r w:rsidRPr="00B54EA6">
              <w:rPr>
                <w:color w:val="000000" w:themeColor="text1"/>
                <w:sz w:val="20"/>
                <w:lang w:val="en-US"/>
              </w:rPr>
              <w:t xml:space="preserve">e </w:t>
            </w:r>
            <w:r>
              <w:rPr>
                <w:color w:val="000000" w:themeColor="text1"/>
                <w:sz w:val="20"/>
                <w:lang w:val="en-US"/>
              </w:rPr>
              <w:t xml:space="preserve">also </w:t>
            </w:r>
            <w:r w:rsidRPr="00B54EA6">
              <w:rPr>
                <w:color w:val="000000" w:themeColor="text1"/>
                <w:sz w:val="20"/>
                <w:lang w:val="en-US"/>
              </w:rPr>
              <w:t>observed</w:t>
            </w:r>
            <w:r>
              <w:rPr>
                <w:color w:val="000000" w:themeColor="text1"/>
                <w:sz w:val="20"/>
                <w:lang w:val="en-US"/>
              </w:rPr>
              <w:t xml:space="preserve"> isolated</w:t>
            </w:r>
            <w:r w:rsidRPr="00B54EA6">
              <w:rPr>
                <w:color w:val="000000" w:themeColor="text1"/>
                <w:sz w:val="20"/>
                <w:lang w:val="en-US"/>
              </w:rPr>
              <w:t xml:space="preserve"> </w:t>
            </w:r>
            <w:r>
              <w:rPr>
                <w:color w:val="000000" w:themeColor="text1"/>
                <w:sz w:val="20"/>
                <w:lang w:val="en-US"/>
              </w:rPr>
              <w:t xml:space="preserve">instances of </w:t>
            </w:r>
            <w:r w:rsidRPr="00B54EA6">
              <w:rPr>
                <w:color w:val="000000" w:themeColor="text1"/>
                <w:sz w:val="20"/>
                <w:lang w:val="en-US"/>
              </w:rPr>
              <w:t xml:space="preserve">insufficient disclosure of assumptions </w:t>
            </w:r>
            <w:r>
              <w:rPr>
                <w:color w:val="000000" w:themeColor="text1"/>
                <w:sz w:val="20"/>
                <w:lang w:val="en-US"/>
              </w:rPr>
              <w:t>and risks related to</w:t>
            </w:r>
            <w:r w:rsidRPr="00B54EA6">
              <w:rPr>
                <w:color w:val="000000" w:themeColor="text1"/>
                <w:sz w:val="20"/>
                <w:lang w:val="en-US"/>
              </w:rPr>
              <w:t xml:space="preserve"> FLI</w:t>
            </w:r>
            <w:r>
              <w:rPr>
                <w:color w:val="000000" w:themeColor="text1"/>
                <w:sz w:val="20"/>
                <w:lang w:val="en-US"/>
              </w:rPr>
              <w:t xml:space="preserve"> and</w:t>
            </w:r>
            <w:r w:rsidRPr="00B54EA6">
              <w:rPr>
                <w:color w:val="000000" w:themeColor="text1"/>
                <w:sz w:val="20"/>
                <w:lang w:val="en-US"/>
              </w:rPr>
              <w:t xml:space="preserve"> </w:t>
            </w:r>
            <w:r>
              <w:rPr>
                <w:color w:val="000000" w:themeColor="text1"/>
                <w:sz w:val="20"/>
                <w:lang w:val="en-US"/>
              </w:rPr>
              <w:t xml:space="preserve">failure to update the MD&amp;A for </w:t>
            </w:r>
            <w:r>
              <w:rPr>
                <w:color w:val="000000" w:themeColor="text1"/>
                <w:sz w:val="20"/>
              </w:rPr>
              <w:t>events</w:t>
            </w:r>
            <w:r w:rsidRPr="00B54EA6">
              <w:rPr>
                <w:sz w:val="20"/>
              </w:rPr>
              <w:t xml:space="preserve"> that</w:t>
            </w:r>
            <w:r>
              <w:rPr>
                <w:sz w:val="20"/>
              </w:rPr>
              <w:t xml:space="preserve"> are likely to</w:t>
            </w:r>
            <w:r w:rsidRPr="00B54EA6">
              <w:rPr>
                <w:sz w:val="20"/>
              </w:rPr>
              <w:t xml:space="preserve"> cause actual results for future periods to differ materially from previously disclosed FLI</w:t>
            </w:r>
            <w:r>
              <w:rPr>
                <w:sz w:val="22"/>
                <w:szCs w:val="22"/>
              </w:rPr>
              <w:t>.</w:t>
            </w:r>
          </w:p>
          <w:p w14:paraId="30C090FF" w14:textId="77777777" w:rsidR="0067285E" w:rsidRPr="00A304F1" w:rsidRDefault="0067285E" w:rsidP="00E5467D">
            <w:pPr>
              <w:cnfStyle w:val="000000000000" w:firstRow="0" w:lastRow="0" w:firstColumn="0" w:lastColumn="0" w:oddVBand="0" w:evenVBand="0" w:oddHBand="0" w:evenHBand="0" w:firstRowFirstColumn="0" w:firstRowLastColumn="0" w:lastRowFirstColumn="0" w:lastRowLastColumn="0"/>
              <w:rPr>
                <w:color w:val="000000" w:themeColor="text1"/>
                <w:sz w:val="20"/>
                <w:lang w:val="en-US"/>
              </w:rPr>
            </w:pPr>
          </w:p>
        </w:tc>
        <w:tc>
          <w:tcPr>
            <w:tcW w:w="0" w:type="dxa"/>
            <w:shd w:val="clear" w:color="auto" w:fill="EEECE1" w:themeFill="background2"/>
          </w:tcPr>
          <w:p w14:paraId="66876066" w14:textId="77777777" w:rsidR="0067285E" w:rsidRDefault="0067285E" w:rsidP="00275D8A">
            <w:pPr>
              <w:pStyle w:val="CommentText"/>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sidRPr="00E04193">
              <w:rPr>
                <w:rFonts w:ascii="Times New Roman" w:hAnsi="Times New Roman" w:cs="Times New Roman"/>
                <w:color w:val="000000" w:themeColor="text1"/>
                <w:spacing w:val="-5"/>
              </w:rPr>
              <w:t>FLI can provide useful insight into how management anticipates how COVID-19 will impact the issuer’s future operations and liquidity positions</w:t>
            </w:r>
            <w:r>
              <w:rPr>
                <w:rFonts w:ascii="Times New Roman" w:hAnsi="Times New Roman" w:cs="Times New Roman"/>
                <w:color w:val="000000" w:themeColor="text1"/>
                <w:spacing w:val="-5"/>
              </w:rPr>
              <w:t xml:space="preserve">. However, the issuer must have a reasonable basis for providing the FLI in the current environment and provide sufficient disclosure for investors to understand how the FLI was derived and the related risks. </w:t>
            </w:r>
          </w:p>
          <w:p w14:paraId="728A1A1E" w14:textId="77777777" w:rsidR="0067285E" w:rsidRDefault="0067285E" w:rsidP="00275D8A">
            <w:pPr>
              <w:pStyle w:val="CommentText"/>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Pr>
                <w:rFonts w:ascii="Times New Roman" w:hAnsi="Times New Roman" w:cs="Times New Roman"/>
                <w:color w:val="000000" w:themeColor="text1"/>
                <w:spacing w:val="-5"/>
              </w:rPr>
              <w:t>With rapidly changing circumstances, it is essential that issuers update their MD&amp;A to discuss the events or circumstances that are reasonably likely to cause actual results to differ from previously disclosed FLI.</w:t>
            </w:r>
          </w:p>
          <w:p w14:paraId="3718F4C6" w14:textId="77777777" w:rsidR="0067285E" w:rsidRPr="00E04193" w:rsidRDefault="0067285E" w:rsidP="00E5467D">
            <w:pPr>
              <w:pStyle w:val="CommentText"/>
              <w:spacing w:after="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p>
          <w:p w14:paraId="53731DC8" w14:textId="77777777" w:rsidR="0067285E" w:rsidRPr="00E04193" w:rsidRDefault="0067285E" w:rsidP="00E5467D">
            <w:pPr>
              <w:pStyle w:val="CommentText"/>
              <w:shd w:val="clear" w:color="auto" w:fill="DDD9C3" w:themeFill="background2" w:themeFillShade="E6"/>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pacing w:val="-5"/>
              </w:rPr>
            </w:pPr>
            <w:r w:rsidRPr="00E04193">
              <w:rPr>
                <w:rFonts w:ascii="Times New Roman" w:hAnsi="Times New Roman" w:cs="Times New Roman"/>
                <w:b/>
                <w:bCs/>
                <w:color w:val="000000" w:themeColor="text1"/>
                <w:spacing w:val="-5"/>
              </w:rPr>
              <w:t>Issuers should consider:</w:t>
            </w:r>
          </w:p>
          <w:p w14:paraId="024A50EF" w14:textId="77777777" w:rsidR="0067285E" w:rsidRPr="00E04193" w:rsidRDefault="0067285E" w:rsidP="00275D8A">
            <w:pPr>
              <w:pStyle w:val="ListParagraph"/>
              <w:numPr>
                <w:ilvl w:val="0"/>
                <w:numId w:val="29"/>
              </w:numPr>
              <w:shd w:val="clear" w:color="auto" w:fill="DDD9C3" w:themeFill="background2" w:themeFillShade="E6"/>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lang w:eastAsia="fr-CA"/>
              </w:rPr>
            </w:pPr>
            <w:r>
              <w:rPr>
                <w:sz w:val="20"/>
                <w:lang w:eastAsia="fr-CA"/>
              </w:rPr>
              <w:t>If</w:t>
            </w:r>
            <w:r w:rsidRPr="00E04193">
              <w:rPr>
                <w:sz w:val="20"/>
                <w:lang w:eastAsia="fr-CA"/>
              </w:rPr>
              <w:t xml:space="preserve"> internal processes</w:t>
            </w:r>
            <w:r>
              <w:rPr>
                <w:sz w:val="20"/>
                <w:lang w:eastAsia="fr-CA"/>
              </w:rPr>
              <w:t xml:space="preserve"> are</w:t>
            </w:r>
            <w:r w:rsidRPr="00E04193">
              <w:rPr>
                <w:sz w:val="20"/>
                <w:lang w:eastAsia="fr-CA"/>
              </w:rPr>
              <w:t xml:space="preserve"> in place to monitor and update FLI as conditions change</w:t>
            </w:r>
          </w:p>
          <w:p w14:paraId="4870DF35" w14:textId="77777777" w:rsidR="00A55E94" w:rsidRDefault="00A55E94" w:rsidP="00E5467D">
            <w:pPr>
              <w:pStyle w:val="Comment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p w14:paraId="780F9B0A" w14:textId="1402BF48" w:rsidR="0067285E" w:rsidRPr="00E04193" w:rsidRDefault="0067285E" w:rsidP="00E5467D">
            <w:pPr>
              <w:pStyle w:val="Comment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sidRPr="00E04193">
              <w:rPr>
                <w:rFonts w:ascii="Times New Roman" w:hAnsi="Times New Roman" w:cs="Times New Roman"/>
                <w:b/>
                <w:bCs/>
              </w:rPr>
              <w:t>References: Part</w:t>
            </w:r>
            <w:r w:rsidR="002708CE">
              <w:rPr>
                <w:rFonts w:ascii="Times New Roman" w:hAnsi="Times New Roman" w:cs="Times New Roman"/>
                <w:b/>
                <w:bCs/>
              </w:rPr>
              <w:t>s</w:t>
            </w:r>
            <w:r w:rsidRPr="00E04193">
              <w:rPr>
                <w:rFonts w:ascii="Times New Roman" w:hAnsi="Times New Roman" w:cs="Times New Roman"/>
                <w:b/>
                <w:bCs/>
              </w:rPr>
              <w:t xml:space="preserve"> 4A, 4B and section 5.8 of NI 51-102; and Part 4A of Companion Policy 51-102CP</w:t>
            </w:r>
          </w:p>
        </w:tc>
      </w:tr>
      <w:tr w:rsidR="0067285E" w:rsidRPr="00E04193" w14:paraId="01B9AE33" w14:textId="77777777" w:rsidTr="00E5467D">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1696" w:type="dxa"/>
            <w:shd w:val="clear" w:color="auto" w:fill="EEECE1" w:themeFill="background2"/>
          </w:tcPr>
          <w:p w14:paraId="05C12793" w14:textId="77777777" w:rsidR="0067285E" w:rsidRDefault="0067285E" w:rsidP="00E5467D">
            <w:pPr>
              <w:spacing w:line="276" w:lineRule="auto"/>
              <w:rPr>
                <w:b w:val="0"/>
                <w:color w:val="000000" w:themeColor="text1"/>
                <w:sz w:val="20"/>
              </w:rPr>
            </w:pPr>
            <w:r w:rsidRPr="00E04193">
              <w:rPr>
                <w:bCs w:val="0"/>
                <w:color w:val="000000" w:themeColor="text1"/>
                <w:sz w:val="20"/>
              </w:rPr>
              <w:t>M</w:t>
            </w:r>
            <w:r>
              <w:rPr>
                <w:bCs w:val="0"/>
                <w:color w:val="000000" w:themeColor="text1"/>
                <w:sz w:val="20"/>
              </w:rPr>
              <w:t xml:space="preserve">aterial Change </w:t>
            </w:r>
          </w:p>
          <w:p w14:paraId="5E17D385" w14:textId="77777777" w:rsidR="0067285E" w:rsidRPr="00E04193" w:rsidRDefault="0067285E" w:rsidP="00E5467D">
            <w:pPr>
              <w:spacing w:line="276" w:lineRule="auto"/>
              <w:rPr>
                <w:bCs w:val="0"/>
                <w:color w:val="000000" w:themeColor="text1"/>
                <w:sz w:val="20"/>
              </w:rPr>
            </w:pPr>
            <w:r>
              <w:rPr>
                <w:bCs w:val="0"/>
                <w:color w:val="000000" w:themeColor="text1"/>
                <w:sz w:val="20"/>
              </w:rPr>
              <w:t>Reporting</w:t>
            </w:r>
          </w:p>
        </w:tc>
        <w:tc>
          <w:tcPr>
            <w:tcW w:w="3686" w:type="dxa"/>
            <w:shd w:val="clear" w:color="auto" w:fill="EEECE1" w:themeFill="background2"/>
          </w:tcPr>
          <w:p w14:paraId="531A7A18" w14:textId="6F5F0837" w:rsidR="0067285E" w:rsidRDefault="0067285E" w:rsidP="00275D8A">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r>
              <w:rPr>
                <w:color w:val="000000" w:themeColor="text1"/>
                <w:sz w:val="20"/>
                <w:lang w:val="en-US"/>
              </w:rPr>
              <w:t>M</w:t>
            </w:r>
            <w:r w:rsidRPr="00E04193">
              <w:rPr>
                <w:color w:val="000000" w:themeColor="text1"/>
                <w:sz w:val="20"/>
                <w:lang w:val="en-US"/>
              </w:rPr>
              <w:t xml:space="preserve">any issuers issued </w:t>
            </w:r>
            <w:r>
              <w:rPr>
                <w:color w:val="000000" w:themeColor="text1"/>
                <w:sz w:val="20"/>
                <w:lang w:val="en-US"/>
              </w:rPr>
              <w:t>news</w:t>
            </w:r>
            <w:r w:rsidRPr="00E04193">
              <w:rPr>
                <w:color w:val="000000" w:themeColor="text1"/>
                <w:sz w:val="20"/>
                <w:lang w:val="en-US"/>
              </w:rPr>
              <w:t xml:space="preserve"> releases in relation to changes to</w:t>
            </w:r>
            <w:r w:rsidR="00E042B8">
              <w:rPr>
                <w:color w:val="000000" w:themeColor="text1"/>
                <w:sz w:val="20"/>
                <w:lang w:val="en-US"/>
              </w:rPr>
              <w:t xml:space="preserve"> </w:t>
            </w:r>
            <w:r w:rsidR="00C32512">
              <w:rPr>
                <w:color w:val="000000" w:themeColor="text1"/>
                <w:sz w:val="20"/>
                <w:lang w:val="en-US"/>
              </w:rPr>
              <w:t xml:space="preserve">their </w:t>
            </w:r>
            <w:r w:rsidRPr="00E04193">
              <w:rPr>
                <w:color w:val="000000" w:themeColor="text1"/>
                <w:sz w:val="20"/>
                <w:lang w:val="en-US"/>
              </w:rPr>
              <w:t>business, operations or capital as a result of COVID-19</w:t>
            </w:r>
            <w:r>
              <w:rPr>
                <w:color w:val="000000" w:themeColor="text1"/>
                <w:sz w:val="20"/>
                <w:lang w:val="en-US"/>
              </w:rPr>
              <w:t xml:space="preserve">. </w:t>
            </w:r>
          </w:p>
          <w:p w14:paraId="39CAD052" w14:textId="34BCBA3A" w:rsidR="0067285E" w:rsidRPr="00681DB3" w:rsidRDefault="00E042B8" w:rsidP="00275D8A">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r>
              <w:rPr>
                <w:color w:val="000000" w:themeColor="text1"/>
                <w:spacing w:val="-5"/>
                <w:sz w:val="20"/>
              </w:rPr>
              <w:t>A f</w:t>
            </w:r>
            <w:r w:rsidR="0067285E" w:rsidRPr="0089589C">
              <w:rPr>
                <w:color w:val="000000" w:themeColor="text1"/>
                <w:spacing w:val="-5"/>
                <w:sz w:val="20"/>
              </w:rPr>
              <w:t>ew issuers filed material change reports in relation to COVID-19 although in some instances changes to the issuer’s business, operations or capital were unique or more significant to them than to others in their industry</w:t>
            </w:r>
            <w:r w:rsidR="0067285E">
              <w:rPr>
                <w:color w:val="000000" w:themeColor="text1"/>
                <w:spacing w:val="-5"/>
                <w:sz w:val="22"/>
                <w:szCs w:val="22"/>
              </w:rPr>
              <w:t>.</w:t>
            </w:r>
          </w:p>
          <w:p w14:paraId="34A6BF51" w14:textId="77777777" w:rsidR="0067285E" w:rsidRPr="00F408C1" w:rsidRDefault="0067285E" w:rsidP="00E5467D">
            <w:pPr>
              <w:pStyle w:val="ListParagraph"/>
              <w:ind w:left="360"/>
              <w:cnfStyle w:val="000000100000" w:firstRow="0" w:lastRow="0" w:firstColumn="0" w:lastColumn="0" w:oddVBand="0" w:evenVBand="0" w:oddHBand="1" w:evenHBand="0" w:firstRowFirstColumn="0" w:firstRowLastColumn="0" w:lastRowFirstColumn="0" w:lastRowLastColumn="0"/>
              <w:rPr>
                <w:color w:val="000000" w:themeColor="text1"/>
                <w:sz w:val="20"/>
                <w:lang w:val="en-US"/>
              </w:rPr>
            </w:pPr>
          </w:p>
        </w:tc>
        <w:tc>
          <w:tcPr>
            <w:tcW w:w="4399" w:type="dxa"/>
            <w:shd w:val="clear" w:color="auto" w:fill="EEECE1" w:themeFill="background2"/>
          </w:tcPr>
          <w:p w14:paraId="7C0664FB" w14:textId="77777777" w:rsidR="0067285E" w:rsidRPr="00E04193" w:rsidRDefault="0067285E" w:rsidP="00275D8A">
            <w:pPr>
              <w:pStyle w:val="CommentText"/>
              <w:numPr>
                <w:ilvl w:val="0"/>
                <w:numId w:val="28"/>
              </w:num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E04193">
              <w:rPr>
                <w:rFonts w:ascii="Times New Roman" w:hAnsi="Times New Roman" w:cs="Times New Roman"/>
                <w:color w:val="000000" w:themeColor="text1"/>
                <w:spacing w:val="-5"/>
              </w:rPr>
              <w:t xml:space="preserve">The term “material change” is generally defined in each jurisdiction’s securities legislation and is usually based on a market impact test. Issuers should refer to their principal regulator’s applicable securities legislation for the definition of “material change”. </w:t>
            </w:r>
          </w:p>
          <w:p w14:paraId="1C5CFA3B" w14:textId="77777777" w:rsidR="0067285E" w:rsidRPr="00E04193" w:rsidRDefault="0067285E" w:rsidP="00275D8A">
            <w:pPr>
              <w:pStyle w:val="CommentText"/>
              <w:numPr>
                <w:ilvl w:val="0"/>
                <w:numId w:val="28"/>
              </w:num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E04193">
              <w:rPr>
                <w:rFonts w:ascii="Times New Roman" w:hAnsi="Times New Roman" w:cs="Times New Roman"/>
                <w:color w:val="000000" w:themeColor="text1"/>
                <w:spacing w:val="-5"/>
              </w:rPr>
              <w:t xml:space="preserve">If COVID-19 has an equal effect throughout an issuer’s industry, a material change report may not be required. </w:t>
            </w:r>
          </w:p>
          <w:p w14:paraId="35F86574" w14:textId="77777777" w:rsidR="0067285E" w:rsidRDefault="0067285E" w:rsidP="00275D8A">
            <w:pPr>
              <w:pStyle w:val="CommentText"/>
              <w:numPr>
                <w:ilvl w:val="0"/>
                <w:numId w:val="28"/>
              </w:num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E04193">
              <w:rPr>
                <w:rFonts w:ascii="Times New Roman" w:hAnsi="Times New Roman" w:cs="Times New Roman"/>
                <w:color w:val="000000" w:themeColor="text1"/>
                <w:spacing w:val="-5"/>
              </w:rPr>
              <w:t>Issuers should be aware of the impact of COVID-19, or resulting governmental or regulatory policies, that may be unique or more significant to them than to others in their industry as the pandemic evolves.</w:t>
            </w:r>
          </w:p>
          <w:p w14:paraId="1558D993" w14:textId="77777777" w:rsidR="0067285E" w:rsidRPr="00E04193" w:rsidRDefault="0067285E" w:rsidP="00E5467D">
            <w:pPr>
              <w:pStyle w:val="CommentText"/>
              <w:spacing w:after="0"/>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p>
          <w:p w14:paraId="0C9FAC5B" w14:textId="77777777" w:rsidR="0067285E" w:rsidRPr="005907EB" w:rsidRDefault="0067285E" w:rsidP="00E5467D">
            <w:pPr>
              <w:pStyle w:val="CommentText"/>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pacing w:val="-5"/>
              </w:rPr>
            </w:pPr>
            <w:r w:rsidRPr="005907EB">
              <w:rPr>
                <w:rFonts w:ascii="Times New Roman" w:hAnsi="Times New Roman" w:cs="Times New Roman"/>
                <w:b/>
                <w:color w:val="000000" w:themeColor="text1"/>
                <w:spacing w:val="-5"/>
              </w:rPr>
              <w:t>Examples of potentially material information includes:</w:t>
            </w:r>
          </w:p>
          <w:p w14:paraId="64A3CB44" w14:textId="77777777" w:rsidR="0067285E" w:rsidRPr="00E04193" w:rsidRDefault="0067285E" w:rsidP="00275D8A">
            <w:pPr>
              <w:pStyle w:val="CommentText"/>
              <w:numPr>
                <w:ilvl w:val="0"/>
                <w:numId w:val="28"/>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E04193">
              <w:rPr>
                <w:rFonts w:ascii="Times New Roman" w:hAnsi="Times New Roman" w:cs="Times New Roman"/>
                <w:color w:val="000000" w:themeColor="text1"/>
                <w:spacing w:val="-5"/>
              </w:rPr>
              <w:t>Material changes in distributions or dividends</w:t>
            </w:r>
          </w:p>
          <w:p w14:paraId="7AB9CFFC" w14:textId="77777777" w:rsidR="0067285E" w:rsidRPr="00E04193" w:rsidRDefault="0067285E" w:rsidP="00275D8A">
            <w:pPr>
              <w:pStyle w:val="CommentText"/>
              <w:numPr>
                <w:ilvl w:val="0"/>
                <w:numId w:val="28"/>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E04193">
              <w:rPr>
                <w:rFonts w:ascii="Times New Roman" w:hAnsi="Times New Roman" w:cs="Times New Roman"/>
                <w:color w:val="000000" w:themeColor="text1"/>
                <w:spacing w:val="-5"/>
              </w:rPr>
              <w:t>Changes in credit arrangements</w:t>
            </w:r>
          </w:p>
          <w:p w14:paraId="456CE00C" w14:textId="77777777" w:rsidR="0067285E" w:rsidRPr="00E04193" w:rsidRDefault="0067285E" w:rsidP="00275D8A">
            <w:pPr>
              <w:pStyle w:val="CommentText"/>
              <w:numPr>
                <w:ilvl w:val="0"/>
                <w:numId w:val="28"/>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E04193">
              <w:rPr>
                <w:rFonts w:ascii="Times New Roman" w:hAnsi="Times New Roman" w:cs="Times New Roman"/>
                <w:color w:val="000000" w:themeColor="text1"/>
                <w:spacing w:val="-5"/>
              </w:rPr>
              <w:t>Significant disruptions to an issuer’s workforce or operations</w:t>
            </w:r>
          </w:p>
          <w:p w14:paraId="7CDBFC9B" w14:textId="77777777" w:rsidR="0067285E" w:rsidRPr="00E04193" w:rsidRDefault="0067285E" w:rsidP="00275D8A">
            <w:pPr>
              <w:pStyle w:val="CommentText"/>
              <w:numPr>
                <w:ilvl w:val="0"/>
                <w:numId w:val="28"/>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E04193">
              <w:rPr>
                <w:rFonts w:ascii="Times New Roman" w:hAnsi="Times New Roman" w:cs="Times New Roman"/>
                <w:color w:val="000000" w:themeColor="text1"/>
                <w:spacing w:val="-5"/>
              </w:rPr>
              <w:t>Negative changes in markets, economy or laws</w:t>
            </w:r>
          </w:p>
          <w:p w14:paraId="1E76B4C1" w14:textId="77777777" w:rsidR="0067285E" w:rsidRPr="00E04193" w:rsidRDefault="0067285E" w:rsidP="00275D8A">
            <w:pPr>
              <w:pStyle w:val="CommentText"/>
              <w:numPr>
                <w:ilvl w:val="0"/>
                <w:numId w:val="28"/>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E04193">
              <w:rPr>
                <w:rFonts w:ascii="Times New Roman" w:hAnsi="Times New Roman" w:cs="Times New Roman"/>
                <w:color w:val="000000" w:themeColor="text1"/>
                <w:spacing w:val="-5"/>
              </w:rPr>
              <w:t>Supply chain delays or disruptions that are critical to an issuer’s business</w:t>
            </w:r>
          </w:p>
          <w:p w14:paraId="4B012010" w14:textId="77777777" w:rsidR="0067285E" w:rsidRPr="00E04193" w:rsidRDefault="0067285E" w:rsidP="00275D8A">
            <w:pPr>
              <w:pStyle w:val="CommentText"/>
              <w:numPr>
                <w:ilvl w:val="0"/>
                <w:numId w:val="28"/>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E04193">
              <w:rPr>
                <w:rFonts w:ascii="Times New Roman" w:hAnsi="Times New Roman" w:cs="Times New Roman"/>
                <w:color w:val="000000" w:themeColor="text1"/>
                <w:spacing w:val="-5"/>
              </w:rPr>
              <w:t>Increased cost of goods or services</w:t>
            </w:r>
          </w:p>
          <w:p w14:paraId="0537D863" w14:textId="77777777" w:rsidR="0067285E" w:rsidRPr="00E04193" w:rsidRDefault="0067285E" w:rsidP="00275D8A">
            <w:pPr>
              <w:pStyle w:val="CommentText"/>
              <w:numPr>
                <w:ilvl w:val="0"/>
                <w:numId w:val="28"/>
              </w:numPr>
              <w:shd w:val="clear" w:color="auto" w:fill="DDD9C3" w:themeFill="background2" w:themeFillShade="E6"/>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r w:rsidRPr="00E04193">
              <w:rPr>
                <w:rFonts w:ascii="Times New Roman" w:hAnsi="Times New Roman" w:cs="Times New Roman"/>
                <w:color w:val="000000" w:themeColor="text1"/>
                <w:spacing w:val="-5"/>
              </w:rPr>
              <w:t>Suspension of exports</w:t>
            </w:r>
          </w:p>
          <w:p w14:paraId="4A7507E2" w14:textId="77777777" w:rsidR="0067285E" w:rsidRPr="00E04193" w:rsidRDefault="0067285E" w:rsidP="00E5467D">
            <w:pPr>
              <w:pStyle w:val="CommentText"/>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pacing w:val="-5"/>
              </w:rPr>
            </w:pPr>
          </w:p>
          <w:p w14:paraId="06BC529B" w14:textId="77777777" w:rsidR="0067285E" w:rsidRPr="00E04193" w:rsidRDefault="0067285E" w:rsidP="00E5467D">
            <w:pPr>
              <w:pStyle w:val="Comment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pacing w:val="-5"/>
              </w:rPr>
            </w:pPr>
            <w:r w:rsidRPr="00E04193">
              <w:rPr>
                <w:rFonts w:ascii="Times New Roman" w:hAnsi="Times New Roman" w:cs="Times New Roman"/>
                <w:b/>
                <w:bCs/>
              </w:rPr>
              <w:t xml:space="preserve">References: Part 7 of NI 51-102, Form 51- 102F3 </w:t>
            </w:r>
            <w:r w:rsidRPr="00275D8A">
              <w:rPr>
                <w:rFonts w:ascii="Times New Roman" w:hAnsi="Times New Roman" w:cs="Times New Roman"/>
                <w:b/>
                <w:bCs/>
                <w:i/>
              </w:rPr>
              <w:t>Material Change Report</w:t>
            </w:r>
            <w:r w:rsidRPr="00E04193">
              <w:rPr>
                <w:rFonts w:ascii="Times New Roman" w:hAnsi="Times New Roman" w:cs="Times New Roman"/>
                <w:b/>
                <w:bCs/>
              </w:rPr>
              <w:t>.</w:t>
            </w:r>
          </w:p>
        </w:tc>
      </w:tr>
      <w:tr w:rsidR="0067285E" w:rsidRPr="00E04193" w14:paraId="14DAA9BA" w14:textId="77777777" w:rsidTr="00E5467D">
        <w:trPr>
          <w:trHeight w:val="1178"/>
        </w:trPr>
        <w:tc>
          <w:tcPr>
            <w:cnfStyle w:val="001000000000" w:firstRow="0" w:lastRow="0" w:firstColumn="1" w:lastColumn="0" w:oddVBand="0" w:evenVBand="0" w:oddHBand="0" w:evenHBand="0" w:firstRowFirstColumn="0" w:firstRowLastColumn="0" w:lastRowFirstColumn="0" w:lastRowLastColumn="0"/>
            <w:tcW w:w="1696" w:type="dxa"/>
            <w:shd w:val="clear" w:color="auto" w:fill="EEECE1" w:themeFill="background2"/>
          </w:tcPr>
          <w:p w14:paraId="4B5C7C3F" w14:textId="77777777" w:rsidR="0067285E" w:rsidRPr="00E04193" w:rsidRDefault="0067285E" w:rsidP="00E5467D">
            <w:pPr>
              <w:spacing w:line="276" w:lineRule="auto"/>
              <w:rPr>
                <w:b w:val="0"/>
                <w:color w:val="000000" w:themeColor="text1"/>
                <w:sz w:val="20"/>
              </w:rPr>
            </w:pPr>
            <w:r w:rsidRPr="00E04193">
              <w:rPr>
                <w:bCs w:val="0"/>
                <w:color w:val="000000" w:themeColor="text1"/>
                <w:sz w:val="20"/>
              </w:rPr>
              <w:t>P</w:t>
            </w:r>
            <w:r>
              <w:rPr>
                <w:bCs w:val="0"/>
                <w:color w:val="000000" w:themeColor="text1"/>
                <w:sz w:val="20"/>
              </w:rPr>
              <w:t>romotional Disclosure</w:t>
            </w:r>
          </w:p>
          <w:p w14:paraId="36174CB0" w14:textId="77777777" w:rsidR="0067285E" w:rsidRPr="00E04193" w:rsidRDefault="0067285E" w:rsidP="00E5467D">
            <w:pPr>
              <w:spacing w:line="276" w:lineRule="auto"/>
              <w:rPr>
                <w:b w:val="0"/>
                <w:color w:val="000000" w:themeColor="text1"/>
                <w:sz w:val="20"/>
              </w:rPr>
            </w:pPr>
            <w:r w:rsidRPr="00E04193">
              <w:rPr>
                <w:color w:val="000000" w:themeColor="text1"/>
                <w:sz w:val="20"/>
              </w:rPr>
              <w:t xml:space="preserve"> </w:t>
            </w:r>
          </w:p>
        </w:tc>
        <w:tc>
          <w:tcPr>
            <w:tcW w:w="3686" w:type="dxa"/>
            <w:shd w:val="clear" w:color="auto" w:fill="EEECE1" w:themeFill="background2"/>
          </w:tcPr>
          <w:p w14:paraId="36E5D793" w14:textId="3FC4F1D4" w:rsidR="0067285E" w:rsidRPr="00423DD3" w:rsidRDefault="0067285E" w:rsidP="00275D8A">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b/>
                <w:bCs/>
                <w:color w:val="000000" w:themeColor="text1"/>
                <w:sz w:val="20"/>
                <w:lang w:val="en-US"/>
              </w:rPr>
            </w:pPr>
            <w:r w:rsidRPr="00423DD3">
              <w:rPr>
                <w:color w:val="000000" w:themeColor="text1"/>
                <w:sz w:val="20"/>
                <w:lang w:val="en-US"/>
              </w:rPr>
              <w:t xml:space="preserve">Some issuers concentrated in the biotech/pharma industry provided </w:t>
            </w:r>
            <w:r w:rsidRPr="00423DD3">
              <w:rPr>
                <w:sz w:val="20"/>
              </w:rPr>
              <w:t xml:space="preserve">disclosure in relation to COVID-19 that was overly promotional in nature and often lacked specificity </w:t>
            </w:r>
            <w:r w:rsidR="00DA2F62">
              <w:rPr>
                <w:sz w:val="20"/>
              </w:rPr>
              <w:t xml:space="preserve">necessary to enable a full understanding of </w:t>
            </w:r>
            <w:r w:rsidRPr="00423DD3">
              <w:rPr>
                <w:sz w:val="20"/>
              </w:rPr>
              <w:t xml:space="preserve">the issuer’s business intentions and expected milestones. </w:t>
            </w:r>
          </w:p>
          <w:p w14:paraId="2A8C01DD" w14:textId="25B29B4F" w:rsidR="0067285E" w:rsidRPr="00F42737" w:rsidRDefault="0067285E" w:rsidP="00275D8A">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b/>
                <w:bCs/>
                <w:color w:val="000000" w:themeColor="text1"/>
                <w:sz w:val="20"/>
                <w:lang w:val="en-US"/>
              </w:rPr>
            </w:pPr>
            <w:r w:rsidRPr="00423DD3">
              <w:rPr>
                <w:color w:val="000000" w:themeColor="text1"/>
                <w:sz w:val="20"/>
              </w:rPr>
              <w:t>In these instances, issuers filed numerous press releases</w:t>
            </w:r>
            <w:r w:rsidRPr="00423DD3">
              <w:rPr>
                <w:color w:val="000000" w:themeColor="text1"/>
                <w:sz w:val="20"/>
                <w:lang w:val="en-US"/>
              </w:rPr>
              <w:t xml:space="preserve"> </w:t>
            </w:r>
            <w:r w:rsidRPr="00423DD3">
              <w:rPr>
                <w:sz w:val="20"/>
              </w:rPr>
              <w:t>that either overstated the positive impact on the business of the issuer or w</w:t>
            </w:r>
            <w:r w:rsidR="00DA2F62">
              <w:rPr>
                <w:sz w:val="20"/>
              </w:rPr>
              <w:t>ere</w:t>
            </w:r>
            <w:r w:rsidRPr="00423DD3">
              <w:rPr>
                <w:sz w:val="20"/>
              </w:rPr>
              <w:t xml:space="preserve"> at such an early stage that the true </w:t>
            </w:r>
            <w:r w:rsidRPr="004E1C9A">
              <w:rPr>
                <w:sz w:val="20"/>
              </w:rPr>
              <w:t xml:space="preserve">impact was unknown and/or dependent upon too many variables to realistically determine if </w:t>
            </w:r>
            <w:r w:rsidR="00DA2F62">
              <w:rPr>
                <w:sz w:val="20"/>
              </w:rPr>
              <w:t>COVID-19</w:t>
            </w:r>
            <w:r w:rsidRPr="004E1C9A">
              <w:rPr>
                <w:sz w:val="20"/>
              </w:rPr>
              <w:t xml:space="preserve"> would </w:t>
            </w:r>
            <w:r w:rsidR="00486877">
              <w:rPr>
                <w:sz w:val="20"/>
              </w:rPr>
              <w:t>positively</w:t>
            </w:r>
            <w:r w:rsidR="00486877" w:rsidRPr="004E1C9A">
              <w:rPr>
                <w:sz w:val="20"/>
              </w:rPr>
              <w:t xml:space="preserve"> </w:t>
            </w:r>
            <w:r w:rsidRPr="004E1C9A">
              <w:rPr>
                <w:sz w:val="20"/>
              </w:rPr>
              <w:t xml:space="preserve">affect the issuer or its business. </w:t>
            </w:r>
          </w:p>
          <w:p w14:paraId="58303E7F" w14:textId="77777777" w:rsidR="0067285E" w:rsidRPr="00CC2E9C" w:rsidRDefault="0067285E" w:rsidP="00275D8A">
            <w:pPr>
              <w:pStyle w:val="CommentText"/>
              <w:numPr>
                <w:ilvl w:val="0"/>
                <w:numId w:val="40"/>
              </w:num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sidRPr="00675D39">
              <w:rPr>
                <w:rFonts w:ascii="Times New Roman" w:hAnsi="Times New Roman" w:cs="Times New Roman"/>
              </w:rPr>
              <w:t xml:space="preserve">In </w:t>
            </w:r>
            <w:r>
              <w:rPr>
                <w:rFonts w:ascii="Times New Roman" w:hAnsi="Times New Roman" w:cs="Times New Roman"/>
              </w:rPr>
              <w:t xml:space="preserve">one instance, an issuer failed to disclose material facts that caused the issuer to have a misrepresentation in its public disclosure record. </w:t>
            </w:r>
          </w:p>
        </w:tc>
        <w:tc>
          <w:tcPr>
            <w:tcW w:w="4399" w:type="dxa"/>
            <w:shd w:val="clear" w:color="auto" w:fill="EEECE1" w:themeFill="background2"/>
          </w:tcPr>
          <w:p w14:paraId="4DDA655A" w14:textId="77777777" w:rsidR="0067285E" w:rsidRPr="00E04193" w:rsidRDefault="0067285E" w:rsidP="00275D8A">
            <w:pPr>
              <w:pStyle w:val="CommentText"/>
              <w:numPr>
                <w:ilvl w:val="0"/>
                <w:numId w:val="40"/>
              </w:num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sidRPr="00E04193">
              <w:rPr>
                <w:rFonts w:ascii="Times New Roman" w:hAnsi="Times New Roman" w:cs="Times New Roman"/>
              </w:rPr>
              <w:t xml:space="preserve">Issuers are prohibited from making false or misleading statements or omitting facts from a statement necessary to make that statement true or not misleading. </w:t>
            </w:r>
          </w:p>
          <w:p w14:paraId="4E6F1805" w14:textId="77777777" w:rsidR="0067285E" w:rsidRPr="009E6DEB" w:rsidRDefault="0067285E" w:rsidP="00275D8A">
            <w:pPr>
              <w:pStyle w:val="CommentText"/>
              <w:numPr>
                <w:ilvl w:val="0"/>
                <w:numId w:val="40"/>
              </w:num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DEB">
              <w:rPr>
                <w:rFonts w:ascii="Times New Roman" w:hAnsi="Times New Roman" w:cs="Times New Roman"/>
              </w:rPr>
              <w:t>Disclosure should be</w:t>
            </w:r>
            <w:r>
              <w:rPr>
                <w:rFonts w:ascii="Times New Roman" w:hAnsi="Times New Roman" w:cs="Times New Roman"/>
              </w:rPr>
              <w:t xml:space="preserve"> complete, balanced and focused on material information. B</w:t>
            </w:r>
            <w:r w:rsidRPr="009E6DEB">
              <w:rPr>
                <w:rFonts w:ascii="Times New Roman" w:hAnsi="Times New Roman" w:cs="Times New Roman"/>
              </w:rPr>
              <w:t xml:space="preserve">oth positive and negative news </w:t>
            </w:r>
            <w:r>
              <w:rPr>
                <w:rFonts w:ascii="Times New Roman" w:hAnsi="Times New Roman" w:cs="Times New Roman"/>
              </w:rPr>
              <w:t>should be given equal prominence</w:t>
            </w:r>
            <w:r w:rsidRPr="009E6DEB">
              <w:rPr>
                <w:rFonts w:ascii="Times New Roman" w:hAnsi="Times New Roman" w:cs="Times New Roman"/>
              </w:rPr>
              <w:t>.</w:t>
            </w:r>
            <w:r>
              <w:rPr>
                <w:rFonts w:ascii="Times New Roman" w:hAnsi="Times New Roman" w:cs="Times New Roman"/>
              </w:rPr>
              <w:t xml:space="preserve"> </w:t>
            </w:r>
          </w:p>
          <w:p w14:paraId="16F947FE" w14:textId="77777777" w:rsidR="0067285E" w:rsidRPr="009E6DEB" w:rsidRDefault="0067285E" w:rsidP="00275D8A">
            <w:pPr>
              <w:pStyle w:val="CommentText"/>
              <w:numPr>
                <w:ilvl w:val="0"/>
                <w:numId w:val="40"/>
              </w:num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785C">
              <w:rPr>
                <w:rFonts w:ascii="Times New Roman" w:hAnsi="Times New Roman" w:cs="Times New Roman"/>
              </w:rPr>
              <w:t xml:space="preserve">Establishing good disclosure practices can help avoid the above situations. We recommend that companies look to Part 6 of National Policy 51-201 </w:t>
            </w:r>
            <w:r w:rsidRPr="009C57BE">
              <w:rPr>
                <w:rFonts w:ascii="Times New Roman" w:hAnsi="Times New Roman" w:cs="Times New Roman"/>
                <w:i/>
                <w:iCs/>
              </w:rPr>
              <w:t>Disclosure Standards</w:t>
            </w:r>
            <w:r w:rsidRPr="0077785C">
              <w:rPr>
                <w:rFonts w:ascii="Times New Roman" w:hAnsi="Times New Roman" w:cs="Times New Roman"/>
              </w:rPr>
              <w:t xml:space="preserve"> to assist them in setting up practices that assist them in complying with the law and ensuring investors have the best disclosure about their company in a concise manner.</w:t>
            </w:r>
          </w:p>
          <w:p w14:paraId="744B9C62" w14:textId="77777777" w:rsidR="0067285E" w:rsidRDefault="0067285E" w:rsidP="00E5467D">
            <w:pPr>
              <w:pStyle w:val="Comment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p w14:paraId="13BB55E3" w14:textId="77777777" w:rsidR="0067285E" w:rsidRPr="00E04193" w:rsidRDefault="0067285E" w:rsidP="00E5467D">
            <w:pPr>
              <w:pStyle w:val="Comment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pacing w:val="-5"/>
              </w:rPr>
            </w:pPr>
            <w:r w:rsidRPr="00E04193">
              <w:rPr>
                <w:rFonts w:ascii="Times New Roman" w:hAnsi="Times New Roman" w:cs="Times New Roman"/>
                <w:b/>
                <w:bCs/>
              </w:rPr>
              <w:t xml:space="preserve">References: National Policy 51-201 </w:t>
            </w:r>
            <w:r w:rsidRPr="00E04193">
              <w:rPr>
                <w:rFonts w:ascii="Times New Roman" w:hAnsi="Times New Roman" w:cs="Times New Roman"/>
                <w:b/>
                <w:bCs/>
                <w:i/>
                <w:iCs/>
              </w:rPr>
              <w:t>Disclosure Standards</w:t>
            </w:r>
            <w:r w:rsidRPr="00E04193">
              <w:rPr>
                <w:rFonts w:ascii="Times New Roman" w:hAnsi="Times New Roman" w:cs="Times New Roman"/>
              </w:rPr>
              <w:t>.</w:t>
            </w:r>
          </w:p>
        </w:tc>
      </w:tr>
    </w:tbl>
    <w:p w14:paraId="23AE0A41" w14:textId="77777777" w:rsidR="00415216" w:rsidRDefault="00415216">
      <w:pPr>
        <w:rPr>
          <w:sz w:val="20"/>
        </w:rPr>
      </w:pPr>
    </w:p>
    <w:p w14:paraId="07CC20E0" w14:textId="77777777" w:rsidR="00E55E70" w:rsidRDefault="00E55E70" w:rsidP="00D93E09">
      <w:pPr>
        <w:pStyle w:val="Heading1"/>
        <w:numPr>
          <w:ilvl w:val="0"/>
          <w:numId w:val="0"/>
        </w:numPr>
        <w:rPr>
          <w:bCs/>
          <w:color w:val="1F497D" w:themeColor="text2"/>
          <w:sz w:val="32"/>
          <w:szCs w:val="32"/>
        </w:rPr>
      </w:pPr>
      <w:bookmarkStart w:id="10" w:name="_Toc62334912"/>
    </w:p>
    <w:p w14:paraId="0CA2E93E" w14:textId="77777777" w:rsidR="00E55E70" w:rsidRDefault="00E55E70" w:rsidP="00D93E09">
      <w:pPr>
        <w:pStyle w:val="Heading1"/>
        <w:numPr>
          <w:ilvl w:val="0"/>
          <w:numId w:val="0"/>
        </w:numPr>
        <w:rPr>
          <w:bCs/>
          <w:color w:val="1F497D" w:themeColor="text2"/>
          <w:sz w:val="32"/>
          <w:szCs w:val="32"/>
        </w:rPr>
      </w:pPr>
    </w:p>
    <w:p w14:paraId="3CA97FD2" w14:textId="77777777" w:rsidR="00E55E70" w:rsidRDefault="00E55E70" w:rsidP="00D93E09">
      <w:pPr>
        <w:pStyle w:val="Heading1"/>
        <w:numPr>
          <w:ilvl w:val="0"/>
          <w:numId w:val="0"/>
        </w:numPr>
        <w:rPr>
          <w:bCs/>
          <w:color w:val="1F497D" w:themeColor="text2"/>
          <w:sz w:val="32"/>
          <w:szCs w:val="32"/>
        </w:rPr>
      </w:pPr>
    </w:p>
    <w:p w14:paraId="146E564F" w14:textId="77777777" w:rsidR="00E55E70" w:rsidRDefault="00E55E70" w:rsidP="00D93E09">
      <w:pPr>
        <w:pStyle w:val="Heading1"/>
        <w:numPr>
          <w:ilvl w:val="0"/>
          <w:numId w:val="0"/>
        </w:numPr>
        <w:rPr>
          <w:bCs/>
          <w:color w:val="1F497D" w:themeColor="text2"/>
          <w:sz w:val="32"/>
          <w:szCs w:val="32"/>
        </w:rPr>
      </w:pPr>
    </w:p>
    <w:p w14:paraId="41F813C0" w14:textId="77777777" w:rsidR="00E55E70" w:rsidRDefault="00E55E70" w:rsidP="00D93E09">
      <w:pPr>
        <w:pStyle w:val="Heading1"/>
        <w:numPr>
          <w:ilvl w:val="0"/>
          <w:numId w:val="0"/>
        </w:numPr>
        <w:rPr>
          <w:bCs/>
          <w:color w:val="1F497D" w:themeColor="text2"/>
          <w:sz w:val="32"/>
          <w:szCs w:val="32"/>
        </w:rPr>
      </w:pPr>
    </w:p>
    <w:p w14:paraId="4836A32C" w14:textId="77777777" w:rsidR="00E55E70" w:rsidRDefault="00E55E70" w:rsidP="00D93E09">
      <w:pPr>
        <w:pStyle w:val="Heading1"/>
        <w:numPr>
          <w:ilvl w:val="0"/>
          <w:numId w:val="0"/>
        </w:numPr>
        <w:rPr>
          <w:bCs/>
          <w:color w:val="1F497D" w:themeColor="text2"/>
          <w:sz w:val="32"/>
          <w:szCs w:val="32"/>
        </w:rPr>
      </w:pPr>
    </w:p>
    <w:p w14:paraId="77F7F293" w14:textId="77777777" w:rsidR="00E55E70" w:rsidRDefault="00E55E70" w:rsidP="00D93E09">
      <w:pPr>
        <w:pStyle w:val="Heading1"/>
        <w:numPr>
          <w:ilvl w:val="0"/>
          <w:numId w:val="0"/>
        </w:numPr>
        <w:rPr>
          <w:bCs/>
          <w:color w:val="1F497D" w:themeColor="text2"/>
          <w:sz w:val="32"/>
          <w:szCs w:val="32"/>
        </w:rPr>
      </w:pPr>
    </w:p>
    <w:p w14:paraId="7613A681" w14:textId="77777777" w:rsidR="00E55E70" w:rsidRDefault="00E55E70" w:rsidP="00D93E09">
      <w:pPr>
        <w:pStyle w:val="Heading1"/>
        <w:numPr>
          <w:ilvl w:val="0"/>
          <w:numId w:val="0"/>
        </w:numPr>
        <w:rPr>
          <w:bCs/>
          <w:color w:val="1F497D" w:themeColor="text2"/>
          <w:sz w:val="32"/>
          <w:szCs w:val="32"/>
        </w:rPr>
      </w:pPr>
    </w:p>
    <w:p w14:paraId="4FA1C060" w14:textId="77777777" w:rsidR="00E55E70" w:rsidRDefault="00E55E70" w:rsidP="00D93E09">
      <w:pPr>
        <w:pStyle w:val="Heading1"/>
        <w:numPr>
          <w:ilvl w:val="0"/>
          <w:numId w:val="0"/>
        </w:numPr>
        <w:rPr>
          <w:bCs/>
          <w:color w:val="1F497D" w:themeColor="text2"/>
          <w:sz w:val="32"/>
          <w:szCs w:val="32"/>
        </w:rPr>
      </w:pPr>
    </w:p>
    <w:p w14:paraId="313BB891" w14:textId="77777777" w:rsidR="00E55E70" w:rsidRDefault="00E55E70" w:rsidP="00D93E09">
      <w:pPr>
        <w:pStyle w:val="Heading1"/>
        <w:numPr>
          <w:ilvl w:val="0"/>
          <w:numId w:val="0"/>
        </w:numPr>
        <w:rPr>
          <w:bCs/>
          <w:color w:val="1F497D" w:themeColor="text2"/>
          <w:sz w:val="32"/>
          <w:szCs w:val="32"/>
        </w:rPr>
      </w:pPr>
    </w:p>
    <w:p w14:paraId="1BD1BEC1" w14:textId="77777777" w:rsidR="00E55E70" w:rsidRDefault="00E55E70" w:rsidP="00D93E09">
      <w:pPr>
        <w:pStyle w:val="Heading1"/>
        <w:numPr>
          <w:ilvl w:val="0"/>
          <w:numId w:val="0"/>
        </w:numPr>
        <w:rPr>
          <w:bCs/>
          <w:color w:val="1F497D" w:themeColor="text2"/>
          <w:sz w:val="32"/>
          <w:szCs w:val="32"/>
        </w:rPr>
      </w:pPr>
    </w:p>
    <w:p w14:paraId="1AAAD9B3" w14:textId="77777777" w:rsidR="00E55E70" w:rsidRDefault="00E55E70" w:rsidP="00D93E09">
      <w:pPr>
        <w:pStyle w:val="Heading1"/>
        <w:numPr>
          <w:ilvl w:val="0"/>
          <w:numId w:val="0"/>
        </w:numPr>
        <w:rPr>
          <w:bCs/>
          <w:color w:val="1F497D" w:themeColor="text2"/>
          <w:sz w:val="32"/>
          <w:szCs w:val="32"/>
        </w:rPr>
      </w:pPr>
    </w:p>
    <w:p w14:paraId="54763EF5" w14:textId="77777777" w:rsidR="00E55E70" w:rsidRDefault="00E55E70" w:rsidP="00D93E09">
      <w:pPr>
        <w:pStyle w:val="Heading1"/>
        <w:numPr>
          <w:ilvl w:val="0"/>
          <w:numId w:val="0"/>
        </w:numPr>
        <w:rPr>
          <w:bCs/>
          <w:color w:val="1F497D" w:themeColor="text2"/>
          <w:sz w:val="32"/>
          <w:szCs w:val="32"/>
        </w:rPr>
      </w:pPr>
    </w:p>
    <w:p w14:paraId="39F102B0" w14:textId="77777777" w:rsidR="00E55E70" w:rsidRDefault="00E55E70" w:rsidP="00D93E09">
      <w:pPr>
        <w:pStyle w:val="Heading1"/>
        <w:numPr>
          <w:ilvl w:val="0"/>
          <w:numId w:val="0"/>
        </w:numPr>
        <w:rPr>
          <w:bCs/>
          <w:color w:val="1F497D" w:themeColor="text2"/>
          <w:sz w:val="32"/>
          <w:szCs w:val="32"/>
        </w:rPr>
      </w:pPr>
    </w:p>
    <w:p w14:paraId="34F9B1F3" w14:textId="77777777" w:rsidR="00E55E70" w:rsidRDefault="00E55E70" w:rsidP="00D93E09">
      <w:pPr>
        <w:pStyle w:val="Heading1"/>
        <w:numPr>
          <w:ilvl w:val="0"/>
          <w:numId w:val="0"/>
        </w:numPr>
        <w:rPr>
          <w:bCs/>
          <w:color w:val="1F497D" w:themeColor="text2"/>
          <w:sz w:val="32"/>
          <w:szCs w:val="32"/>
        </w:rPr>
      </w:pPr>
    </w:p>
    <w:p w14:paraId="49918B8A" w14:textId="77777777" w:rsidR="00E55E70" w:rsidRDefault="00E55E70" w:rsidP="00D93E09">
      <w:pPr>
        <w:pStyle w:val="Heading1"/>
        <w:numPr>
          <w:ilvl w:val="0"/>
          <w:numId w:val="0"/>
        </w:numPr>
        <w:rPr>
          <w:bCs/>
          <w:color w:val="1F497D" w:themeColor="text2"/>
          <w:sz w:val="32"/>
          <w:szCs w:val="32"/>
        </w:rPr>
      </w:pPr>
    </w:p>
    <w:p w14:paraId="59F3AB49" w14:textId="77777777" w:rsidR="00E55E70" w:rsidRDefault="00E55E70" w:rsidP="00D93E09">
      <w:pPr>
        <w:pStyle w:val="Heading1"/>
        <w:numPr>
          <w:ilvl w:val="0"/>
          <w:numId w:val="0"/>
        </w:numPr>
        <w:rPr>
          <w:bCs/>
          <w:color w:val="1F497D" w:themeColor="text2"/>
          <w:sz w:val="32"/>
          <w:szCs w:val="32"/>
        </w:rPr>
      </w:pPr>
    </w:p>
    <w:p w14:paraId="72ACD2B7" w14:textId="77777777" w:rsidR="00960DC9" w:rsidRDefault="00960DC9" w:rsidP="00D93E09">
      <w:pPr>
        <w:pStyle w:val="Heading1"/>
        <w:numPr>
          <w:ilvl w:val="0"/>
          <w:numId w:val="0"/>
        </w:numPr>
        <w:rPr>
          <w:bCs/>
          <w:color w:val="1F497D" w:themeColor="text2"/>
          <w:sz w:val="32"/>
          <w:szCs w:val="32"/>
        </w:rPr>
      </w:pPr>
    </w:p>
    <w:p w14:paraId="66CC369A" w14:textId="15CCF3AC" w:rsidR="00646FE1" w:rsidRPr="00D93E09" w:rsidRDefault="00646FE1" w:rsidP="00D93E09">
      <w:pPr>
        <w:pStyle w:val="Heading1"/>
        <w:numPr>
          <w:ilvl w:val="0"/>
          <w:numId w:val="0"/>
        </w:numPr>
        <w:rPr>
          <w:bCs/>
          <w:color w:val="1F497D" w:themeColor="text2"/>
          <w:sz w:val="32"/>
          <w:szCs w:val="32"/>
        </w:rPr>
      </w:pPr>
      <w:r w:rsidRPr="00D93E09">
        <w:rPr>
          <w:bCs/>
          <w:color w:val="1F497D" w:themeColor="text2"/>
          <w:sz w:val="32"/>
          <w:szCs w:val="32"/>
        </w:rPr>
        <w:t>Appendix B</w:t>
      </w:r>
      <w:r>
        <w:rPr>
          <w:bCs/>
          <w:color w:val="1F497D" w:themeColor="text2"/>
          <w:sz w:val="32"/>
          <w:szCs w:val="32"/>
        </w:rPr>
        <w:t xml:space="preserve"> </w:t>
      </w:r>
      <w:r w:rsidR="007C3439">
        <w:rPr>
          <w:bCs/>
          <w:color w:val="1F497D" w:themeColor="text2"/>
          <w:sz w:val="32"/>
          <w:szCs w:val="32"/>
        </w:rPr>
        <w:t>–</w:t>
      </w:r>
      <w:r>
        <w:rPr>
          <w:bCs/>
          <w:color w:val="1F497D" w:themeColor="text2"/>
          <w:sz w:val="32"/>
          <w:szCs w:val="32"/>
        </w:rPr>
        <w:t xml:space="preserve"> </w:t>
      </w:r>
      <w:r w:rsidR="007C3439">
        <w:rPr>
          <w:bCs/>
          <w:color w:val="1F497D" w:themeColor="text2"/>
          <w:sz w:val="32"/>
          <w:szCs w:val="32"/>
        </w:rPr>
        <w:t>Disclosure Examples</w:t>
      </w:r>
      <w:bookmarkEnd w:id="10"/>
    </w:p>
    <w:p w14:paraId="4357ADBA" w14:textId="77777777" w:rsidR="00646FE1" w:rsidRDefault="007C3439" w:rsidP="00646FE1">
      <w:pPr>
        <w:pStyle w:val="Heading2"/>
        <w:numPr>
          <w:ilvl w:val="0"/>
          <w:numId w:val="0"/>
        </w:numPr>
        <w:ind w:left="720" w:hanging="720"/>
        <w:rPr>
          <w:b/>
          <w:bCs/>
          <w:color w:val="1F497D" w:themeColor="text2"/>
          <w:sz w:val="28"/>
          <w:szCs w:val="22"/>
        </w:rPr>
      </w:pPr>
      <w:bookmarkStart w:id="11" w:name="_Toc62334913"/>
      <w:r>
        <w:rPr>
          <w:b/>
          <w:bCs/>
          <w:color w:val="1F497D" w:themeColor="text2"/>
          <w:sz w:val="28"/>
          <w:szCs w:val="22"/>
        </w:rPr>
        <w:t>B.1</w:t>
      </w:r>
      <w:r w:rsidR="00646FE1" w:rsidRPr="00100DED">
        <w:rPr>
          <w:b/>
          <w:bCs/>
          <w:color w:val="1F497D" w:themeColor="text2"/>
          <w:sz w:val="28"/>
          <w:szCs w:val="22"/>
        </w:rPr>
        <w:t xml:space="preserve"> MD&amp;A Disclosure Examples</w:t>
      </w:r>
      <w:bookmarkEnd w:id="11"/>
      <w:r w:rsidR="00646FE1">
        <w:rPr>
          <w:b/>
          <w:bCs/>
          <w:color w:val="1F497D" w:themeColor="text2"/>
          <w:sz w:val="28"/>
          <w:szCs w:val="22"/>
        </w:rPr>
        <w:t xml:space="preserve"> </w:t>
      </w:r>
    </w:p>
    <w:p w14:paraId="15B0951C" w14:textId="77777777" w:rsidR="00646FE1" w:rsidRDefault="00646FE1" w:rsidP="00FF6C77">
      <w:pPr>
        <w:rPr>
          <w:sz w:val="22"/>
          <w:szCs w:val="18"/>
        </w:rPr>
      </w:pPr>
      <w:r w:rsidRPr="00D93E09">
        <w:rPr>
          <w:sz w:val="22"/>
          <w:szCs w:val="18"/>
        </w:rPr>
        <w:t>Below are examples of useful disclosure focused on a few aspects of certain disclosure requirements. Issuers should determine how specific securities requirements may apply to them.</w:t>
      </w:r>
    </w:p>
    <w:p w14:paraId="32551329" w14:textId="77777777" w:rsidR="00CB78E6" w:rsidRPr="00D93E09" w:rsidRDefault="00CB78E6" w:rsidP="00D93E09">
      <w:pPr>
        <w:rPr>
          <w:sz w:val="22"/>
          <w:szCs w:val="18"/>
        </w:rPr>
      </w:pPr>
    </w:p>
    <w:p w14:paraId="04CCEA62" w14:textId="77777777" w:rsidR="00646FE1" w:rsidRPr="00643DFB" w:rsidRDefault="007C3439" w:rsidP="00646FE1">
      <w:pPr>
        <w:spacing w:after="240"/>
        <w:jc w:val="both"/>
        <w:outlineLvl w:val="2"/>
        <w:rPr>
          <w:b/>
          <w:bCs/>
          <w:color w:val="1F497D" w:themeColor="text2"/>
          <w:sz w:val="20"/>
        </w:rPr>
      </w:pPr>
      <w:bookmarkStart w:id="12" w:name="_Toc62334914"/>
      <w:r>
        <w:rPr>
          <w:b/>
          <w:bCs/>
          <w:color w:val="1F497D" w:themeColor="text2"/>
          <w:sz w:val="20"/>
        </w:rPr>
        <w:t>B</w:t>
      </w:r>
      <w:r w:rsidR="00646FE1" w:rsidRPr="00643DFB">
        <w:rPr>
          <w:b/>
          <w:bCs/>
          <w:color w:val="1F497D" w:themeColor="text2"/>
          <w:sz w:val="20"/>
        </w:rPr>
        <w:t>.1</w:t>
      </w:r>
      <w:r>
        <w:rPr>
          <w:b/>
          <w:bCs/>
          <w:color w:val="1F497D" w:themeColor="text2"/>
          <w:sz w:val="20"/>
        </w:rPr>
        <w:t>.1</w:t>
      </w:r>
      <w:r w:rsidR="00646FE1" w:rsidRPr="00643DFB">
        <w:rPr>
          <w:b/>
          <w:bCs/>
          <w:color w:val="1F497D" w:themeColor="text2"/>
          <w:sz w:val="20"/>
        </w:rPr>
        <w:t xml:space="preserve"> Discussion of Operations and the Impact of COVID-19</w:t>
      </w:r>
      <w:bookmarkEnd w:id="12"/>
    </w:p>
    <w:p w14:paraId="444866F3" w14:textId="77777777" w:rsidR="00646FE1" w:rsidRPr="00CF23AB" w:rsidRDefault="00646FE1" w:rsidP="00646FE1">
      <w:pPr>
        <w:spacing w:after="240"/>
        <w:jc w:val="both"/>
        <w:rPr>
          <w:b/>
          <w:sz w:val="20"/>
          <w:u w:val="single"/>
          <w:lang w:eastAsia="fr-CA"/>
        </w:rPr>
      </w:pPr>
      <w:r w:rsidRPr="00CF23AB">
        <w:rPr>
          <w:b/>
          <w:bCs/>
          <w:sz w:val="20"/>
          <w:u w:val="single"/>
          <w:lang w:eastAsia="fr-CA"/>
        </w:rPr>
        <w:t xml:space="preserve">Example of </w:t>
      </w:r>
      <w:r>
        <w:rPr>
          <w:b/>
          <w:bCs/>
          <w:sz w:val="20"/>
          <w:u w:val="single"/>
          <w:lang w:eastAsia="fr-CA"/>
        </w:rPr>
        <w:t>deficient</w:t>
      </w:r>
      <w:r w:rsidRPr="00CF23AB">
        <w:rPr>
          <w:b/>
          <w:bCs/>
          <w:sz w:val="20"/>
          <w:u w:val="single"/>
          <w:lang w:eastAsia="fr-CA"/>
        </w:rPr>
        <w:t xml:space="preserve"> disclosure</w:t>
      </w:r>
    </w:p>
    <w:tbl>
      <w:tblPr>
        <w:tblStyle w:val="TableGrid"/>
        <w:tblW w:w="0" w:type="auto"/>
        <w:tblInd w:w="1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9213"/>
      </w:tblGrid>
      <w:tr w:rsidR="00646FE1" w:rsidRPr="00CF23AB" w14:paraId="1833A10E" w14:textId="77777777" w:rsidTr="00646FE1">
        <w:tc>
          <w:tcPr>
            <w:tcW w:w="9213" w:type="dxa"/>
            <w:tcBorders>
              <w:bottom w:val="single" w:sz="4" w:space="0" w:color="4F81BD" w:themeColor="accent1"/>
            </w:tcBorders>
            <w:shd w:val="clear" w:color="auto" w:fill="4F81BD" w:themeFill="accent1"/>
          </w:tcPr>
          <w:p w14:paraId="28A25EB5" w14:textId="77777777" w:rsidR="00646FE1" w:rsidRPr="00BF7554" w:rsidRDefault="00646FE1" w:rsidP="00646FE1">
            <w:pPr>
              <w:jc w:val="both"/>
              <w:rPr>
                <w:b/>
                <w:bCs/>
                <w:color w:val="FFFFFF" w:themeColor="background1"/>
                <w:sz w:val="20"/>
              </w:rPr>
            </w:pPr>
            <w:r w:rsidRPr="00BF7554">
              <w:rPr>
                <w:b/>
                <w:bCs/>
                <w:color w:val="FFFFFF" w:themeColor="background1"/>
                <w:sz w:val="20"/>
              </w:rPr>
              <w:t xml:space="preserve">EXAMPLE </w:t>
            </w:r>
            <w:r w:rsidR="007C3439">
              <w:rPr>
                <w:b/>
                <w:bCs/>
                <w:color w:val="FFFFFF" w:themeColor="background1"/>
                <w:sz w:val="20"/>
              </w:rPr>
              <w:t>B.1</w:t>
            </w:r>
            <w:r>
              <w:rPr>
                <w:b/>
                <w:bCs/>
                <w:color w:val="FFFFFF" w:themeColor="background1"/>
                <w:sz w:val="20"/>
              </w:rPr>
              <w:t>.</w:t>
            </w:r>
            <w:r w:rsidRPr="00BF7554">
              <w:rPr>
                <w:b/>
                <w:bCs/>
                <w:color w:val="FFFFFF" w:themeColor="background1"/>
                <w:sz w:val="20"/>
              </w:rPr>
              <w:t xml:space="preserve">1(a) </w:t>
            </w:r>
          </w:p>
          <w:p w14:paraId="781804D7" w14:textId="77777777" w:rsidR="00646FE1" w:rsidRPr="007D4375" w:rsidRDefault="00646FE1" w:rsidP="00275D8A">
            <w:pPr>
              <w:pStyle w:val="ListParagraph"/>
              <w:numPr>
                <w:ilvl w:val="0"/>
                <w:numId w:val="44"/>
              </w:numPr>
              <w:ind w:left="315"/>
              <w:jc w:val="both"/>
              <w:rPr>
                <w:color w:val="FFFFFF" w:themeColor="background1"/>
                <w:sz w:val="20"/>
                <w:u w:val="single"/>
                <w:lang w:eastAsia="fr-CA"/>
              </w:rPr>
            </w:pPr>
            <w:r w:rsidRPr="007D4375">
              <w:rPr>
                <w:color w:val="FFFFFF" w:themeColor="background1"/>
                <w:sz w:val="20"/>
                <w:lang w:eastAsia="fr-CA"/>
              </w:rPr>
              <w:t>Did not describe the specific operational factors contributing to the decline in revenue and expenses</w:t>
            </w:r>
          </w:p>
          <w:p w14:paraId="4C7EAA0F" w14:textId="77777777" w:rsidR="00646FE1" w:rsidRPr="007D4375" w:rsidRDefault="00646FE1" w:rsidP="00275D8A">
            <w:pPr>
              <w:pStyle w:val="ListParagraph"/>
              <w:numPr>
                <w:ilvl w:val="0"/>
                <w:numId w:val="44"/>
              </w:numPr>
              <w:ind w:left="315"/>
              <w:jc w:val="both"/>
              <w:rPr>
                <w:color w:val="FFFFFF" w:themeColor="background1"/>
                <w:sz w:val="20"/>
                <w:u w:val="single"/>
                <w:lang w:eastAsia="fr-CA"/>
              </w:rPr>
            </w:pPr>
            <w:r w:rsidRPr="007D4375">
              <w:rPr>
                <w:color w:val="FFFFFF" w:themeColor="background1"/>
                <w:sz w:val="20"/>
              </w:rPr>
              <w:t xml:space="preserve">Did not describe the judgements and estimations made by management in determining the impact of COVID-19 </w:t>
            </w:r>
          </w:p>
          <w:p w14:paraId="324EE854" w14:textId="77777777" w:rsidR="00646FE1" w:rsidRPr="00965685" w:rsidRDefault="00646FE1" w:rsidP="00646FE1">
            <w:pPr>
              <w:pStyle w:val="ListParagraph"/>
              <w:ind w:left="315"/>
              <w:jc w:val="both"/>
              <w:rPr>
                <w:b/>
                <w:bCs/>
                <w:color w:val="FFFFFF" w:themeColor="background1"/>
                <w:sz w:val="20"/>
                <w:u w:val="single"/>
                <w:lang w:eastAsia="fr-CA"/>
              </w:rPr>
            </w:pPr>
          </w:p>
        </w:tc>
      </w:tr>
      <w:tr w:rsidR="00646FE1" w:rsidRPr="00CF23AB" w14:paraId="6C827E51" w14:textId="77777777" w:rsidTr="00646FE1">
        <w:tc>
          <w:tcPr>
            <w:tcW w:w="9213" w:type="dxa"/>
            <w:shd w:val="clear" w:color="auto" w:fill="FFFFFF" w:themeFill="background1"/>
          </w:tcPr>
          <w:p w14:paraId="0FB654F4" w14:textId="77777777" w:rsidR="00646FE1" w:rsidRPr="007D4375" w:rsidRDefault="00646FE1" w:rsidP="00646FE1">
            <w:pPr>
              <w:spacing w:after="240"/>
              <w:jc w:val="both"/>
              <w:rPr>
                <w:sz w:val="20"/>
                <w:lang w:eastAsia="fr-CA"/>
              </w:rPr>
            </w:pPr>
            <w:r w:rsidRPr="007D4375">
              <w:rPr>
                <w:sz w:val="20"/>
                <w:lang w:eastAsia="fr-CA"/>
              </w:rPr>
              <w:t>Revenue decreased by 30% in Q3 2020 as compared</w:t>
            </w:r>
            <w:r w:rsidR="002708CE">
              <w:rPr>
                <w:sz w:val="20"/>
                <w:lang w:eastAsia="fr-CA"/>
              </w:rPr>
              <w:t xml:space="preserve"> </w:t>
            </w:r>
            <w:r w:rsidRPr="007D4375">
              <w:rPr>
                <w:sz w:val="20"/>
                <w:lang w:eastAsia="fr-CA"/>
              </w:rPr>
              <w:t xml:space="preserve">to the prior period primarily due </w:t>
            </w:r>
            <w:r w:rsidR="00B90828">
              <w:rPr>
                <w:sz w:val="20"/>
                <w:lang w:eastAsia="fr-CA"/>
              </w:rPr>
              <w:t xml:space="preserve">to </w:t>
            </w:r>
            <w:r w:rsidRPr="007D4375">
              <w:rPr>
                <w:sz w:val="20"/>
                <w:lang w:eastAsia="fr-CA"/>
              </w:rPr>
              <w:t>the negative impact of the COVID-19 pandemic.</w:t>
            </w:r>
          </w:p>
          <w:p w14:paraId="60E5D753" w14:textId="77777777" w:rsidR="00646FE1" w:rsidRPr="00CF23AB" w:rsidRDefault="00646FE1" w:rsidP="00646FE1">
            <w:pPr>
              <w:spacing w:after="240"/>
              <w:jc w:val="both"/>
              <w:rPr>
                <w:sz w:val="20"/>
                <w:lang w:eastAsia="fr-CA"/>
              </w:rPr>
            </w:pPr>
            <w:r>
              <w:rPr>
                <w:sz w:val="20"/>
                <w:lang w:eastAsia="fr-CA"/>
              </w:rPr>
              <w:t xml:space="preserve">Selling, general and administrative expenses decreased by $5M in Q3, 2020 due to management’s efforts to reduce costs due to COVID-19. </w:t>
            </w:r>
          </w:p>
        </w:tc>
      </w:tr>
    </w:tbl>
    <w:p w14:paraId="6534CA3B" w14:textId="77777777" w:rsidR="00646FE1" w:rsidRPr="00CF23AB" w:rsidRDefault="00646FE1" w:rsidP="00646FE1">
      <w:pPr>
        <w:spacing w:after="240"/>
        <w:jc w:val="both"/>
        <w:rPr>
          <w:b/>
          <w:bCs/>
          <w:sz w:val="20"/>
          <w:u w:val="single"/>
          <w:lang w:eastAsia="fr-CA"/>
        </w:rPr>
      </w:pPr>
    </w:p>
    <w:p w14:paraId="353F2D59" w14:textId="77777777" w:rsidR="00646FE1" w:rsidRPr="00CF23AB" w:rsidRDefault="00646FE1" w:rsidP="00646FE1">
      <w:pPr>
        <w:spacing w:after="240"/>
        <w:jc w:val="both"/>
        <w:rPr>
          <w:b/>
          <w:bCs/>
          <w:sz w:val="20"/>
          <w:u w:val="single"/>
          <w:lang w:eastAsia="fr-CA"/>
        </w:rPr>
      </w:pPr>
      <w:r w:rsidRPr="00CF23AB">
        <w:rPr>
          <w:b/>
          <w:bCs/>
          <w:sz w:val="20"/>
          <w:u w:val="single"/>
          <w:lang w:eastAsia="fr-CA"/>
        </w:rPr>
        <w:t>Example of</w:t>
      </w:r>
      <w:r>
        <w:rPr>
          <w:b/>
          <w:bCs/>
          <w:sz w:val="20"/>
          <w:u w:val="single"/>
          <w:lang w:eastAsia="fr-CA"/>
        </w:rPr>
        <w:t xml:space="preserve"> improved </w:t>
      </w:r>
      <w:r w:rsidRPr="00CF23AB">
        <w:rPr>
          <w:b/>
          <w:bCs/>
          <w:sz w:val="20"/>
          <w:u w:val="single"/>
          <w:lang w:eastAsia="fr-CA"/>
        </w:rPr>
        <w:t>disclosure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46FE1" w:rsidRPr="00CF23AB" w14:paraId="6520C4E9" w14:textId="77777777" w:rsidTr="00646FE1">
        <w:tc>
          <w:tcPr>
            <w:tcW w:w="9350" w:type="dxa"/>
            <w:shd w:val="clear" w:color="auto" w:fill="auto"/>
          </w:tcPr>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9124"/>
            </w:tblGrid>
            <w:tr w:rsidR="00646FE1" w:rsidRPr="00CF23AB" w14:paraId="17F8F942" w14:textId="77777777" w:rsidTr="00646FE1">
              <w:tc>
                <w:tcPr>
                  <w:tcW w:w="9124" w:type="dxa"/>
                  <w:shd w:val="clear" w:color="auto" w:fill="4F81BD" w:themeFill="accent1"/>
                </w:tcPr>
                <w:p w14:paraId="53BB8918" w14:textId="77777777" w:rsidR="00646FE1" w:rsidRPr="008B26B2" w:rsidRDefault="00646FE1" w:rsidP="00646FE1">
                  <w:pPr>
                    <w:jc w:val="both"/>
                    <w:rPr>
                      <w:b/>
                      <w:bCs/>
                      <w:color w:val="FFFFFF" w:themeColor="background1"/>
                      <w:sz w:val="20"/>
                    </w:rPr>
                  </w:pPr>
                  <w:r w:rsidRPr="008B26B2">
                    <w:rPr>
                      <w:b/>
                      <w:bCs/>
                      <w:color w:val="FFFFFF" w:themeColor="background1"/>
                      <w:sz w:val="20"/>
                    </w:rPr>
                    <w:t xml:space="preserve">EXAMPLE </w:t>
                  </w:r>
                  <w:r w:rsidR="007C3439">
                    <w:rPr>
                      <w:b/>
                      <w:bCs/>
                      <w:color w:val="FFFFFF" w:themeColor="background1"/>
                      <w:sz w:val="20"/>
                    </w:rPr>
                    <w:t>B.1.</w:t>
                  </w:r>
                  <w:r w:rsidR="007C3439" w:rsidRPr="00BF7554">
                    <w:rPr>
                      <w:b/>
                      <w:bCs/>
                      <w:color w:val="FFFFFF" w:themeColor="background1"/>
                      <w:sz w:val="20"/>
                    </w:rPr>
                    <w:t>1</w:t>
                  </w:r>
                  <w:r w:rsidRPr="008B26B2">
                    <w:rPr>
                      <w:b/>
                      <w:bCs/>
                      <w:color w:val="FFFFFF" w:themeColor="background1"/>
                      <w:sz w:val="20"/>
                    </w:rPr>
                    <w:t>(</w:t>
                  </w:r>
                  <w:r>
                    <w:rPr>
                      <w:b/>
                      <w:bCs/>
                      <w:color w:val="FFFFFF" w:themeColor="background1"/>
                      <w:sz w:val="20"/>
                    </w:rPr>
                    <w:t>b</w:t>
                  </w:r>
                  <w:r w:rsidRPr="008B26B2">
                    <w:rPr>
                      <w:b/>
                      <w:bCs/>
                      <w:color w:val="FFFFFF" w:themeColor="background1"/>
                      <w:sz w:val="20"/>
                    </w:rPr>
                    <w:t xml:space="preserve">) </w:t>
                  </w:r>
                </w:p>
                <w:p w14:paraId="5C874EC9" w14:textId="77777777" w:rsidR="00646FE1" w:rsidRPr="007D4375" w:rsidRDefault="00646FE1" w:rsidP="00275D8A">
                  <w:pPr>
                    <w:pStyle w:val="ListParagraph"/>
                    <w:numPr>
                      <w:ilvl w:val="0"/>
                      <w:numId w:val="45"/>
                    </w:numPr>
                    <w:spacing w:after="240"/>
                    <w:ind w:left="351"/>
                    <w:jc w:val="both"/>
                    <w:rPr>
                      <w:color w:val="FFFFFF" w:themeColor="background1"/>
                      <w:sz w:val="20"/>
                    </w:rPr>
                  </w:pPr>
                  <w:r w:rsidRPr="007D4375">
                    <w:rPr>
                      <w:color w:val="FFFFFF" w:themeColor="background1"/>
                      <w:sz w:val="20"/>
                    </w:rPr>
                    <w:t>Provides an entity-specific analysis to explain variances</w:t>
                  </w:r>
                </w:p>
                <w:p w14:paraId="4DE65288" w14:textId="4E5C6A5D" w:rsidR="00646FE1" w:rsidRPr="008B26B2" w:rsidRDefault="00646FE1" w:rsidP="00275D8A">
                  <w:pPr>
                    <w:pStyle w:val="ListParagraph"/>
                    <w:numPr>
                      <w:ilvl w:val="0"/>
                      <w:numId w:val="45"/>
                    </w:numPr>
                    <w:spacing w:after="240"/>
                    <w:ind w:left="351"/>
                    <w:jc w:val="both"/>
                    <w:rPr>
                      <w:color w:val="FFFFFF" w:themeColor="background1"/>
                      <w:sz w:val="20"/>
                    </w:rPr>
                  </w:pPr>
                  <w:r w:rsidRPr="007D4375">
                    <w:rPr>
                      <w:color w:val="FFFFFF" w:themeColor="background1"/>
                      <w:sz w:val="20"/>
                    </w:rPr>
                    <w:t xml:space="preserve">Describes the methodology </w:t>
                  </w:r>
                  <w:r w:rsidR="00DA2F62">
                    <w:rPr>
                      <w:color w:val="FFFFFF" w:themeColor="background1"/>
                      <w:sz w:val="20"/>
                    </w:rPr>
                    <w:t>used to estimate</w:t>
                  </w:r>
                  <w:r w:rsidRPr="007D4375">
                    <w:rPr>
                      <w:color w:val="FFFFFF" w:themeColor="background1"/>
                      <w:sz w:val="20"/>
                    </w:rPr>
                    <w:t xml:space="preserve"> the impact of COVID-19</w:t>
                  </w:r>
                </w:p>
              </w:tc>
            </w:tr>
            <w:tr w:rsidR="00646FE1" w:rsidRPr="00CF23AB" w14:paraId="77346555" w14:textId="77777777" w:rsidTr="00646FE1">
              <w:tc>
                <w:tcPr>
                  <w:tcW w:w="9124" w:type="dxa"/>
                  <w:shd w:val="clear" w:color="auto" w:fill="DBE5F1" w:themeFill="accent1" w:themeFillTint="33"/>
                </w:tcPr>
                <w:p w14:paraId="457F2840" w14:textId="77777777" w:rsidR="00646FE1" w:rsidRPr="00CF23AB" w:rsidRDefault="00646FE1" w:rsidP="00646FE1">
                  <w:pPr>
                    <w:jc w:val="both"/>
                    <w:rPr>
                      <w:sz w:val="20"/>
                    </w:rPr>
                  </w:pPr>
                  <w:r w:rsidRPr="00CF23AB">
                    <w:rPr>
                      <w:sz w:val="20"/>
                    </w:rPr>
                    <w:t xml:space="preserve">As described above, we shut down 25 locations country-wide in mid-September, and these locations remain closed as at the date of this MD&amp;A. 14 locations remained open </w:t>
                  </w:r>
                  <w:r>
                    <w:rPr>
                      <w:sz w:val="20"/>
                    </w:rPr>
                    <w:t xml:space="preserve">during the quarter </w:t>
                  </w:r>
                  <w:r w:rsidRPr="00CF23AB">
                    <w:rPr>
                      <w:sz w:val="20"/>
                    </w:rPr>
                    <w:t>for take-out only. In order to mitigate the impacts of store closures and reduced revenues, we have temporarily laid off certain staff. Our mitigating efforts are described in further detail in the Recent Developments section.</w:t>
                  </w:r>
                </w:p>
                <w:p w14:paraId="3A37FFD5" w14:textId="77777777" w:rsidR="00646FE1" w:rsidRPr="00CF23AB" w:rsidRDefault="00646FE1" w:rsidP="00646FE1">
                  <w:pPr>
                    <w:jc w:val="both"/>
                    <w:rPr>
                      <w:sz w:val="20"/>
                    </w:rPr>
                  </w:pPr>
                </w:p>
                <w:p w14:paraId="115E6D64" w14:textId="77777777" w:rsidR="00646FE1" w:rsidRPr="001251F7" w:rsidRDefault="00646FE1" w:rsidP="00275D8A">
                  <w:pPr>
                    <w:pStyle w:val="ListParagraph"/>
                    <w:numPr>
                      <w:ilvl w:val="0"/>
                      <w:numId w:val="37"/>
                    </w:numPr>
                    <w:jc w:val="both"/>
                    <w:rPr>
                      <w:sz w:val="20"/>
                    </w:rPr>
                  </w:pPr>
                  <w:r w:rsidRPr="00CF23AB">
                    <w:rPr>
                      <w:sz w:val="20"/>
                    </w:rPr>
                    <w:t>Revenue decreased by 30% from Q</w:t>
                  </w:r>
                  <w:r>
                    <w:rPr>
                      <w:sz w:val="20"/>
                    </w:rPr>
                    <w:t>3, 2019</w:t>
                  </w:r>
                  <w:r w:rsidRPr="00CF23AB">
                    <w:rPr>
                      <w:sz w:val="20"/>
                    </w:rPr>
                    <w:t xml:space="preserve"> due to </w:t>
                  </w:r>
                  <w:r>
                    <w:rPr>
                      <w:sz w:val="20"/>
                    </w:rPr>
                    <w:t>a</w:t>
                  </w:r>
                  <w:r w:rsidRPr="001251F7">
                    <w:rPr>
                      <w:sz w:val="20"/>
                    </w:rPr>
                    <w:t xml:space="preserve">n estimated loss of sales of $7M from restaurants negatively affected by COVID-19. The closures noted above were in effect for 2 weeks during the reporting period. Based on our </w:t>
                  </w:r>
                  <w:r>
                    <w:rPr>
                      <w:sz w:val="20"/>
                    </w:rPr>
                    <w:t xml:space="preserve">estimate </w:t>
                  </w:r>
                  <w:r w:rsidRPr="001251F7">
                    <w:rPr>
                      <w:sz w:val="20"/>
                    </w:rPr>
                    <w:t>for each location,</w:t>
                  </w:r>
                  <w:r>
                    <w:rPr>
                      <w:sz w:val="20"/>
                    </w:rPr>
                    <w:t xml:space="preserve"> </w:t>
                  </w:r>
                  <w:r w:rsidRPr="001251F7">
                    <w:rPr>
                      <w:sz w:val="20"/>
                    </w:rPr>
                    <w:t>the loss in revenues due to store closures was approximately $3M for Q3, 2020 (based on a 2-week average sales at those stores in prior periods). A further reduction of revenue of $</w:t>
                  </w:r>
                  <w:r w:rsidR="002708CE">
                    <w:rPr>
                      <w:sz w:val="20"/>
                    </w:rPr>
                    <w:t>4</w:t>
                  </w:r>
                  <w:r w:rsidRPr="001251F7">
                    <w:rPr>
                      <w:sz w:val="20"/>
                    </w:rPr>
                    <w:t xml:space="preserve">M is estimated from locations that remained open as take-out only or were subject to reduced capacity limits for Q3, 2020 due to a reduction in revenue/hour from the loss of customers dining in and shorter operating times. </w:t>
                  </w:r>
                </w:p>
                <w:p w14:paraId="6E975517" w14:textId="77777777" w:rsidR="00646FE1" w:rsidRPr="0005738C" w:rsidRDefault="00646FE1" w:rsidP="00646FE1">
                  <w:pPr>
                    <w:pStyle w:val="ListParagraph"/>
                    <w:rPr>
                      <w:sz w:val="20"/>
                    </w:rPr>
                  </w:pPr>
                </w:p>
                <w:p w14:paraId="3EA8434C" w14:textId="77777777" w:rsidR="00646FE1" w:rsidRPr="00CF23AB" w:rsidRDefault="00646FE1" w:rsidP="00275D8A">
                  <w:pPr>
                    <w:pStyle w:val="ListParagraph"/>
                    <w:numPr>
                      <w:ilvl w:val="0"/>
                      <w:numId w:val="37"/>
                    </w:numPr>
                    <w:jc w:val="both"/>
                    <w:rPr>
                      <w:sz w:val="20"/>
                    </w:rPr>
                  </w:pPr>
                  <w:r w:rsidRPr="00CF23AB">
                    <w:rPr>
                      <w:sz w:val="20"/>
                    </w:rPr>
                    <w:t xml:space="preserve">Selling, general and administrative (SG&amp;A) expenses </w:t>
                  </w:r>
                  <w:r>
                    <w:rPr>
                      <w:sz w:val="20"/>
                    </w:rPr>
                    <w:t>decreased by $5M from Q3, 2019:</w:t>
                  </w:r>
                </w:p>
                <w:p w14:paraId="582AA2D5" w14:textId="77777777" w:rsidR="00646FE1" w:rsidRPr="00CF23AB" w:rsidRDefault="00646FE1" w:rsidP="00646FE1">
                  <w:pPr>
                    <w:pStyle w:val="ListParagraph"/>
                    <w:ind w:left="360"/>
                    <w:jc w:val="both"/>
                    <w:rPr>
                      <w:sz w:val="20"/>
                    </w:rPr>
                  </w:pPr>
                </w:p>
                <w:p w14:paraId="76B5B89E" w14:textId="77777777" w:rsidR="00646FE1" w:rsidRPr="00CF23AB" w:rsidRDefault="00646FE1" w:rsidP="00275D8A">
                  <w:pPr>
                    <w:pStyle w:val="ListParagraph"/>
                    <w:numPr>
                      <w:ilvl w:val="0"/>
                      <w:numId w:val="37"/>
                    </w:numPr>
                    <w:ind w:left="720"/>
                    <w:jc w:val="both"/>
                    <w:rPr>
                      <w:sz w:val="20"/>
                    </w:rPr>
                  </w:pPr>
                  <w:r w:rsidRPr="00CF23AB">
                    <w:rPr>
                      <w:sz w:val="20"/>
                    </w:rPr>
                    <w:t>The decrease reflects a</w:t>
                  </w:r>
                  <w:r>
                    <w:rPr>
                      <w:sz w:val="20"/>
                    </w:rPr>
                    <w:t>n estimated</w:t>
                  </w:r>
                  <w:r w:rsidRPr="00CF23AB">
                    <w:rPr>
                      <w:sz w:val="20"/>
                    </w:rPr>
                    <w:t xml:space="preserve"> $</w:t>
                  </w:r>
                  <w:r>
                    <w:rPr>
                      <w:sz w:val="20"/>
                    </w:rPr>
                    <w:t>2</w:t>
                  </w:r>
                  <w:r w:rsidRPr="00CF23AB">
                    <w:rPr>
                      <w:sz w:val="20"/>
                    </w:rPr>
                    <w:t>M in rent savings</w:t>
                  </w:r>
                  <w:r>
                    <w:rPr>
                      <w:sz w:val="20"/>
                    </w:rPr>
                    <w:t xml:space="preserve"> and</w:t>
                  </w:r>
                  <w:r w:rsidRPr="00CF23AB">
                    <w:rPr>
                      <w:sz w:val="20"/>
                    </w:rPr>
                    <w:t xml:space="preserve"> a decrease in $</w:t>
                  </w:r>
                  <w:r>
                    <w:rPr>
                      <w:sz w:val="20"/>
                    </w:rPr>
                    <w:t>2</w:t>
                  </w:r>
                  <w:r w:rsidRPr="00CF23AB">
                    <w:rPr>
                      <w:sz w:val="20"/>
                    </w:rPr>
                    <w:t xml:space="preserve">M </w:t>
                  </w:r>
                  <w:r>
                    <w:rPr>
                      <w:sz w:val="20"/>
                    </w:rPr>
                    <w:t>of</w:t>
                  </w:r>
                  <w:r w:rsidRPr="00CF23AB">
                    <w:rPr>
                      <w:sz w:val="20"/>
                    </w:rPr>
                    <w:t xml:space="preserve"> wages based on management’s calculation of t</w:t>
                  </w:r>
                  <w:r>
                    <w:rPr>
                      <w:sz w:val="20"/>
                    </w:rPr>
                    <w:t>he impact of location closures and reduced capacity limits.</w:t>
                  </w:r>
                </w:p>
                <w:p w14:paraId="34786D2D" w14:textId="77777777" w:rsidR="00646FE1" w:rsidRPr="00CF23AB" w:rsidRDefault="00646FE1" w:rsidP="00646FE1">
                  <w:pPr>
                    <w:pStyle w:val="ListParagraph"/>
                    <w:ind w:left="1080"/>
                    <w:rPr>
                      <w:sz w:val="20"/>
                    </w:rPr>
                  </w:pPr>
                </w:p>
                <w:p w14:paraId="0B0120DB" w14:textId="77777777" w:rsidR="00646FE1" w:rsidRPr="00CF23AB" w:rsidRDefault="00646FE1" w:rsidP="00275D8A">
                  <w:pPr>
                    <w:pStyle w:val="ListParagraph"/>
                    <w:numPr>
                      <w:ilvl w:val="0"/>
                      <w:numId w:val="37"/>
                    </w:numPr>
                    <w:ind w:left="720"/>
                    <w:jc w:val="both"/>
                    <w:rPr>
                      <w:sz w:val="20"/>
                    </w:rPr>
                  </w:pPr>
                  <w:r w:rsidRPr="00CF23AB">
                    <w:rPr>
                      <w:sz w:val="20"/>
                    </w:rPr>
                    <w:t>In Q3 2020, the Company also benefitted from $</w:t>
                  </w:r>
                  <w:r>
                    <w:rPr>
                      <w:sz w:val="20"/>
                    </w:rPr>
                    <w:t>1</w:t>
                  </w:r>
                  <w:r w:rsidRPr="00CF23AB">
                    <w:rPr>
                      <w:sz w:val="20"/>
                    </w:rPr>
                    <w:t xml:space="preserve">.5M </w:t>
                  </w:r>
                  <w:r>
                    <w:rPr>
                      <w:sz w:val="20"/>
                    </w:rPr>
                    <w:t>due to the</w:t>
                  </w:r>
                  <w:r w:rsidRPr="00CF23AB">
                    <w:rPr>
                      <w:sz w:val="20"/>
                    </w:rPr>
                    <w:t xml:space="preserve"> Canadian Emergency Wage Subsidy Program, of which $</w:t>
                  </w:r>
                  <w:r>
                    <w:rPr>
                      <w:sz w:val="20"/>
                    </w:rPr>
                    <w:t>1</w:t>
                  </w:r>
                  <w:r w:rsidRPr="00CF23AB">
                    <w:rPr>
                      <w:sz w:val="20"/>
                    </w:rPr>
                    <w:t>M was recorded as a reduction to SG&amp;A expenses, and $500K as a reduction to cost of sales</w:t>
                  </w:r>
                  <w:r w:rsidR="00C01DE1">
                    <w:rPr>
                      <w:sz w:val="20"/>
                    </w:rPr>
                    <w:t xml:space="preserve"> which allows the Company to maintain a comparable gross margin to the prior period</w:t>
                  </w:r>
                  <w:r w:rsidRPr="00CF23AB">
                    <w:rPr>
                      <w:sz w:val="20"/>
                    </w:rPr>
                    <w:t>.</w:t>
                  </w:r>
                  <w:r>
                    <w:rPr>
                      <w:sz w:val="20"/>
                    </w:rPr>
                    <w:t xml:space="preserve"> </w:t>
                  </w:r>
                </w:p>
                <w:p w14:paraId="45562C4D" w14:textId="77777777" w:rsidR="00646FE1" w:rsidRPr="00CF23AB" w:rsidRDefault="00646FE1" w:rsidP="00646FE1">
                  <w:pPr>
                    <w:pStyle w:val="ListParagraph"/>
                    <w:ind w:left="360"/>
                    <w:jc w:val="both"/>
                    <w:rPr>
                      <w:sz w:val="20"/>
                    </w:rPr>
                  </w:pPr>
                </w:p>
                <w:p w14:paraId="15EE6F66" w14:textId="77777777" w:rsidR="00646FE1" w:rsidRPr="00CF23AB" w:rsidRDefault="00646FE1" w:rsidP="00646FE1">
                  <w:pPr>
                    <w:jc w:val="both"/>
                    <w:rPr>
                      <w:sz w:val="20"/>
                    </w:rPr>
                  </w:pPr>
                </w:p>
              </w:tc>
            </w:tr>
          </w:tbl>
          <w:p w14:paraId="30206072" w14:textId="77777777" w:rsidR="00646FE1" w:rsidRPr="00CF23AB" w:rsidRDefault="00646FE1" w:rsidP="00646FE1">
            <w:pPr>
              <w:spacing w:after="240"/>
              <w:jc w:val="both"/>
              <w:rPr>
                <w:b/>
                <w:bCs/>
                <w:sz w:val="20"/>
                <w:u w:val="single"/>
                <w:lang w:eastAsia="fr-CA"/>
              </w:rPr>
            </w:pPr>
          </w:p>
        </w:tc>
      </w:tr>
    </w:tbl>
    <w:p w14:paraId="46A7B42F" w14:textId="7A71EBAA" w:rsidR="00960DC9" w:rsidRDefault="00960DC9" w:rsidP="00646FE1">
      <w:pPr>
        <w:spacing w:after="240"/>
        <w:jc w:val="both"/>
        <w:outlineLvl w:val="2"/>
        <w:rPr>
          <w:b/>
          <w:bCs/>
          <w:color w:val="1F497D" w:themeColor="text2"/>
          <w:sz w:val="20"/>
        </w:rPr>
      </w:pPr>
    </w:p>
    <w:p w14:paraId="7F6ACC85" w14:textId="77777777" w:rsidR="00960DC9" w:rsidRDefault="00960DC9" w:rsidP="00646FE1">
      <w:pPr>
        <w:spacing w:after="240"/>
        <w:jc w:val="both"/>
        <w:outlineLvl w:val="2"/>
        <w:rPr>
          <w:b/>
          <w:bCs/>
          <w:color w:val="1F497D" w:themeColor="text2"/>
          <w:sz w:val="20"/>
        </w:rPr>
      </w:pPr>
    </w:p>
    <w:p w14:paraId="092BD3E4" w14:textId="77777777" w:rsidR="00646FE1" w:rsidRPr="00643DFB" w:rsidRDefault="00B654D6" w:rsidP="00646FE1">
      <w:pPr>
        <w:spacing w:after="240"/>
        <w:jc w:val="both"/>
        <w:outlineLvl w:val="2"/>
        <w:rPr>
          <w:b/>
          <w:bCs/>
          <w:color w:val="1F497D" w:themeColor="text2"/>
          <w:sz w:val="20"/>
        </w:rPr>
      </w:pPr>
      <w:bookmarkStart w:id="13" w:name="_Toc62334915"/>
      <w:r w:rsidRPr="00B654D6">
        <w:rPr>
          <w:b/>
          <w:bCs/>
          <w:color w:val="1F497D" w:themeColor="text2"/>
          <w:sz w:val="20"/>
        </w:rPr>
        <w:t>B.1.</w:t>
      </w:r>
      <w:r>
        <w:rPr>
          <w:b/>
          <w:bCs/>
          <w:color w:val="1F497D" w:themeColor="text2"/>
          <w:sz w:val="20"/>
        </w:rPr>
        <w:t>2</w:t>
      </w:r>
      <w:r w:rsidRPr="00B654D6">
        <w:rPr>
          <w:b/>
          <w:bCs/>
          <w:color w:val="1F497D" w:themeColor="text2"/>
          <w:sz w:val="20"/>
        </w:rPr>
        <w:t xml:space="preserve"> </w:t>
      </w:r>
      <w:r w:rsidR="00646FE1" w:rsidRPr="00643DFB">
        <w:rPr>
          <w:b/>
          <w:bCs/>
          <w:color w:val="1F497D" w:themeColor="text2"/>
          <w:sz w:val="20"/>
        </w:rPr>
        <w:t xml:space="preserve">Discussion of </w:t>
      </w:r>
      <w:r w:rsidR="00B17AC2">
        <w:rPr>
          <w:b/>
          <w:bCs/>
          <w:color w:val="1F497D" w:themeColor="text2"/>
          <w:sz w:val="20"/>
        </w:rPr>
        <w:t>Measures Taken to Reduce the Impact of COVID-19</w:t>
      </w:r>
      <w:r w:rsidR="00646FE1" w:rsidRPr="00643DFB">
        <w:rPr>
          <w:b/>
          <w:bCs/>
          <w:color w:val="1F497D" w:themeColor="text2"/>
          <w:sz w:val="20"/>
        </w:rPr>
        <w:t xml:space="preserve"> </w:t>
      </w:r>
      <w:bookmarkEnd w:id="13"/>
    </w:p>
    <w:p w14:paraId="716C90D7" w14:textId="77777777" w:rsidR="00646FE1" w:rsidRPr="00CF23AB" w:rsidRDefault="00646FE1" w:rsidP="00646FE1">
      <w:pPr>
        <w:spacing w:after="240"/>
        <w:jc w:val="both"/>
        <w:rPr>
          <w:b/>
          <w:bCs/>
          <w:sz w:val="20"/>
          <w:u w:val="single"/>
          <w:lang w:eastAsia="fr-CA"/>
        </w:rPr>
      </w:pPr>
      <w:r w:rsidRPr="00CF23AB">
        <w:rPr>
          <w:b/>
          <w:bCs/>
          <w:sz w:val="20"/>
          <w:u w:val="single"/>
          <w:lang w:eastAsia="fr-CA"/>
        </w:rPr>
        <w:t xml:space="preserve">Example of </w:t>
      </w:r>
      <w:r>
        <w:rPr>
          <w:b/>
          <w:bCs/>
          <w:sz w:val="20"/>
          <w:u w:val="single"/>
          <w:lang w:eastAsia="fr-CA"/>
        </w:rPr>
        <w:t>deficient</w:t>
      </w:r>
      <w:r w:rsidRPr="00CF23AB">
        <w:rPr>
          <w:b/>
          <w:bCs/>
          <w:sz w:val="20"/>
          <w:u w:val="single"/>
          <w:lang w:eastAsia="fr-CA"/>
        </w:rPr>
        <w:t xml:space="preserve"> disclosure</w:t>
      </w:r>
    </w:p>
    <w:tbl>
      <w:tblPr>
        <w:tblStyle w:val="TableGrid"/>
        <w:tblW w:w="0" w:type="auto"/>
        <w:tblInd w:w="-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9214"/>
      </w:tblGrid>
      <w:tr w:rsidR="00646FE1" w:rsidRPr="00CF23AB" w14:paraId="58A3056C" w14:textId="77777777" w:rsidTr="00263E55">
        <w:tc>
          <w:tcPr>
            <w:tcW w:w="9214" w:type="dxa"/>
            <w:shd w:val="clear" w:color="auto" w:fill="4F81BD" w:themeFill="accent1"/>
          </w:tcPr>
          <w:p w14:paraId="6CFD7F17" w14:textId="77777777" w:rsidR="00646FE1" w:rsidRPr="0080285B" w:rsidRDefault="00646FE1" w:rsidP="00646FE1">
            <w:pPr>
              <w:jc w:val="both"/>
              <w:rPr>
                <w:b/>
                <w:bCs/>
                <w:color w:val="FFFFFF" w:themeColor="background1"/>
                <w:sz w:val="20"/>
              </w:rPr>
            </w:pPr>
            <w:r w:rsidRPr="0080285B">
              <w:rPr>
                <w:b/>
                <w:bCs/>
                <w:color w:val="FFFFFF" w:themeColor="background1"/>
                <w:sz w:val="20"/>
              </w:rPr>
              <w:t xml:space="preserve">EXAMPLE </w:t>
            </w:r>
            <w:r w:rsidR="00B654D6" w:rsidRPr="00B654D6">
              <w:rPr>
                <w:b/>
                <w:bCs/>
                <w:color w:val="FFFFFF" w:themeColor="background1"/>
                <w:sz w:val="20"/>
              </w:rPr>
              <w:t>B.1.2</w:t>
            </w:r>
            <w:r w:rsidRPr="0080285B">
              <w:rPr>
                <w:b/>
                <w:bCs/>
                <w:color w:val="FFFFFF" w:themeColor="background1"/>
                <w:sz w:val="20"/>
              </w:rPr>
              <w:t>(a)</w:t>
            </w:r>
          </w:p>
          <w:p w14:paraId="54018047" w14:textId="0D7AA20A" w:rsidR="00646FE1" w:rsidRPr="0080285B" w:rsidRDefault="00646FE1" w:rsidP="00275D8A">
            <w:pPr>
              <w:pStyle w:val="ListParagraph"/>
              <w:numPr>
                <w:ilvl w:val="0"/>
                <w:numId w:val="46"/>
              </w:numPr>
              <w:spacing w:after="240"/>
              <w:ind w:left="318"/>
              <w:jc w:val="both"/>
              <w:rPr>
                <w:color w:val="FFFFFF" w:themeColor="background1"/>
                <w:sz w:val="20"/>
                <w:lang w:eastAsia="fr-CA"/>
              </w:rPr>
            </w:pPr>
            <w:r w:rsidRPr="0080285B">
              <w:rPr>
                <w:color w:val="FFFFFF" w:themeColor="background1"/>
                <w:sz w:val="20"/>
                <w:lang w:eastAsia="fr-CA"/>
              </w:rPr>
              <w:t xml:space="preserve">Did not explain the impact of </w:t>
            </w:r>
            <w:r w:rsidR="00B17AC2">
              <w:rPr>
                <w:color w:val="FFFFFF" w:themeColor="background1"/>
                <w:sz w:val="20"/>
                <w:lang w:eastAsia="fr-CA"/>
              </w:rPr>
              <w:t>measures taken to reduce the impact of COVID-19</w:t>
            </w:r>
            <w:r w:rsidRPr="0080285B">
              <w:rPr>
                <w:color w:val="FFFFFF" w:themeColor="background1"/>
                <w:sz w:val="20"/>
                <w:lang w:eastAsia="fr-CA"/>
              </w:rPr>
              <w:t xml:space="preserve"> </w:t>
            </w:r>
          </w:p>
        </w:tc>
      </w:tr>
      <w:tr w:rsidR="00646FE1" w:rsidRPr="00CF23AB" w14:paraId="630954DA" w14:textId="77777777" w:rsidTr="00263E55">
        <w:tc>
          <w:tcPr>
            <w:tcW w:w="9214" w:type="dxa"/>
          </w:tcPr>
          <w:p w14:paraId="0113F414" w14:textId="72EE045F" w:rsidR="00646FE1" w:rsidRDefault="00646FE1" w:rsidP="00646FE1">
            <w:pPr>
              <w:jc w:val="both"/>
              <w:rPr>
                <w:sz w:val="20"/>
                <w:lang w:eastAsia="fr-CA"/>
              </w:rPr>
            </w:pPr>
            <w:r w:rsidRPr="00CF23AB">
              <w:rPr>
                <w:sz w:val="20"/>
                <w:lang w:eastAsia="fr-CA"/>
              </w:rPr>
              <w:t>The Company has implemented a series o</w:t>
            </w:r>
            <w:r>
              <w:rPr>
                <w:sz w:val="20"/>
                <w:lang w:eastAsia="fr-CA"/>
              </w:rPr>
              <w:t xml:space="preserve">f cost reduction </w:t>
            </w:r>
            <w:r w:rsidR="007B545E">
              <w:rPr>
                <w:sz w:val="20"/>
                <w:lang w:eastAsia="fr-CA"/>
              </w:rPr>
              <w:t>measures</w:t>
            </w:r>
            <w:r>
              <w:rPr>
                <w:sz w:val="20"/>
                <w:lang w:eastAsia="fr-CA"/>
              </w:rPr>
              <w:t xml:space="preserve"> in response to COVID-19. These measures include the following: suspension of the quarterly dividend, reduced compensation, reduction of discretionary spending, delayed capital projects, sales of assets and taking advantage of the Canadian Emergency Wage Subsidy Program. </w:t>
            </w:r>
            <w:r w:rsidRPr="00CF23AB">
              <w:rPr>
                <w:sz w:val="20"/>
                <w:lang w:eastAsia="fr-CA"/>
              </w:rPr>
              <w:t xml:space="preserve">The Company is monitoring the situation </w:t>
            </w:r>
            <w:r w:rsidR="00B17AC2">
              <w:rPr>
                <w:sz w:val="20"/>
                <w:lang w:eastAsia="fr-CA"/>
              </w:rPr>
              <w:t>and will</w:t>
            </w:r>
            <w:r w:rsidRPr="00CF23AB">
              <w:rPr>
                <w:sz w:val="20"/>
                <w:lang w:eastAsia="fr-CA"/>
              </w:rPr>
              <w:t xml:space="preserve"> adjust these measures as </w:t>
            </w:r>
            <w:r w:rsidR="00B17AC2">
              <w:rPr>
                <w:sz w:val="20"/>
                <w:lang w:eastAsia="fr-CA"/>
              </w:rPr>
              <w:t>the situation</w:t>
            </w:r>
            <w:r w:rsidRPr="00CF23AB">
              <w:rPr>
                <w:sz w:val="20"/>
                <w:lang w:eastAsia="fr-CA"/>
              </w:rPr>
              <w:t xml:space="preserve"> evolves. </w:t>
            </w:r>
          </w:p>
          <w:p w14:paraId="75874FB2" w14:textId="77777777" w:rsidR="00646FE1" w:rsidRPr="00CF23AB" w:rsidRDefault="00646FE1" w:rsidP="00646FE1">
            <w:pPr>
              <w:jc w:val="both"/>
              <w:rPr>
                <w:sz w:val="20"/>
                <w:lang w:eastAsia="fr-CA"/>
              </w:rPr>
            </w:pPr>
          </w:p>
        </w:tc>
      </w:tr>
    </w:tbl>
    <w:p w14:paraId="780917DE" w14:textId="77777777" w:rsidR="00646FE1" w:rsidRDefault="00646FE1" w:rsidP="00646FE1">
      <w:pPr>
        <w:spacing w:after="240"/>
        <w:jc w:val="both"/>
        <w:rPr>
          <w:b/>
          <w:bCs/>
          <w:sz w:val="20"/>
          <w:u w:val="single"/>
          <w:lang w:eastAsia="fr-CA"/>
        </w:rPr>
      </w:pPr>
    </w:p>
    <w:p w14:paraId="0FE59657" w14:textId="77777777" w:rsidR="00646FE1" w:rsidRPr="00CF23AB" w:rsidRDefault="00646FE1" w:rsidP="00646FE1">
      <w:pPr>
        <w:spacing w:after="240"/>
        <w:jc w:val="both"/>
        <w:rPr>
          <w:b/>
          <w:bCs/>
          <w:sz w:val="20"/>
          <w:u w:val="single"/>
          <w:lang w:eastAsia="fr-CA"/>
        </w:rPr>
      </w:pPr>
      <w:r w:rsidRPr="00CF23AB">
        <w:rPr>
          <w:b/>
          <w:bCs/>
          <w:sz w:val="20"/>
          <w:u w:val="single"/>
          <w:lang w:eastAsia="fr-CA"/>
        </w:rPr>
        <w:t xml:space="preserve">Example of </w:t>
      </w:r>
      <w:r>
        <w:rPr>
          <w:b/>
          <w:bCs/>
          <w:sz w:val="20"/>
          <w:u w:val="single"/>
          <w:lang w:eastAsia="fr-CA"/>
        </w:rPr>
        <w:t>improved</w:t>
      </w:r>
      <w:r w:rsidRPr="00CF23AB">
        <w:rPr>
          <w:b/>
          <w:bCs/>
          <w:sz w:val="20"/>
          <w:u w:val="single"/>
          <w:lang w:eastAsia="fr-CA"/>
        </w:rPr>
        <w:t xml:space="preserve"> disclosure</w:t>
      </w:r>
    </w:p>
    <w:tbl>
      <w:tblPr>
        <w:tblStyle w:val="TableGrid"/>
        <w:tblW w:w="935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4A0" w:firstRow="1" w:lastRow="0" w:firstColumn="1" w:lastColumn="0" w:noHBand="0" w:noVBand="1"/>
      </w:tblPr>
      <w:tblGrid>
        <w:gridCol w:w="9355"/>
      </w:tblGrid>
      <w:tr w:rsidR="00646FE1" w:rsidRPr="00CF23AB" w14:paraId="605DE141" w14:textId="77777777" w:rsidTr="00646FE1">
        <w:tc>
          <w:tcPr>
            <w:tcW w:w="9355" w:type="dxa"/>
            <w:tcBorders>
              <w:top w:val="single" w:sz="4" w:space="0" w:color="4F81BD" w:themeColor="accent1"/>
              <w:bottom w:val="nil"/>
            </w:tcBorders>
            <w:shd w:val="clear" w:color="auto" w:fill="4F81BD" w:themeFill="accent1"/>
          </w:tcPr>
          <w:p w14:paraId="75C5304A" w14:textId="77777777" w:rsidR="00646FE1" w:rsidRPr="00CF23AB" w:rsidRDefault="00646FE1" w:rsidP="00646FE1">
            <w:pPr>
              <w:rPr>
                <w:b/>
                <w:bCs/>
                <w:color w:val="FFFFFF" w:themeColor="background1"/>
                <w:sz w:val="20"/>
              </w:rPr>
            </w:pPr>
            <w:bookmarkStart w:id="14" w:name="_Hlk62741058"/>
            <w:r w:rsidRPr="00CF23AB">
              <w:rPr>
                <w:b/>
                <w:bCs/>
                <w:color w:val="FFFFFF" w:themeColor="background1"/>
                <w:sz w:val="20"/>
              </w:rPr>
              <w:t xml:space="preserve">EXAMPLE </w:t>
            </w:r>
            <w:r w:rsidR="00B654D6" w:rsidRPr="00B654D6">
              <w:rPr>
                <w:b/>
                <w:bCs/>
                <w:color w:val="FFFFFF" w:themeColor="background1"/>
                <w:sz w:val="20"/>
              </w:rPr>
              <w:t>B.1.2</w:t>
            </w:r>
            <w:r w:rsidRPr="00CF23AB">
              <w:rPr>
                <w:b/>
                <w:bCs/>
                <w:color w:val="FFFFFF" w:themeColor="background1"/>
                <w:sz w:val="20"/>
              </w:rPr>
              <w:t>(</w:t>
            </w:r>
            <w:r>
              <w:rPr>
                <w:b/>
                <w:bCs/>
                <w:color w:val="FFFFFF" w:themeColor="background1"/>
                <w:sz w:val="20"/>
              </w:rPr>
              <w:t>b</w:t>
            </w:r>
            <w:r w:rsidRPr="00CF23AB">
              <w:rPr>
                <w:b/>
                <w:bCs/>
                <w:color w:val="FFFFFF" w:themeColor="background1"/>
                <w:sz w:val="20"/>
              </w:rPr>
              <w:t>)</w:t>
            </w:r>
          </w:p>
          <w:p w14:paraId="28DA78ED" w14:textId="40D1B3EB" w:rsidR="00646FE1" w:rsidRPr="0080285B" w:rsidRDefault="00646FE1" w:rsidP="00275D8A">
            <w:pPr>
              <w:pStyle w:val="ListParagraph"/>
              <w:numPr>
                <w:ilvl w:val="0"/>
                <w:numId w:val="46"/>
              </w:numPr>
              <w:spacing w:after="240"/>
              <w:ind w:left="318"/>
              <w:rPr>
                <w:color w:val="FFFFFF" w:themeColor="background1"/>
                <w:sz w:val="20"/>
              </w:rPr>
            </w:pPr>
            <w:r w:rsidRPr="0080285B">
              <w:rPr>
                <w:color w:val="FFFFFF" w:themeColor="background1"/>
                <w:sz w:val="20"/>
              </w:rPr>
              <w:t>Discusse</w:t>
            </w:r>
            <w:r w:rsidR="00790479">
              <w:rPr>
                <w:color w:val="FFFFFF" w:themeColor="background1"/>
                <w:sz w:val="20"/>
              </w:rPr>
              <w:t>d</w:t>
            </w:r>
            <w:r w:rsidRPr="0080285B">
              <w:rPr>
                <w:color w:val="FFFFFF" w:themeColor="background1"/>
                <w:sz w:val="20"/>
              </w:rPr>
              <w:t xml:space="preserve"> specific </w:t>
            </w:r>
            <w:r w:rsidR="00B17AC2">
              <w:rPr>
                <w:color w:val="FFFFFF" w:themeColor="background1"/>
                <w:sz w:val="20"/>
              </w:rPr>
              <w:t>measures taken</w:t>
            </w:r>
            <w:r w:rsidR="00790479">
              <w:rPr>
                <w:color w:val="FFFFFF" w:themeColor="background1"/>
                <w:sz w:val="20"/>
              </w:rPr>
              <w:t xml:space="preserve"> a</w:t>
            </w:r>
            <w:r>
              <w:rPr>
                <w:color w:val="FFFFFF" w:themeColor="background1"/>
                <w:sz w:val="20"/>
              </w:rPr>
              <w:t>nd</w:t>
            </w:r>
            <w:r w:rsidRPr="0080285B">
              <w:rPr>
                <w:color w:val="FFFFFF" w:themeColor="background1"/>
                <w:sz w:val="20"/>
              </w:rPr>
              <w:t xml:space="preserve"> </w:t>
            </w:r>
            <w:r w:rsidR="00C26B1A">
              <w:rPr>
                <w:color w:val="FFFFFF" w:themeColor="background1"/>
                <w:sz w:val="20"/>
              </w:rPr>
              <w:t>effect</w:t>
            </w:r>
            <w:r w:rsidRPr="0080285B">
              <w:rPr>
                <w:color w:val="FFFFFF" w:themeColor="background1"/>
                <w:sz w:val="20"/>
              </w:rPr>
              <w:t xml:space="preserve"> on the issuer</w:t>
            </w:r>
          </w:p>
        </w:tc>
      </w:tr>
      <w:tr w:rsidR="00646FE1" w:rsidRPr="00CF23AB" w14:paraId="627EA2EB" w14:textId="77777777" w:rsidTr="00646FE1">
        <w:tc>
          <w:tcPr>
            <w:tcW w:w="9355" w:type="dxa"/>
            <w:tcBorders>
              <w:top w:val="nil"/>
            </w:tcBorders>
            <w:shd w:val="clear" w:color="auto" w:fill="DBE5F1" w:themeFill="accent1" w:themeFillTint="33"/>
          </w:tcPr>
          <w:p w14:paraId="0C976D8F" w14:textId="48463C0B" w:rsidR="00646FE1" w:rsidRDefault="00646FE1" w:rsidP="00646FE1">
            <w:pPr>
              <w:rPr>
                <w:sz w:val="20"/>
              </w:rPr>
            </w:pPr>
            <w:r w:rsidRPr="00CF23AB">
              <w:rPr>
                <w:sz w:val="20"/>
              </w:rPr>
              <w:t xml:space="preserve">The Company has </w:t>
            </w:r>
            <w:r>
              <w:rPr>
                <w:sz w:val="20"/>
              </w:rPr>
              <w:t xml:space="preserve">implemented several </w:t>
            </w:r>
            <w:r w:rsidR="007B545E" w:rsidRPr="007B545E">
              <w:rPr>
                <w:sz w:val="20"/>
              </w:rPr>
              <w:t>operational responses</w:t>
            </w:r>
            <w:r w:rsidRPr="00CF23AB">
              <w:rPr>
                <w:sz w:val="20"/>
              </w:rPr>
              <w:t xml:space="preserve"> to address the reduced current demand and the high degree of uncertainty in future </w:t>
            </w:r>
            <w:r>
              <w:rPr>
                <w:sz w:val="20"/>
              </w:rPr>
              <w:t>sales</w:t>
            </w:r>
            <w:r w:rsidRPr="00CF23AB">
              <w:rPr>
                <w:sz w:val="20"/>
              </w:rPr>
              <w:t xml:space="preserve">. These </w:t>
            </w:r>
            <w:r>
              <w:rPr>
                <w:sz w:val="20"/>
              </w:rPr>
              <w:t>strategies</w:t>
            </w:r>
            <w:r w:rsidRPr="00CF23AB">
              <w:rPr>
                <w:sz w:val="20"/>
              </w:rPr>
              <w:t xml:space="preserve"> include </w:t>
            </w:r>
            <w:r>
              <w:rPr>
                <w:sz w:val="20"/>
              </w:rPr>
              <w:t xml:space="preserve">an estimated annual reduction of </w:t>
            </w:r>
            <w:r w:rsidRPr="00CF23AB">
              <w:rPr>
                <w:sz w:val="20"/>
              </w:rPr>
              <w:t>$</w:t>
            </w:r>
            <w:r>
              <w:rPr>
                <w:sz w:val="20"/>
              </w:rPr>
              <w:t>25</w:t>
            </w:r>
            <w:r w:rsidRPr="00CF23AB">
              <w:rPr>
                <w:sz w:val="20"/>
              </w:rPr>
              <w:t>M</w:t>
            </w:r>
            <w:r>
              <w:rPr>
                <w:sz w:val="20"/>
              </w:rPr>
              <w:t xml:space="preserve"> in</w:t>
            </w:r>
            <w:r w:rsidRPr="00CF23AB">
              <w:rPr>
                <w:sz w:val="20"/>
              </w:rPr>
              <w:t xml:space="preserve"> </w:t>
            </w:r>
            <w:r>
              <w:rPr>
                <w:sz w:val="20"/>
              </w:rPr>
              <w:t>expenses, a reduction of capital spending and</w:t>
            </w:r>
            <w:r w:rsidRPr="00CF23AB">
              <w:rPr>
                <w:sz w:val="20"/>
              </w:rPr>
              <w:t xml:space="preserve"> generating $</w:t>
            </w:r>
            <w:r>
              <w:rPr>
                <w:sz w:val="20"/>
              </w:rPr>
              <w:t>1</w:t>
            </w:r>
            <w:r w:rsidRPr="00CF23AB">
              <w:rPr>
                <w:sz w:val="20"/>
              </w:rPr>
              <w:t xml:space="preserve">0M in cash from </w:t>
            </w:r>
            <w:r w:rsidR="00B17AC2">
              <w:rPr>
                <w:sz w:val="20"/>
              </w:rPr>
              <w:t xml:space="preserve">non-core </w:t>
            </w:r>
            <w:r w:rsidRPr="00CF23AB">
              <w:rPr>
                <w:sz w:val="20"/>
              </w:rPr>
              <w:t>asset sales. The Company has completed the following actions to reduce costs and meet its stated targets</w:t>
            </w:r>
            <w:r>
              <w:rPr>
                <w:sz w:val="20"/>
              </w:rPr>
              <w:t xml:space="preserve"> as at September 30, 2020:</w:t>
            </w:r>
          </w:p>
          <w:p w14:paraId="2852AC7D" w14:textId="77777777" w:rsidR="00646FE1" w:rsidRPr="00CF23AB" w:rsidRDefault="00646FE1" w:rsidP="00646FE1">
            <w:pPr>
              <w:rPr>
                <w:sz w:val="20"/>
              </w:rPr>
            </w:pPr>
          </w:p>
          <w:p w14:paraId="06B01154" w14:textId="77777777" w:rsidR="00646FE1" w:rsidRDefault="00646FE1" w:rsidP="00275D8A">
            <w:pPr>
              <w:pStyle w:val="ListParagraph"/>
              <w:numPr>
                <w:ilvl w:val="0"/>
                <w:numId w:val="36"/>
              </w:numPr>
              <w:ind w:left="318"/>
              <w:rPr>
                <w:sz w:val="20"/>
              </w:rPr>
            </w:pPr>
            <w:r w:rsidRPr="00CF23AB">
              <w:rPr>
                <w:sz w:val="20"/>
              </w:rPr>
              <w:t>Suspension of the quarterly dividend commencing in Q2, 2020 (anticipated to remain in effect until at l</w:t>
            </w:r>
            <w:r>
              <w:rPr>
                <w:sz w:val="20"/>
              </w:rPr>
              <w:t>e</w:t>
            </w:r>
            <w:r w:rsidRPr="00CF23AB">
              <w:rPr>
                <w:sz w:val="20"/>
              </w:rPr>
              <w:t xml:space="preserve">ast </w:t>
            </w:r>
            <w:r>
              <w:rPr>
                <w:sz w:val="20"/>
              </w:rPr>
              <w:t>Q2</w:t>
            </w:r>
            <w:r w:rsidRPr="00CF23AB">
              <w:rPr>
                <w:sz w:val="20"/>
              </w:rPr>
              <w:t xml:space="preserve"> 2021)</w:t>
            </w:r>
            <w:r>
              <w:rPr>
                <w:sz w:val="20"/>
              </w:rPr>
              <w:t>.</w:t>
            </w:r>
          </w:p>
          <w:p w14:paraId="2B9575CB" w14:textId="77777777" w:rsidR="00646FE1" w:rsidRPr="00F26364" w:rsidRDefault="00646FE1" w:rsidP="00646FE1">
            <w:pPr>
              <w:ind w:left="-42"/>
              <w:rPr>
                <w:sz w:val="20"/>
              </w:rPr>
            </w:pPr>
          </w:p>
          <w:p w14:paraId="2DF8F592" w14:textId="77777777" w:rsidR="00B75BF1" w:rsidRDefault="00B75BF1" w:rsidP="00B75BF1">
            <w:pPr>
              <w:pStyle w:val="ListParagraph"/>
              <w:numPr>
                <w:ilvl w:val="0"/>
                <w:numId w:val="64"/>
              </w:numPr>
              <w:ind w:left="318"/>
              <w:rPr>
                <w:sz w:val="20"/>
              </w:rPr>
            </w:pPr>
            <w:r>
              <w:rPr>
                <w:sz w:val="20"/>
              </w:rPr>
              <w:t>Reduced Board of Director compensation by 40% and executive compensation by 25% resulting in an estimated reduction in compensation costs of $3M for fiscal 2020.</w:t>
            </w:r>
          </w:p>
          <w:p w14:paraId="42F19DAF" w14:textId="77777777" w:rsidR="00B75BF1" w:rsidRDefault="00B75BF1" w:rsidP="00B75BF1">
            <w:pPr>
              <w:rPr>
                <w:sz w:val="20"/>
              </w:rPr>
            </w:pPr>
          </w:p>
          <w:p w14:paraId="4A3B0C87" w14:textId="77777777" w:rsidR="00B75BF1" w:rsidRDefault="00B75BF1" w:rsidP="00B75BF1">
            <w:pPr>
              <w:pStyle w:val="ListParagraph"/>
              <w:numPr>
                <w:ilvl w:val="0"/>
                <w:numId w:val="64"/>
              </w:numPr>
              <w:ind w:left="318"/>
              <w:rPr>
                <w:sz w:val="20"/>
              </w:rPr>
            </w:pPr>
            <w:r>
              <w:rPr>
                <w:sz w:val="20"/>
              </w:rPr>
              <w:t>Elimination of all non-essential travel, entertainment and other discretionary spending estimated to reduce annual costs by $8M</w:t>
            </w:r>
          </w:p>
          <w:p w14:paraId="565C7B98" w14:textId="77777777" w:rsidR="00B75BF1" w:rsidRDefault="00B75BF1" w:rsidP="00B75BF1">
            <w:pPr>
              <w:rPr>
                <w:sz w:val="20"/>
              </w:rPr>
            </w:pPr>
          </w:p>
          <w:p w14:paraId="34FE6D48" w14:textId="77777777" w:rsidR="00B75BF1" w:rsidRDefault="00B75BF1" w:rsidP="00B75BF1">
            <w:pPr>
              <w:pStyle w:val="ListParagraph"/>
              <w:numPr>
                <w:ilvl w:val="0"/>
                <w:numId w:val="64"/>
              </w:numPr>
              <w:ind w:left="318"/>
              <w:rPr>
                <w:sz w:val="20"/>
              </w:rPr>
            </w:pPr>
            <w:r>
              <w:rPr>
                <w:sz w:val="20"/>
              </w:rPr>
              <w:t>Reduction of purchases of property, plant and equipment to approximately $30.0 million over the next 12 months</w:t>
            </w:r>
          </w:p>
          <w:p w14:paraId="1FB32EB0" w14:textId="77777777" w:rsidR="00B75BF1" w:rsidRDefault="00B75BF1" w:rsidP="00B75BF1">
            <w:pPr>
              <w:rPr>
                <w:sz w:val="20"/>
              </w:rPr>
            </w:pPr>
          </w:p>
          <w:p w14:paraId="0DF08D68" w14:textId="6B64916C" w:rsidR="00646FE1" w:rsidRDefault="00B75BF1" w:rsidP="00B75BF1">
            <w:pPr>
              <w:pStyle w:val="ListParagraph"/>
              <w:numPr>
                <w:ilvl w:val="0"/>
                <w:numId w:val="64"/>
              </w:numPr>
              <w:ind w:left="318"/>
              <w:rPr>
                <w:sz w:val="20"/>
              </w:rPr>
            </w:pPr>
            <w:r>
              <w:rPr>
                <w:sz w:val="20"/>
              </w:rPr>
              <w:t>Sales of non-core assets of $5M in Q3, 2020 with additional sales of non-core assets of $5M anticipated to be completed in Q4, 2020.</w:t>
            </w:r>
          </w:p>
          <w:p w14:paraId="0C2BD03A" w14:textId="77777777" w:rsidR="00B75BF1" w:rsidRPr="00B75BF1" w:rsidRDefault="00B75BF1" w:rsidP="00B75BF1">
            <w:pPr>
              <w:rPr>
                <w:sz w:val="20"/>
              </w:rPr>
            </w:pPr>
          </w:p>
          <w:p w14:paraId="606D7717" w14:textId="77777777" w:rsidR="00646FE1" w:rsidRPr="001451AA" w:rsidRDefault="00646FE1" w:rsidP="00275D8A">
            <w:pPr>
              <w:pStyle w:val="ListParagraph"/>
              <w:numPr>
                <w:ilvl w:val="0"/>
                <w:numId w:val="36"/>
              </w:numPr>
              <w:spacing w:after="240"/>
              <w:ind w:left="318"/>
              <w:rPr>
                <w:sz w:val="20"/>
              </w:rPr>
            </w:pPr>
            <w:r w:rsidRPr="00CF23AB">
              <w:rPr>
                <w:sz w:val="20"/>
              </w:rPr>
              <w:t>Taking advantage of the Canadian Emergency Wage Subsidy Program (CEWS) to help offset the reduction in revenues. The Company realized $</w:t>
            </w:r>
            <w:r>
              <w:rPr>
                <w:sz w:val="20"/>
              </w:rPr>
              <w:t>6</w:t>
            </w:r>
            <w:r w:rsidRPr="00CF23AB">
              <w:rPr>
                <w:sz w:val="20"/>
              </w:rPr>
              <w:t>M under this program for Q3, 2020</w:t>
            </w:r>
            <w:r>
              <w:rPr>
                <w:sz w:val="20"/>
              </w:rPr>
              <w:t xml:space="preserve"> which is recorded as a reduction in SG&amp;A expenses</w:t>
            </w:r>
            <w:r w:rsidRPr="00CF23AB">
              <w:rPr>
                <w:sz w:val="20"/>
              </w:rPr>
              <w:t>. The Company expects it will continue to qualify for this program for the balance of 2020.</w:t>
            </w:r>
          </w:p>
        </w:tc>
      </w:tr>
      <w:bookmarkEnd w:id="14"/>
    </w:tbl>
    <w:p w14:paraId="2F3CEAFD" w14:textId="77777777" w:rsidR="00646FE1" w:rsidRDefault="00646FE1" w:rsidP="00646FE1">
      <w:pPr>
        <w:spacing w:after="240"/>
        <w:jc w:val="both"/>
        <w:rPr>
          <w:sz w:val="20"/>
        </w:rPr>
      </w:pPr>
    </w:p>
    <w:p w14:paraId="65A7D3B2" w14:textId="77777777" w:rsidR="00320F78" w:rsidRDefault="00320F78" w:rsidP="00646FE1">
      <w:pPr>
        <w:spacing w:after="240"/>
        <w:jc w:val="both"/>
        <w:outlineLvl w:val="2"/>
        <w:rPr>
          <w:b/>
          <w:bCs/>
          <w:color w:val="1F497D" w:themeColor="text2"/>
          <w:sz w:val="20"/>
        </w:rPr>
      </w:pPr>
      <w:bookmarkStart w:id="15" w:name="_Toc62334916"/>
    </w:p>
    <w:p w14:paraId="4F0FA8AD" w14:textId="1752FC5A" w:rsidR="00646FE1" w:rsidRPr="00643DFB" w:rsidRDefault="00B654D6" w:rsidP="00646FE1">
      <w:pPr>
        <w:spacing w:after="240"/>
        <w:jc w:val="both"/>
        <w:outlineLvl w:val="2"/>
        <w:rPr>
          <w:b/>
          <w:bCs/>
          <w:color w:val="1F497D" w:themeColor="text2"/>
          <w:sz w:val="20"/>
        </w:rPr>
      </w:pPr>
      <w:r w:rsidRPr="00B654D6">
        <w:rPr>
          <w:b/>
          <w:bCs/>
          <w:color w:val="1F497D" w:themeColor="text2"/>
          <w:sz w:val="20"/>
        </w:rPr>
        <w:t>B.1.</w:t>
      </w:r>
      <w:r>
        <w:rPr>
          <w:b/>
          <w:bCs/>
          <w:color w:val="1F497D" w:themeColor="text2"/>
          <w:sz w:val="20"/>
        </w:rPr>
        <w:t>3</w:t>
      </w:r>
      <w:r w:rsidR="00646FE1" w:rsidRPr="00643DFB">
        <w:rPr>
          <w:b/>
          <w:bCs/>
          <w:color w:val="1F497D" w:themeColor="text2"/>
          <w:sz w:val="20"/>
        </w:rPr>
        <w:t xml:space="preserve"> Liquidity and Capital Resources</w:t>
      </w:r>
      <w:bookmarkEnd w:id="15"/>
      <w:r w:rsidR="00646FE1" w:rsidRPr="00643DFB">
        <w:rPr>
          <w:b/>
          <w:bCs/>
          <w:color w:val="1F497D" w:themeColor="text2"/>
          <w:sz w:val="20"/>
        </w:rPr>
        <w:t xml:space="preserve"> </w:t>
      </w:r>
    </w:p>
    <w:p w14:paraId="26C6DA9A" w14:textId="77777777" w:rsidR="00646FE1" w:rsidRPr="00CF23AB" w:rsidRDefault="00646FE1" w:rsidP="00646FE1">
      <w:pPr>
        <w:spacing w:after="240"/>
        <w:jc w:val="both"/>
        <w:rPr>
          <w:b/>
          <w:bCs/>
          <w:sz w:val="20"/>
          <w:u w:val="single"/>
          <w:lang w:eastAsia="fr-CA"/>
        </w:rPr>
      </w:pPr>
      <w:r w:rsidRPr="00CF23AB">
        <w:rPr>
          <w:b/>
          <w:bCs/>
          <w:sz w:val="20"/>
          <w:u w:val="single"/>
          <w:lang w:eastAsia="fr-CA"/>
        </w:rPr>
        <w:t xml:space="preserve">Example of </w:t>
      </w:r>
      <w:r>
        <w:rPr>
          <w:b/>
          <w:bCs/>
          <w:sz w:val="20"/>
          <w:u w:val="single"/>
          <w:lang w:eastAsia="fr-CA"/>
        </w:rPr>
        <w:t>boilerplate</w:t>
      </w:r>
      <w:r w:rsidRPr="00CF23AB">
        <w:rPr>
          <w:b/>
          <w:bCs/>
          <w:sz w:val="20"/>
          <w:u w:val="single"/>
          <w:lang w:eastAsia="fr-CA"/>
        </w:rPr>
        <w:t xml:space="preserve"> disclosure</w:t>
      </w:r>
    </w:p>
    <w:tbl>
      <w:tblPr>
        <w:tblStyle w:val="TableGrid"/>
        <w:tblW w:w="0" w:type="auto"/>
        <w:tblInd w:w="1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9072"/>
      </w:tblGrid>
      <w:tr w:rsidR="00646FE1" w:rsidRPr="00CF23AB" w14:paraId="10FE9548" w14:textId="77777777" w:rsidTr="00646FE1">
        <w:tc>
          <w:tcPr>
            <w:tcW w:w="9072" w:type="dxa"/>
            <w:shd w:val="clear" w:color="auto" w:fill="4F81BD" w:themeFill="accent1"/>
          </w:tcPr>
          <w:p w14:paraId="35BD130C" w14:textId="77777777" w:rsidR="00646FE1" w:rsidRPr="0014193F" w:rsidRDefault="00646FE1" w:rsidP="00646FE1">
            <w:pPr>
              <w:jc w:val="both"/>
              <w:rPr>
                <w:b/>
                <w:bCs/>
                <w:color w:val="FFFFFF" w:themeColor="background1"/>
                <w:sz w:val="20"/>
              </w:rPr>
            </w:pPr>
            <w:r w:rsidRPr="0014193F">
              <w:rPr>
                <w:b/>
                <w:bCs/>
                <w:color w:val="FFFFFF" w:themeColor="background1"/>
                <w:sz w:val="20"/>
              </w:rPr>
              <w:t xml:space="preserve">EXAMPLE </w:t>
            </w:r>
            <w:r w:rsidR="00B654D6" w:rsidRPr="00B654D6">
              <w:rPr>
                <w:b/>
                <w:bCs/>
                <w:color w:val="FFFFFF" w:themeColor="background1"/>
                <w:sz w:val="20"/>
              </w:rPr>
              <w:t>B.1.3</w:t>
            </w:r>
            <w:r w:rsidRPr="0014193F">
              <w:rPr>
                <w:b/>
                <w:bCs/>
                <w:color w:val="FFFFFF" w:themeColor="background1"/>
                <w:sz w:val="20"/>
              </w:rPr>
              <w:t>(</w:t>
            </w:r>
            <w:r>
              <w:rPr>
                <w:b/>
                <w:bCs/>
                <w:color w:val="FFFFFF" w:themeColor="background1"/>
                <w:sz w:val="20"/>
              </w:rPr>
              <w:t>a</w:t>
            </w:r>
            <w:r w:rsidRPr="0014193F">
              <w:rPr>
                <w:b/>
                <w:bCs/>
                <w:color w:val="FFFFFF" w:themeColor="background1"/>
                <w:sz w:val="20"/>
              </w:rPr>
              <w:t>)</w:t>
            </w:r>
          </w:p>
          <w:p w14:paraId="319089AE" w14:textId="77777777" w:rsidR="00646FE1" w:rsidRPr="0014193F" w:rsidRDefault="00646FE1" w:rsidP="00275D8A">
            <w:pPr>
              <w:pStyle w:val="ListParagraph"/>
              <w:numPr>
                <w:ilvl w:val="0"/>
                <w:numId w:val="46"/>
              </w:numPr>
              <w:spacing w:after="240"/>
              <w:ind w:left="318"/>
              <w:jc w:val="both"/>
              <w:rPr>
                <w:color w:val="FFFFFF" w:themeColor="background1"/>
                <w:sz w:val="20"/>
                <w:lang w:eastAsia="fr-CA"/>
              </w:rPr>
            </w:pPr>
            <w:r w:rsidRPr="0014193F">
              <w:rPr>
                <w:color w:val="FFFFFF" w:themeColor="background1"/>
                <w:sz w:val="20"/>
                <w:lang w:eastAsia="fr-CA"/>
              </w:rPr>
              <w:t>D</w:t>
            </w:r>
            <w:r>
              <w:rPr>
                <w:color w:val="FFFFFF" w:themeColor="background1"/>
                <w:sz w:val="20"/>
                <w:lang w:eastAsia="fr-CA"/>
              </w:rPr>
              <w:t>id not discuss covenant terms or provide for an understanding of liquidity risk</w:t>
            </w:r>
          </w:p>
        </w:tc>
      </w:tr>
      <w:tr w:rsidR="00646FE1" w:rsidRPr="00CF23AB" w14:paraId="08C3D89F" w14:textId="77777777" w:rsidTr="00646FE1">
        <w:tc>
          <w:tcPr>
            <w:tcW w:w="9072" w:type="dxa"/>
          </w:tcPr>
          <w:p w14:paraId="66561C10" w14:textId="77777777" w:rsidR="00646FE1" w:rsidRDefault="00646FE1" w:rsidP="00646FE1">
            <w:pPr>
              <w:jc w:val="both"/>
              <w:rPr>
                <w:sz w:val="20"/>
                <w:lang w:eastAsia="fr-CA"/>
              </w:rPr>
            </w:pPr>
            <w:r>
              <w:rPr>
                <w:sz w:val="20"/>
                <w:lang w:eastAsia="fr-CA"/>
              </w:rPr>
              <w:t xml:space="preserve">The Company is currently in compliance with the financial covenants under its credit facility.  The Company </w:t>
            </w:r>
          </w:p>
          <w:p w14:paraId="107F8FFF" w14:textId="77777777" w:rsidR="00646FE1" w:rsidRPr="00CF23AB" w:rsidRDefault="00646FE1" w:rsidP="00646FE1">
            <w:pPr>
              <w:jc w:val="both"/>
              <w:rPr>
                <w:sz w:val="20"/>
                <w:lang w:eastAsia="fr-CA"/>
              </w:rPr>
            </w:pPr>
            <w:r>
              <w:rPr>
                <w:sz w:val="20"/>
                <w:lang w:eastAsia="fr-CA"/>
              </w:rPr>
              <w:t xml:space="preserve">expects that the COVID-19 pandemic may impact covenant compliance in future periods and has entered into an amending agreement with lenders and will be subject to revised measures for Q4 2020. </w:t>
            </w:r>
          </w:p>
        </w:tc>
      </w:tr>
    </w:tbl>
    <w:p w14:paraId="02FDC035" w14:textId="341B4863" w:rsidR="00646FE1" w:rsidRPr="00F364AD" w:rsidRDefault="00646FE1" w:rsidP="00646FE1">
      <w:pPr>
        <w:spacing w:after="240"/>
        <w:jc w:val="both"/>
        <w:rPr>
          <w:b/>
          <w:bCs/>
          <w:sz w:val="20"/>
          <w:u w:val="single"/>
          <w:lang w:eastAsia="fr-CA"/>
        </w:rPr>
      </w:pPr>
      <w:r w:rsidRPr="00CF23AB">
        <w:rPr>
          <w:b/>
          <w:bCs/>
          <w:sz w:val="20"/>
          <w:u w:val="single"/>
          <w:lang w:eastAsia="fr-CA"/>
        </w:rPr>
        <w:t xml:space="preserve">Example of </w:t>
      </w:r>
      <w:r w:rsidR="00731382">
        <w:rPr>
          <w:b/>
          <w:bCs/>
          <w:sz w:val="20"/>
          <w:u w:val="single"/>
          <w:lang w:eastAsia="fr-CA"/>
        </w:rPr>
        <w:t>improved</w:t>
      </w:r>
      <w:r w:rsidRPr="00CF23AB">
        <w:rPr>
          <w:b/>
          <w:bCs/>
          <w:sz w:val="20"/>
          <w:u w:val="single"/>
          <w:lang w:eastAsia="fr-CA"/>
        </w:rPr>
        <w:t xml:space="preserve"> disclosure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shd w:val="clear" w:color="auto" w:fill="EEECE1" w:themeFill="background2"/>
        <w:tblLook w:val="04A0" w:firstRow="1" w:lastRow="0" w:firstColumn="1" w:lastColumn="0" w:noHBand="0" w:noVBand="1"/>
      </w:tblPr>
      <w:tblGrid>
        <w:gridCol w:w="9350"/>
      </w:tblGrid>
      <w:tr w:rsidR="00646FE1" w:rsidRPr="003020CC" w14:paraId="7FCF5D77" w14:textId="77777777" w:rsidTr="00646FE1">
        <w:tc>
          <w:tcPr>
            <w:tcW w:w="9350" w:type="dxa"/>
            <w:tcBorders>
              <w:top w:val="single" w:sz="4" w:space="0" w:color="4F81BD" w:themeColor="accent1"/>
              <w:bottom w:val="nil"/>
            </w:tcBorders>
            <w:shd w:val="clear" w:color="auto" w:fill="4F81BD" w:themeFill="accent1"/>
          </w:tcPr>
          <w:p w14:paraId="5BC36900" w14:textId="77777777" w:rsidR="00646FE1" w:rsidRPr="003020CC" w:rsidRDefault="00646FE1" w:rsidP="00646FE1">
            <w:pPr>
              <w:pStyle w:val="ListParagraph"/>
              <w:spacing w:after="240"/>
              <w:ind w:left="0"/>
              <w:jc w:val="both"/>
              <w:rPr>
                <w:color w:val="FFFFFF" w:themeColor="background1"/>
                <w:sz w:val="20"/>
              </w:rPr>
            </w:pPr>
            <w:r w:rsidRPr="003020CC">
              <w:rPr>
                <w:b/>
                <w:bCs/>
                <w:color w:val="FFFFFF" w:themeColor="background1"/>
                <w:sz w:val="20"/>
              </w:rPr>
              <w:t xml:space="preserve">EXAMPLE </w:t>
            </w:r>
            <w:r w:rsidR="002B6E85" w:rsidRPr="00B654D6">
              <w:rPr>
                <w:b/>
                <w:bCs/>
                <w:color w:val="FFFFFF" w:themeColor="background1"/>
                <w:sz w:val="20"/>
              </w:rPr>
              <w:t>B.1.3</w:t>
            </w:r>
            <w:r w:rsidRPr="003020CC">
              <w:rPr>
                <w:b/>
                <w:bCs/>
                <w:color w:val="FFFFFF" w:themeColor="background1"/>
                <w:sz w:val="20"/>
              </w:rPr>
              <w:t>(</w:t>
            </w:r>
            <w:r>
              <w:rPr>
                <w:b/>
                <w:bCs/>
                <w:color w:val="FFFFFF" w:themeColor="background1"/>
                <w:sz w:val="20"/>
              </w:rPr>
              <w:t>b</w:t>
            </w:r>
            <w:r w:rsidRPr="003020CC">
              <w:rPr>
                <w:b/>
                <w:bCs/>
                <w:color w:val="FFFFFF" w:themeColor="background1"/>
                <w:sz w:val="20"/>
              </w:rPr>
              <w:t>)</w:t>
            </w:r>
            <w:r w:rsidRPr="003020CC">
              <w:rPr>
                <w:color w:val="FFFFFF" w:themeColor="background1"/>
                <w:sz w:val="20"/>
              </w:rPr>
              <w:t xml:space="preserve"> </w:t>
            </w:r>
          </w:p>
          <w:p w14:paraId="72A0043C" w14:textId="77777777" w:rsidR="00646FE1" w:rsidRPr="005809C2" w:rsidRDefault="00646FE1" w:rsidP="00275D8A">
            <w:pPr>
              <w:pStyle w:val="ListParagraph"/>
              <w:numPr>
                <w:ilvl w:val="0"/>
                <w:numId w:val="46"/>
              </w:numPr>
              <w:spacing w:after="240"/>
              <w:ind w:left="318"/>
              <w:jc w:val="both"/>
              <w:rPr>
                <w:color w:val="FFFFFF" w:themeColor="background1"/>
                <w:sz w:val="20"/>
              </w:rPr>
            </w:pPr>
            <w:r w:rsidRPr="005809C2">
              <w:rPr>
                <w:color w:val="FFFFFF" w:themeColor="background1"/>
                <w:sz w:val="20"/>
              </w:rPr>
              <w:t>Provide</w:t>
            </w:r>
            <w:r w:rsidR="00790479">
              <w:rPr>
                <w:color w:val="FFFFFF" w:themeColor="background1"/>
                <w:sz w:val="20"/>
              </w:rPr>
              <w:t>d</w:t>
            </w:r>
            <w:r w:rsidRPr="005809C2">
              <w:rPr>
                <w:color w:val="FFFFFF" w:themeColor="background1"/>
                <w:sz w:val="20"/>
              </w:rPr>
              <w:t xml:space="preserve"> quantitative and qualitative disclosure to understand compliance with financial covenants and related liquidity risk</w:t>
            </w:r>
          </w:p>
        </w:tc>
      </w:tr>
      <w:tr w:rsidR="00646FE1" w:rsidRPr="00CF23AB" w14:paraId="016CEFE3" w14:textId="77777777" w:rsidTr="00646FE1">
        <w:tc>
          <w:tcPr>
            <w:tcW w:w="9350" w:type="dxa"/>
            <w:tcBorders>
              <w:top w:val="nil"/>
            </w:tcBorders>
            <w:shd w:val="clear" w:color="auto" w:fill="DBE5F1" w:themeFill="accent1" w:themeFillTint="33"/>
          </w:tcPr>
          <w:p w14:paraId="51419F2E" w14:textId="77777777" w:rsidR="00646FE1" w:rsidRPr="00CF23AB" w:rsidRDefault="00646FE1" w:rsidP="00646FE1">
            <w:pPr>
              <w:pStyle w:val="ListParagraph"/>
              <w:spacing w:after="240"/>
              <w:ind w:left="0"/>
              <w:jc w:val="both"/>
              <w:rPr>
                <w:sz w:val="20"/>
              </w:rPr>
            </w:pPr>
            <w:r w:rsidRPr="00CF23AB">
              <w:rPr>
                <w:sz w:val="20"/>
              </w:rPr>
              <w:t>The Company’s lending agreements require the Company to comply with the following covenants: maximum leverage ratio of 4.5 and minimum interest coverage ratio of 2.75. Calculation of financial covenants for Q3 2020 is as follows:</w:t>
            </w:r>
          </w:p>
          <w:p w14:paraId="5D8498C7" w14:textId="77777777" w:rsidR="00646FE1" w:rsidRPr="00CF23AB" w:rsidRDefault="00646FE1" w:rsidP="00646FE1">
            <w:pPr>
              <w:pStyle w:val="ListParagraph"/>
              <w:spacing w:after="240"/>
              <w:ind w:left="0"/>
              <w:jc w:val="both"/>
              <w:rPr>
                <w:sz w:val="2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0"/>
              <w:gridCol w:w="2880"/>
              <w:gridCol w:w="2880"/>
            </w:tblGrid>
            <w:tr w:rsidR="00646FE1" w:rsidRPr="00CF23AB" w14:paraId="00869A34" w14:textId="77777777" w:rsidTr="00646FE1">
              <w:tc>
                <w:tcPr>
                  <w:tcW w:w="2870" w:type="dxa"/>
                </w:tcPr>
                <w:p w14:paraId="42E5E7CE" w14:textId="77777777" w:rsidR="00646FE1" w:rsidRPr="00CF23AB" w:rsidRDefault="00646FE1" w:rsidP="00646FE1">
                  <w:pPr>
                    <w:pStyle w:val="ListParagraph"/>
                    <w:spacing w:after="240"/>
                    <w:ind w:left="0"/>
                    <w:jc w:val="both"/>
                    <w:rPr>
                      <w:sz w:val="20"/>
                    </w:rPr>
                  </w:pPr>
                </w:p>
              </w:tc>
              <w:tc>
                <w:tcPr>
                  <w:tcW w:w="2880" w:type="dxa"/>
                </w:tcPr>
                <w:p w14:paraId="08FA97B1" w14:textId="77777777" w:rsidR="00646FE1" w:rsidRPr="00CF23AB" w:rsidRDefault="00646FE1" w:rsidP="00646FE1">
                  <w:pPr>
                    <w:pStyle w:val="ListParagraph"/>
                    <w:spacing w:after="240"/>
                    <w:ind w:left="0"/>
                    <w:jc w:val="both"/>
                    <w:rPr>
                      <w:sz w:val="20"/>
                      <w:u w:val="single"/>
                    </w:rPr>
                  </w:pPr>
                  <w:r w:rsidRPr="00CF23AB">
                    <w:rPr>
                      <w:sz w:val="20"/>
                      <w:u w:val="single"/>
                    </w:rPr>
                    <w:t>September 30, 2020</w:t>
                  </w:r>
                </w:p>
              </w:tc>
              <w:tc>
                <w:tcPr>
                  <w:tcW w:w="2880" w:type="dxa"/>
                </w:tcPr>
                <w:p w14:paraId="109A0A37" w14:textId="77777777" w:rsidR="00646FE1" w:rsidRPr="00CF23AB" w:rsidRDefault="00646FE1" w:rsidP="00646FE1">
                  <w:pPr>
                    <w:pStyle w:val="ListParagraph"/>
                    <w:spacing w:after="240"/>
                    <w:ind w:left="0"/>
                    <w:jc w:val="both"/>
                    <w:rPr>
                      <w:sz w:val="20"/>
                      <w:u w:val="single"/>
                    </w:rPr>
                  </w:pPr>
                  <w:r w:rsidRPr="00CF23AB">
                    <w:rPr>
                      <w:sz w:val="20"/>
                      <w:u w:val="single"/>
                    </w:rPr>
                    <w:t>September 30, 2019</w:t>
                  </w:r>
                </w:p>
              </w:tc>
            </w:tr>
            <w:tr w:rsidR="00646FE1" w:rsidRPr="00CF23AB" w14:paraId="2AEA47A4" w14:textId="77777777" w:rsidTr="00646FE1">
              <w:tc>
                <w:tcPr>
                  <w:tcW w:w="2870" w:type="dxa"/>
                </w:tcPr>
                <w:p w14:paraId="46D67589" w14:textId="77777777" w:rsidR="00646FE1" w:rsidRPr="00CF23AB" w:rsidRDefault="00646FE1" w:rsidP="00646FE1">
                  <w:pPr>
                    <w:pStyle w:val="ListParagraph"/>
                    <w:spacing w:after="240"/>
                    <w:ind w:left="0"/>
                    <w:jc w:val="both"/>
                    <w:rPr>
                      <w:sz w:val="20"/>
                    </w:rPr>
                  </w:pPr>
                  <w:r w:rsidRPr="00CF23AB">
                    <w:rPr>
                      <w:sz w:val="20"/>
                    </w:rPr>
                    <w:t>Interest Coverage Ratio</w:t>
                  </w:r>
                </w:p>
              </w:tc>
              <w:tc>
                <w:tcPr>
                  <w:tcW w:w="2880" w:type="dxa"/>
                </w:tcPr>
                <w:p w14:paraId="2C67EEE6" w14:textId="77777777" w:rsidR="00646FE1" w:rsidRPr="00CF23AB" w:rsidRDefault="00646FE1" w:rsidP="00646FE1">
                  <w:pPr>
                    <w:pStyle w:val="ListParagraph"/>
                    <w:spacing w:after="240"/>
                    <w:ind w:left="0"/>
                    <w:jc w:val="center"/>
                    <w:rPr>
                      <w:sz w:val="20"/>
                    </w:rPr>
                  </w:pPr>
                  <w:r w:rsidRPr="00CF23AB">
                    <w:rPr>
                      <w:sz w:val="20"/>
                    </w:rPr>
                    <w:t>3.0</w:t>
                  </w:r>
                </w:p>
              </w:tc>
              <w:tc>
                <w:tcPr>
                  <w:tcW w:w="2880" w:type="dxa"/>
                </w:tcPr>
                <w:p w14:paraId="2A44C29A" w14:textId="77777777" w:rsidR="00646FE1" w:rsidRPr="00CF23AB" w:rsidRDefault="00646FE1" w:rsidP="00646FE1">
                  <w:pPr>
                    <w:pStyle w:val="ListParagraph"/>
                    <w:spacing w:after="240"/>
                    <w:ind w:left="0"/>
                    <w:jc w:val="center"/>
                    <w:rPr>
                      <w:sz w:val="20"/>
                    </w:rPr>
                  </w:pPr>
                  <w:r w:rsidRPr="00CF23AB">
                    <w:rPr>
                      <w:sz w:val="20"/>
                    </w:rPr>
                    <w:t>5.0</w:t>
                  </w:r>
                </w:p>
              </w:tc>
            </w:tr>
            <w:tr w:rsidR="00646FE1" w:rsidRPr="00CF23AB" w14:paraId="138BFF80" w14:textId="77777777" w:rsidTr="00646FE1">
              <w:tc>
                <w:tcPr>
                  <w:tcW w:w="2870" w:type="dxa"/>
                </w:tcPr>
                <w:p w14:paraId="78CB332B" w14:textId="77777777" w:rsidR="00646FE1" w:rsidRPr="00CF23AB" w:rsidRDefault="00646FE1" w:rsidP="00646FE1">
                  <w:pPr>
                    <w:pStyle w:val="ListParagraph"/>
                    <w:spacing w:after="240"/>
                    <w:ind w:left="0"/>
                    <w:jc w:val="both"/>
                    <w:rPr>
                      <w:sz w:val="20"/>
                    </w:rPr>
                  </w:pPr>
                  <w:r w:rsidRPr="00CF23AB">
                    <w:rPr>
                      <w:sz w:val="20"/>
                    </w:rPr>
                    <w:t>Total Leverage Ratio</w:t>
                  </w:r>
                </w:p>
              </w:tc>
              <w:tc>
                <w:tcPr>
                  <w:tcW w:w="2880" w:type="dxa"/>
                </w:tcPr>
                <w:p w14:paraId="2676FB99" w14:textId="77777777" w:rsidR="00646FE1" w:rsidRPr="00CF23AB" w:rsidRDefault="00646FE1" w:rsidP="00646FE1">
                  <w:pPr>
                    <w:pStyle w:val="ListParagraph"/>
                    <w:spacing w:after="240"/>
                    <w:ind w:left="0"/>
                    <w:jc w:val="center"/>
                    <w:rPr>
                      <w:sz w:val="20"/>
                    </w:rPr>
                  </w:pPr>
                  <w:r w:rsidRPr="00CF23AB">
                    <w:rPr>
                      <w:sz w:val="20"/>
                    </w:rPr>
                    <w:t>4.0</w:t>
                  </w:r>
                </w:p>
              </w:tc>
              <w:tc>
                <w:tcPr>
                  <w:tcW w:w="2880" w:type="dxa"/>
                </w:tcPr>
                <w:p w14:paraId="3D9EE38A" w14:textId="77777777" w:rsidR="00646FE1" w:rsidRPr="00CF23AB" w:rsidRDefault="00646FE1" w:rsidP="00646FE1">
                  <w:pPr>
                    <w:pStyle w:val="ListParagraph"/>
                    <w:spacing w:after="240"/>
                    <w:ind w:left="0"/>
                    <w:jc w:val="center"/>
                    <w:rPr>
                      <w:sz w:val="20"/>
                    </w:rPr>
                  </w:pPr>
                  <w:r w:rsidRPr="00CF23AB">
                    <w:rPr>
                      <w:sz w:val="20"/>
                    </w:rPr>
                    <w:t>3.0</w:t>
                  </w:r>
                </w:p>
              </w:tc>
            </w:tr>
          </w:tbl>
          <w:p w14:paraId="7CD58738" w14:textId="77777777" w:rsidR="00646FE1" w:rsidRPr="00CF23AB" w:rsidRDefault="00646FE1" w:rsidP="00646FE1">
            <w:pPr>
              <w:pStyle w:val="ListParagraph"/>
              <w:spacing w:after="240"/>
              <w:ind w:left="0"/>
              <w:jc w:val="both"/>
              <w:rPr>
                <w:sz w:val="20"/>
              </w:rPr>
            </w:pPr>
          </w:p>
          <w:p w14:paraId="26B1789D" w14:textId="77777777" w:rsidR="00646FE1" w:rsidRPr="00CF23AB" w:rsidRDefault="00646FE1" w:rsidP="00646FE1">
            <w:pPr>
              <w:pStyle w:val="ListParagraph"/>
              <w:spacing w:after="240"/>
              <w:ind w:left="0"/>
              <w:jc w:val="both"/>
              <w:rPr>
                <w:sz w:val="20"/>
              </w:rPr>
            </w:pPr>
            <w:r w:rsidRPr="00CF23AB">
              <w:rPr>
                <w:sz w:val="20"/>
              </w:rPr>
              <w:t xml:space="preserve">The Company now expects that the combination of lower expected EBITDA in 2020 combined with the Company’s current debt profile and the ongoing uncertainty created by the COVID-19 pandemic, may impact compliance with the total leverage ratio </w:t>
            </w:r>
            <w:r w:rsidR="00B17AC2">
              <w:rPr>
                <w:sz w:val="20"/>
              </w:rPr>
              <w:t xml:space="preserve">and interest coverage </w:t>
            </w:r>
            <w:r w:rsidRPr="00CF23AB">
              <w:rPr>
                <w:sz w:val="20"/>
              </w:rPr>
              <w:t>covenant</w:t>
            </w:r>
            <w:r w:rsidR="00B17AC2">
              <w:rPr>
                <w:sz w:val="20"/>
              </w:rPr>
              <w:t>s</w:t>
            </w:r>
            <w:r w:rsidRPr="00CF23AB">
              <w:rPr>
                <w:sz w:val="20"/>
              </w:rPr>
              <w:t xml:space="preserve"> </w:t>
            </w:r>
            <w:r>
              <w:rPr>
                <w:sz w:val="20"/>
              </w:rPr>
              <w:t>at December 31, 2020</w:t>
            </w:r>
            <w:r w:rsidRPr="00CF23AB">
              <w:rPr>
                <w:sz w:val="20"/>
              </w:rPr>
              <w:t>. Management has been negotiating with its syndicate of lenders and has entered into an amended agreement under its credit facility. Under the amended agreement, the Company is subject to a maximum leverage ratio of 5.</w:t>
            </w:r>
            <w:r>
              <w:rPr>
                <w:sz w:val="20"/>
              </w:rPr>
              <w:t>5</w:t>
            </w:r>
            <w:r w:rsidRPr="00CF23AB">
              <w:rPr>
                <w:sz w:val="20"/>
              </w:rPr>
              <w:t xml:space="preserve"> and minimum interest coverage ratio of 2.5 </w:t>
            </w:r>
            <w:r>
              <w:rPr>
                <w:sz w:val="20"/>
              </w:rPr>
              <w:t>f</w:t>
            </w:r>
            <w:r w:rsidR="00B17AC2">
              <w:rPr>
                <w:sz w:val="20"/>
              </w:rPr>
              <w:t>rom</w:t>
            </w:r>
            <w:r>
              <w:rPr>
                <w:sz w:val="20"/>
              </w:rPr>
              <w:t xml:space="preserve"> Q4, 2020 to Q2, 2021. </w:t>
            </w:r>
            <w:r w:rsidRPr="009700EC">
              <w:rPr>
                <w:sz w:val="20"/>
              </w:rPr>
              <w:t>The Company has incurred fees and expenses of $</w:t>
            </w:r>
            <w:r>
              <w:rPr>
                <w:sz w:val="20"/>
              </w:rPr>
              <w:t xml:space="preserve">1 </w:t>
            </w:r>
            <w:r w:rsidRPr="009700EC">
              <w:rPr>
                <w:sz w:val="20"/>
              </w:rPr>
              <w:t>million to date to implement these amendments and expects to incur another $0.</w:t>
            </w:r>
            <w:r>
              <w:rPr>
                <w:sz w:val="20"/>
              </w:rPr>
              <w:t>5</w:t>
            </w:r>
            <w:r w:rsidRPr="009700EC">
              <w:rPr>
                <w:sz w:val="20"/>
              </w:rPr>
              <w:t xml:space="preserve"> million in </w:t>
            </w:r>
            <w:r>
              <w:rPr>
                <w:sz w:val="20"/>
              </w:rPr>
              <w:t>Q4 2020.</w:t>
            </w:r>
          </w:p>
        </w:tc>
      </w:tr>
    </w:tbl>
    <w:p w14:paraId="4B3B8A91" w14:textId="77777777" w:rsidR="00646FE1" w:rsidRPr="00CF23AB" w:rsidRDefault="00646FE1" w:rsidP="00646FE1">
      <w:pPr>
        <w:autoSpaceDE w:val="0"/>
        <w:autoSpaceDN w:val="0"/>
        <w:adjustRightInd w:val="0"/>
        <w:rPr>
          <w:sz w:val="20"/>
        </w:rPr>
      </w:pPr>
    </w:p>
    <w:p w14:paraId="463FB1DF" w14:textId="77777777" w:rsidR="00646FE1" w:rsidRPr="00CF23AB" w:rsidRDefault="00646FE1" w:rsidP="00646FE1">
      <w:pPr>
        <w:pStyle w:val="ListParagraph"/>
        <w:rPr>
          <w:sz w:val="20"/>
        </w:rPr>
      </w:pPr>
    </w:p>
    <w:p w14:paraId="14978B1C" w14:textId="77777777" w:rsidR="00646FE1" w:rsidRPr="00643DFB" w:rsidRDefault="002B6E85" w:rsidP="00646FE1">
      <w:pPr>
        <w:spacing w:after="240"/>
        <w:jc w:val="both"/>
        <w:outlineLvl w:val="2"/>
        <w:rPr>
          <w:b/>
          <w:bCs/>
          <w:color w:val="1F497D" w:themeColor="text2"/>
          <w:sz w:val="20"/>
        </w:rPr>
      </w:pPr>
      <w:bookmarkStart w:id="16" w:name="_Toc62334917"/>
      <w:r w:rsidRPr="002B6E85">
        <w:rPr>
          <w:b/>
          <w:bCs/>
          <w:color w:val="1F497D" w:themeColor="text2"/>
          <w:sz w:val="20"/>
        </w:rPr>
        <w:t>B.1.</w:t>
      </w:r>
      <w:r>
        <w:rPr>
          <w:b/>
          <w:bCs/>
          <w:color w:val="1F497D" w:themeColor="text2"/>
          <w:sz w:val="20"/>
        </w:rPr>
        <w:t xml:space="preserve">4 </w:t>
      </w:r>
      <w:r w:rsidR="00646FE1" w:rsidRPr="00643DFB">
        <w:rPr>
          <w:b/>
          <w:bCs/>
          <w:color w:val="1F497D" w:themeColor="text2"/>
          <w:sz w:val="20"/>
        </w:rPr>
        <w:t>Risk Factor Disclosure</w:t>
      </w:r>
      <w:bookmarkEnd w:id="16"/>
    </w:p>
    <w:p w14:paraId="14C07582" w14:textId="77777777" w:rsidR="00646FE1" w:rsidRPr="00CF23AB" w:rsidRDefault="00646FE1" w:rsidP="00646FE1">
      <w:pPr>
        <w:spacing w:after="240"/>
        <w:jc w:val="both"/>
        <w:rPr>
          <w:b/>
          <w:bCs/>
          <w:sz w:val="20"/>
          <w:u w:val="single"/>
        </w:rPr>
      </w:pPr>
      <w:r w:rsidRPr="00CF23AB">
        <w:rPr>
          <w:b/>
          <w:bCs/>
          <w:sz w:val="20"/>
          <w:u w:val="single"/>
        </w:rPr>
        <w:t xml:space="preserve">Example of </w:t>
      </w:r>
      <w:r>
        <w:rPr>
          <w:b/>
          <w:bCs/>
          <w:sz w:val="20"/>
          <w:u w:val="single"/>
        </w:rPr>
        <w:t>deficient</w:t>
      </w:r>
      <w:r w:rsidRPr="00CF23AB">
        <w:rPr>
          <w:b/>
          <w:bCs/>
          <w:sz w:val="20"/>
          <w:u w:val="single"/>
        </w:rPr>
        <w:t xml:space="preserve"> </w:t>
      </w:r>
      <w:r>
        <w:rPr>
          <w:b/>
          <w:bCs/>
          <w:sz w:val="20"/>
          <w:u w:val="single"/>
        </w:rPr>
        <w:t>d</w:t>
      </w:r>
      <w:r w:rsidRPr="00CF23AB">
        <w:rPr>
          <w:b/>
          <w:bCs/>
          <w:sz w:val="20"/>
          <w:u w:val="single"/>
        </w:rPr>
        <w:t>isclosure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9350"/>
      </w:tblGrid>
      <w:tr w:rsidR="00646FE1" w:rsidRPr="00E23233" w14:paraId="2F756077" w14:textId="77777777" w:rsidTr="00646FE1">
        <w:trPr>
          <w:trHeight w:val="331"/>
        </w:trPr>
        <w:tc>
          <w:tcPr>
            <w:tcW w:w="9350" w:type="dxa"/>
            <w:shd w:val="clear" w:color="auto" w:fill="4F81BD" w:themeFill="accent1"/>
          </w:tcPr>
          <w:p w14:paraId="3668C8E1" w14:textId="77777777" w:rsidR="00646FE1" w:rsidRPr="00E23233" w:rsidRDefault="00646FE1" w:rsidP="00646FE1">
            <w:pPr>
              <w:jc w:val="both"/>
              <w:rPr>
                <w:color w:val="FFFFFF" w:themeColor="background1"/>
                <w:sz w:val="20"/>
              </w:rPr>
            </w:pPr>
            <w:r w:rsidRPr="00E23233">
              <w:rPr>
                <w:b/>
                <w:bCs/>
                <w:color w:val="FFFFFF" w:themeColor="background1"/>
                <w:sz w:val="20"/>
              </w:rPr>
              <w:t xml:space="preserve">EXAMPLE </w:t>
            </w:r>
            <w:r w:rsidR="002B6E85" w:rsidRPr="002B6E85">
              <w:rPr>
                <w:b/>
                <w:bCs/>
                <w:color w:val="FFFFFF" w:themeColor="background1"/>
                <w:sz w:val="20"/>
              </w:rPr>
              <w:t>B.1.4</w:t>
            </w:r>
            <w:r w:rsidRPr="00E23233">
              <w:rPr>
                <w:b/>
                <w:bCs/>
                <w:color w:val="FFFFFF" w:themeColor="background1"/>
                <w:sz w:val="20"/>
              </w:rPr>
              <w:t>(a)</w:t>
            </w:r>
            <w:r w:rsidRPr="00E23233">
              <w:rPr>
                <w:color w:val="FFFFFF" w:themeColor="background1"/>
                <w:sz w:val="20"/>
              </w:rPr>
              <w:t xml:space="preserve"> </w:t>
            </w:r>
          </w:p>
          <w:p w14:paraId="6CEF329B" w14:textId="77777777" w:rsidR="00646FE1" w:rsidRPr="00121447" w:rsidRDefault="00646FE1" w:rsidP="00275D8A">
            <w:pPr>
              <w:pStyle w:val="ListParagraph"/>
              <w:numPr>
                <w:ilvl w:val="0"/>
                <w:numId w:val="46"/>
              </w:numPr>
              <w:spacing w:after="240"/>
              <w:ind w:left="318"/>
              <w:jc w:val="both"/>
              <w:rPr>
                <w:color w:val="FFFFFF" w:themeColor="background1"/>
                <w:sz w:val="20"/>
              </w:rPr>
            </w:pPr>
            <w:r w:rsidRPr="00121447">
              <w:rPr>
                <w:color w:val="FFFFFF" w:themeColor="background1"/>
                <w:sz w:val="20"/>
              </w:rPr>
              <w:t xml:space="preserve">Disclosure </w:t>
            </w:r>
            <w:r w:rsidR="00790479">
              <w:rPr>
                <w:color w:val="FFFFFF" w:themeColor="background1"/>
                <w:sz w:val="20"/>
              </w:rPr>
              <w:t>was</w:t>
            </w:r>
            <w:r w:rsidRPr="00121447">
              <w:rPr>
                <w:color w:val="FFFFFF" w:themeColor="background1"/>
                <w:sz w:val="20"/>
              </w:rPr>
              <w:t xml:space="preserve"> generic and d</w:t>
            </w:r>
            <w:r w:rsidR="00790479">
              <w:rPr>
                <w:color w:val="FFFFFF" w:themeColor="background1"/>
                <w:sz w:val="20"/>
              </w:rPr>
              <w:t>id</w:t>
            </w:r>
            <w:r w:rsidRPr="00121447">
              <w:rPr>
                <w:color w:val="FFFFFF" w:themeColor="background1"/>
                <w:sz w:val="20"/>
              </w:rPr>
              <w:t xml:space="preserve"> not provide any information on the risks specific to</w:t>
            </w:r>
            <w:r w:rsidR="00DC618A">
              <w:rPr>
                <w:color w:val="FFFFFF" w:themeColor="background1"/>
                <w:sz w:val="20"/>
              </w:rPr>
              <w:t xml:space="preserve"> the</w:t>
            </w:r>
            <w:r w:rsidRPr="00121447">
              <w:rPr>
                <w:color w:val="FFFFFF" w:themeColor="background1"/>
                <w:sz w:val="20"/>
              </w:rPr>
              <w:t xml:space="preserve"> issuer</w:t>
            </w:r>
          </w:p>
        </w:tc>
      </w:tr>
      <w:tr w:rsidR="00646FE1" w:rsidRPr="00CF23AB" w14:paraId="0E1AB882" w14:textId="77777777" w:rsidTr="00646FE1">
        <w:tc>
          <w:tcPr>
            <w:tcW w:w="9350" w:type="dxa"/>
          </w:tcPr>
          <w:p w14:paraId="45028E52" w14:textId="77777777" w:rsidR="00646FE1" w:rsidRPr="00CF23AB" w:rsidRDefault="00646FE1" w:rsidP="00646FE1">
            <w:pPr>
              <w:spacing w:after="240"/>
              <w:jc w:val="both"/>
              <w:rPr>
                <w:sz w:val="20"/>
                <w:highlight w:val="lightGray"/>
              </w:rPr>
            </w:pPr>
            <w:r w:rsidRPr="00CF23AB">
              <w:rPr>
                <w:sz w:val="20"/>
              </w:rPr>
              <w:t>On March 11, 2020, the World Health Organization declared the outbreak of COVID-19</w:t>
            </w:r>
            <w:r w:rsidR="00157A7C">
              <w:rPr>
                <w:sz w:val="20"/>
              </w:rPr>
              <w:t xml:space="preserve"> to be a pandemic.</w:t>
            </w:r>
            <w:r w:rsidRPr="00CF23AB">
              <w:rPr>
                <w:sz w:val="20"/>
              </w:rPr>
              <w:t xml:space="preserve"> Governments have imposed measures to contain the outbreak, including business closures, travel restrictions, quarantines and social distancing measures. The spread of the COVID-19 virus has resulted in a sharp decline in global economic growth as well as causing increased volatility in financial markets. If the COVID-19 pandemic is prolonged, the adverse impact on the global economy could</w:t>
            </w:r>
            <w:r w:rsidR="00157A7C">
              <w:rPr>
                <w:sz w:val="20"/>
              </w:rPr>
              <w:t xml:space="preserve"> worsen. </w:t>
            </w:r>
            <w:r w:rsidRPr="00CF23AB">
              <w:rPr>
                <w:sz w:val="20"/>
              </w:rPr>
              <w:t>Accordingly, the full impact of the COVID-19 is uncertain and may have a material adverse effect on the Company.</w:t>
            </w:r>
          </w:p>
        </w:tc>
      </w:tr>
    </w:tbl>
    <w:p w14:paraId="3225091A" w14:textId="06504985" w:rsidR="00646FE1" w:rsidRDefault="00646FE1" w:rsidP="00646FE1">
      <w:pPr>
        <w:rPr>
          <w:b/>
          <w:bCs/>
          <w:sz w:val="20"/>
          <w:u w:val="single"/>
        </w:rPr>
      </w:pPr>
    </w:p>
    <w:p w14:paraId="1D77053D" w14:textId="6923B73C" w:rsidR="004559A0" w:rsidRDefault="004559A0" w:rsidP="00646FE1">
      <w:pPr>
        <w:rPr>
          <w:b/>
          <w:bCs/>
          <w:sz w:val="20"/>
          <w:u w:val="single"/>
        </w:rPr>
      </w:pPr>
    </w:p>
    <w:p w14:paraId="1A395A0E" w14:textId="77777777" w:rsidR="00320F78" w:rsidRDefault="00320F78" w:rsidP="00646FE1">
      <w:pPr>
        <w:rPr>
          <w:b/>
          <w:bCs/>
          <w:sz w:val="20"/>
          <w:u w:val="single"/>
        </w:rPr>
      </w:pPr>
    </w:p>
    <w:p w14:paraId="51DAF4EC" w14:textId="77777777" w:rsidR="00646FE1" w:rsidRPr="00CF23AB" w:rsidRDefault="00646FE1" w:rsidP="00646FE1">
      <w:pPr>
        <w:spacing w:after="240"/>
        <w:jc w:val="both"/>
        <w:rPr>
          <w:b/>
          <w:bCs/>
          <w:sz w:val="20"/>
        </w:rPr>
      </w:pPr>
      <w:r w:rsidRPr="00CF23AB">
        <w:rPr>
          <w:b/>
          <w:bCs/>
          <w:sz w:val="20"/>
          <w:u w:val="single"/>
        </w:rPr>
        <w:t xml:space="preserve">Examples of </w:t>
      </w:r>
      <w:r>
        <w:rPr>
          <w:b/>
          <w:bCs/>
          <w:sz w:val="20"/>
          <w:u w:val="single"/>
        </w:rPr>
        <w:t>improved</w:t>
      </w:r>
      <w:r w:rsidRPr="00CF23AB">
        <w:rPr>
          <w:b/>
          <w:bCs/>
          <w:sz w:val="20"/>
          <w:u w:val="single"/>
        </w:rPr>
        <w:t xml:space="preserve"> disclosure</w:t>
      </w:r>
      <w:r w:rsidRPr="00CF23AB">
        <w:rPr>
          <w:b/>
          <w:bCs/>
          <w:sz w:val="20"/>
        </w:rPr>
        <w:t xml:space="preserve"> </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shd w:val="clear" w:color="auto" w:fill="EEECE1" w:themeFill="background2"/>
        <w:tblLook w:val="04A0" w:firstRow="1" w:lastRow="0" w:firstColumn="1" w:lastColumn="0" w:noHBand="0" w:noVBand="1"/>
      </w:tblPr>
      <w:tblGrid>
        <w:gridCol w:w="9350"/>
      </w:tblGrid>
      <w:tr w:rsidR="00646FE1" w:rsidRPr="005A6CA3" w14:paraId="1E09039B" w14:textId="77777777" w:rsidTr="000C345D">
        <w:trPr>
          <w:trHeight w:val="221"/>
        </w:trPr>
        <w:tc>
          <w:tcPr>
            <w:tcW w:w="9350" w:type="dxa"/>
            <w:tcBorders>
              <w:top w:val="single" w:sz="4" w:space="0" w:color="4F81BD" w:themeColor="accent1"/>
              <w:bottom w:val="nil"/>
            </w:tcBorders>
            <w:shd w:val="clear" w:color="auto" w:fill="4F81BD" w:themeFill="accent1"/>
          </w:tcPr>
          <w:p w14:paraId="57F2F0B4" w14:textId="77777777" w:rsidR="00646FE1" w:rsidRPr="002210E9" w:rsidRDefault="00646FE1" w:rsidP="002210E9">
            <w:pPr>
              <w:jc w:val="both"/>
              <w:rPr>
                <w:color w:val="FFFFFF" w:themeColor="background1"/>
                <w:sz w:val="20"/>
              </w:rPr>
            </w:pPr>
            <w:r w:rsidRPr="005A6CA3">
              <w:rPr>
                <w:b/>
                <w:bCs/>
                <w:color w:val="FFFFFF" w:themeColor="background1"/>
                <w:sz w:val="20"/>
              </w:rPr>
              <w:t xml:space="preserve">EXAMPLE </w:t>
            </w:r>
            <w:r w:rsidR="002B6E85" w:rsidRPr="002B6E85">
              <w:rPr>
                <w:b/>
                <w:bCs/>
                <w:color w:val="FFFFFF" w:themeColor="background1"/>
                <w:sz w:val="20"/>
              </w:rPr>
              <w:t>B.1.4</w:t>
            </w:r>
            <w:r w:rsidRPr="005A6CA3">
              <w:rPr>
                <w:b/>
                <w:bCs/>
                <w:color w:val="FFFFFF" w:themeColor="background1"/>
                <w:sz w:val="20"/>
              </w:rPr>
              <w:t>(b)</w:t>
            </w:r>
            <w:r w:rsidRPr="005A6CA3">
              <w:rPr>
                <w:color w:val="FFFFFF" w:themeColor="background1"/>
                <w:sz w:val="20"/>
              </w:rPr>
              <w:t xml:space="preserve"> </w:t>
            </w:r>
          </w:p>
        </w:tc>
      </w:tr>
      <w:tr w:rsidR="002210E9" w:rsidRPr="005A6CA3" w14:paraId="49AFB6A7" w14:textId="77777777" w:rsidTr="002210E9">
        <w:trPr>
          <w:trHeight w:val="408"/>
        </w:trPr>
        <w:tc>
          <w:tcPr>
            <w:tcW w:w="9350" w:type="dxa"/>
            <w:tcBorders>
              <w:top w:val="single" w:sz="4" w:space="0" w:color="4F81BD" w:themeColor="accent1"/>
              <w:bottom w:val="nil"/>
            </w:tcBorders>
            <w:shd w:val="clear" w:color="auto" w:fill="4F81BD" w:themeFill="accent1"/>
          </w:tcPr>
          <w:p w14:paraId="5ADC1F75" w14:textId="77777777" w:rsidR="002210E9" w:rsidRPr="005A6CA3" w:rsidRDefault="002210E9" w:rsidP="00646FE1">
            <w:pPr>
              <w:jc w:val="both"/>
              <w:rPr>
                <w:b/>
                <w:bCs/>
                <w:color w:val="FFFFFF" w:themeColor="background1"/>
                <w:sz w:val="20"/>
              </w:rPr>
            </w:pPr>
            <w:r w:rsidRPr="000B6C1A">
              <w:rPr>
                <w:color w:val="FFFFFF" w:themeColor="background1"/>
                <w:sz w:val="20"/>
              </w:rPr>
              <w:t>Provide</w:t>
            </w:r>
            <w:r>
              <w:rPr>
                <w:color w:val="FFFFFF" w:themeColor="background1"/>
                <w:sz w:val="20"/>
              </w:rPr>
              <w:t xml:space="preserve">d </w:t>
            </w:r>
            <w:r w:rsidRPr="000B6C1A">
              <w:rPr>
                <w:color w:val="FFFFFF" w:themeColor="background1"/>
                <w:sz w:val="20"/>
              </w:rPr>
              <w:t>entity-specific disclosure of risks and impacts to the issuer</w:t>
            </w:r>
          </w:p>
        </w:tc>
      </w:tr>
      <w:tr w:rsidR="00646FE1" w:rsidRPr="00CF23AB" w14:paraId="178E3CB2" w14:textId="77777777" w:rsidTr="00646FE1">
        <w:tc>
          <w:tcPr>
            <w:tcW w:w="9350" w:type="dxa"/>
            <w:tcBorders>
              <w:top w:val="nil"/>
            </w:tcBorders>
            <w:shd w:val="clear" w:color="auto" w:fill="DBE5F1" w:themeFill="accent1" w:themeFillTint="33"/>
          </w:tcPr>
          <w:p w14:paraId="74FEF4C3" w14:textId="77777777" w:rsidR="00646FE1" w:rsidRPr="00306BB7" w:rsidRDefault="00646FE1" w:rsidP="00646FE1">
            <w:pPr>
              <w:spacing w:after="240"/>
              <w:jc w:val="both"/>
              <w:rPr>
                <w:sz w:val="20"/>
              </w:rPr>
            </w:pPr>
            <w:r w:rsidRPr="00306BB7">
              <w:rPr>
                <w:sz w:val="20"/>
              </w:rPr>
              <w:t>Based on events and circumstances known to us to date, we believe that the Company may be subject the following risks beyond Q3 2020:</w:t>
            </w:r>
          </w:p>
          <w:p w14:paraId="7400E3B5" w14:textId="77777777" w:rsidR="00646FE1" w:rsidRPr="00306BB7" w:rsidRDefault="00646FE1" w:rsidP="00275D8A">
            <w:pPr>
              <w:pStyle w:val="ListParagraph"/>
              <w:numPr>
                <w:ilvl w:val="0"/>
                <w:numId w:val="46"/>
              </w:numPr>
              <w:spacing w:after="240"/>
              <w:jc w:val="both"/>
              <w:rPr>
                <w:sz w:val="20"/>
              </w:rPr>
            </w:pPr>
            <w:r w:rsidRPr="00306BB7">
              <w:rPr>
                <w:sz w:val="20"/>
              </w:rPr>
              <w:t xml:space="preserve">Consumer demand will continue to be the Company’s most significant </w:t>
            </w:r>
            <w:r w:rsidR="00157A7C">
              <w:rPr>
                <w:sz w:val="20"/>
              </w:rPr>
              <w:t>risk</w:t>
            </w:r>
            <w:r w:rsidRPr="00306BB7">
              <w:rPr>
                <w:sz w:val="20"/>
              </w:rPr>
              <w:t xml:space="preserve"> due to the uncertainty in the global economy, negatively impacting our retail stores.  Many of our stores are located in areas that historically have had higher densities of tourism and will experience a greater negative impact and slower recovery</w:t>
            </w:r>
            <w:r>
              <w:rPr>
                <w:sz w:val="20"/>
              </w:rPr>
              <w:t xml:space="preserve"> than perhaps other retailers</w:t>
            </w:r>
            <w:r w:rsidRPr="00306BB7">
              <w:rPr>
                <w:sz w:val="20"/>
              </w:rPr>
              <w:t>. While eCommerce sales have increased, we expect to continue to incur significant sales losses as overall customer demand and consumer spending is expected to continue to decline, as compared to prior year, in response to COVID-19 and the related global economic impacts.</w:t>
            </w:r>
          </w:p>
          <w:p w14:paraId="612C9528" w14:textId="77777777" w:rsidR="00646FE1" w:rsidRPr="00306BB7" w:rsidRDefault="00646FE1" w:rsidP="00646FE1">
            <w:pPr>
              <w:pStyle w:val="ListParagraph"/>
              <w:spacing w:after="240"/>
              <w:ind w:left="360"/>
              <w:jc w:val="both"/>
              <w:rPr>
                <w:sz w:val="20"/>
              </w:rPr>
            </w:pPr>
          </w:p>
          <w:p w14:paraId="066309DC" w14:textId="77777777" w:rsidR="00646FE1" w:rsidRPr="00306BB7" w:rsidRDefault="00646FE1" w:rsidP="00275D8A">
            <w:pPr>
              <w:pStyle w:val="ListParagraph"/>
              <w:numPr>
                <w:ilvl w:val="0"/>
                <w:numId w:val="46"/>
              </w:numPr>
              <w:spacing w:after="240"/>
              <w:jc w:val="both"/>
              <w:rPr>
                <w:sz w:val="20"/>
              </w:rPr>
            </w:pPr>
            <w:r w:rsidRPr="00306BB7">
              <w:rPr>
                <w:sz w:val="20"/>
              </w:rPr>
              <w:t xml:space="preserve">Social distancing restrictions to protect the safety of our customers and employees may limit both the number of customers we can serve at our retail stores, and the volume of goods we are able to fulfill through </w:t>
            </w:r>
            <w:r w:rsidR="00157A7C">
              <w:rPr>
                <w:sz w:val="20"/>
              </w:rPr>
              <w:t xml:space="preserve">our </w:t>
            </w:r>
            <w:r w:rsidRPr="00306BB7">
              <w:rPr>
                <w:sz w:val="20"/>
              </w:rPr>
              <w:t>distribution centre. More severe government-imposed restrictions, including store capacity restrictions and lockdowns, could further restrict our ability to service our customers. See also “Subsequent Events” for further discussion on store closures in relation to COVID-19.</w:t>
            </w:r>
          </w:p>
          <w:p w14:paraId="207DE6BC" w14:textId="77777777" w:rsidR="00646FE1" w:rsidRPr="00306BB7" w:rsidRDefault="00646FE1" w:rsidP="00646FE1">
            <w:pPr>
              <w:pStyle w:val="ListParagraph"/>
              <w:rPr>
                <w:sz w:val="20"/>
              </w:rPr>
            </w:pPr>
          </w:p>
          <w:p w14:paraId="19097B6A" w14:textId="77777777" w:rsidR="00646FE1" w:rsidRPr="00306BB7" w:rsidRDefault="00646FE1" w:rsidP="00275D8A">
            <w:pPr>
              <w:pStyle w:val="ListParagraph"/>
              <w:numPr>
                <w:ilvl w:val="0"/>
                <w:numId w:val="46"/>
              </w:numPr>
              <w:spacing w:after="240"/>
              <w:jc w:val="both"/>
              <w:rPr>
                <w:sz w:val="20"/>
              </w:rPr>
            </w:pPr>
            <w:r w:rsidRPr="00306BB7">
              <w:rPr>
                <w:sz w:val="20"/>
              </w:rPr>
              <w:t xml:space="preserve">We may also face </w:t>
            </w:r>
            <w:r w:rsidR="00157A7C">
              <w:rPr>
                <w:sz w:val="20"/>
              </w:rPr>
              <w:t xml:space="preserve">supply chain </w:t>
            </w:r>
            <w:r w:rsidRPr="00306BB7">
              <w:rPr>
                <w:sz w:val="20"/>
              </w:rPr>
              <w:t xml:space="preserve">challenges </w:t>
            </w:r>
            <w:r w:rsidR="00157A7C">
              <w:rPr>
                <w:sz w:val="20"/>
              </w:rPr>
              <w:t xml:space="preserve">if </w:t>
            </w:r>
            <w:r w:rsidRPr="00306BB7">
              <w:rPr>
                <w:sz w:val="20"/>
              </w:rPr>
              <w:t xml:space="preserve">there are disruptions in service at our distribution centre, suppliers, or logistics providers. Increased market demand for </w:t>
            </w:r>
            <w:r w:rsidR="00157A7C">
              <w:rPr>
                <w:sz w:val="20"/>
              </w:rPr>
              <w:t>logistic providers</w:t>
            </w:r>
            <w:r w:rsidRPr="00306BB7">
              <w:rPr>
                <w:sz w:val="20"/>
              </w:rPr>
              <w:t xml:space="preserve"> may </w:t>
            </w:r>
            <w:r w:rsidR="00790479">
              <w:rPr>
                <w:sz w:val="20"/>
              </w:rPr>
              <w:t>continue to</w:t>
            </w:r>
            <w:r w:rsidRPr="00306BB7">
              <w:rPr>
                <w:sz w:val="20"/>
              </w:rPr>
              <w:t xml:space="preserve"> increase our operating costs and/or limit our ability to fulfill sales.</w:t>
            </w:r>
          </w:p>
          <w:p w14:paraId="1BD03F11" w14:textId="77777777" w:rsidR="00646FE1" w:rsidRPr="00306BB7" w:rsidRDefault="00646FE1" w:rsidP="00646FE1">
            <w:pPr>
              <w:pStyle w:val="ListParagraph"/>
              <w:rPr>
                <w:sz w:val="20"/>
              </w:rPr>
            </w:pPr>
          </w:p>
          <w:p w14:paraId="1F103370" w14:textId="77777777" w:rsidR="00646FE1" w:rsidRPr="00306BB7" w:rsidRDefault="00646FE1" w:rsidP="00275D8A">
            <w:pPr>
              <w:pStyle w:val="ListParagraph"/>
              <w:numPr>
                <w:ilvl w:val="0"/>
                <w:numId w:val="46"/>
              </w:numPr>
              <w:spacing w:after="240"/>
              <w:jc w:val="both"/>
              <w:rPr>
                <w:sz w:val="20"/>
              </w:rPr>
            </w:pPr>
            <w:r w:rsidRPr="00306BB7">
              <w:rPr>
                <w:sz w:val="20"/>
              </w:rPr>
              <w:t>The costs of operating our stores and distribution centre may</w:t>
            </w:r>
            <w:r w:rsidR="00790479">
              <w:rPr>
                <w:sz w:val="20"/>
              </w:rPr>
              <w:t xml:space="preserve"> continue to</w:t>
            </w:r>
            <w:r w:rsidRPr="00306BB7">
              <w:rPr>
                <w:sz w:val="20"/>
              </w:rPr>
              <w:t xml:space="preserve"> increase </w:t>
            </w:r>
            <w:r w:rsidR="00157A7C">
              <w:rPr>
                <w:sz w:val="20"/>
              </w:rPr>
              <w:t>due to</w:t>
            </w:r>
            <w:r w:rsidRPr="00306BB7">
              <w:rPr>
                <w:sz w:val="20"/>
              </w:rPr>
              <w:t xml:space="preserve"> enhanced health and safety measures taken to protect our employees, including the </w:t>
            </w:r>
            <w:r w:rsidR="00157A7C">
              <w:rPr>
                <w:sz w:val="20"/>
              </w:rPr>
              <w:t xml:space="preserve">increased costs </w:t>
            </w:r>
            <w:r w:rsidRPr="00306BB7">
              <w:rPr>
                <w:sz w:val="20"/>
              </w:rPr>
              <w:t>of personal protective equipment</w:t>
            </w:r>
            <w:r w:rsidR="00DC618A">
              <w:rPr>
                <w:sz w:val="20"/>
              </w:rPr>
              <w:t>.</w:t>
            </w:r>
            <w:r w:rsidR="00790479">
              <w:rPr>
                <w:sz w:val="20"/>
              </w:rPr>
              <w:t xml:space="preserve"> </w:t>
            </w:r>
          </w:p>
          <w:p w14:paraId="4B92155F" w14:textId="77777777" w:rsidR="00646FE1" w:rsidRPr="00306BB7" w:rsidRDefault="00646FE1" w:rsidP="00646FE1">
            <w:pPr>
              <w:pStyle w:val="ListParagraph"/>
              <w:rPr>
                <w:sz w:val="20"/>
              </w:rPr>
            </w:pPr>
          </w:p>
          <w:p w14:paraId="3E4AB481" w14:textId="77777777" w:rsidR="00646FE1" w:rsidRPr="00306BB7" w:rsidRDefault="00646FE1" w:rsidP="00275D8A">
            <w:pPr>
              <w:pStyle w:val="ListParagraph"/>
              <w:numPr>
                <w:ilvl w:val="0"/>
                <w:numId w:val="46"/>
              </w:numPr>
              <w:spacing w:after="240"/>
              <w:jc w:val="both"/>
              <w:rPr>
                <w:sz w:val="20"/>
              </w:rPr>
            </w:pPr>
            <w:r w:rsidRPr="00306BB7">
              <w:rPr>
                <w:sz w:val="20"/>
              </w:rPr>
              <w:t xml:space="preserve">Access to government financial assistance programs may place restrictions on our business and operations, including our ability to deploy capital or return capital to our shareholders. </w:t>
            </w:r>
          </w:p>
          <w:p w14:paraId="52FB8E48" w14:textId="77777777" w:rsidR="00646FE1" w:rsidRPr="00306BB7" w:rsidRDefault="00646FE1" w:rsidP="00646FE1">
            <w:pPr>
              <w:spacing w:after="240"/>
              <w:jc w:val="both"/>
              <w:rPr>
                <w:szCs w:val="24"/>
              </w:rPr>
            </w:pPr>
            <w:r w:rsidRPr="00306BB7">
              <w:rPr>
                <w:sz w:val="20"/>
              </w:rPr>
              <w:t>While the full-extent of the impact of COVID-19 on the Company’s business remains unc</w:t>
            </w:r>
            <w:r w:rsidR="00790479">
              <w:rPr>
                <w:sz w:val="20"/>
              </w:rPr>
              <w:t>ertain</w:t>
            </w:r>
            <w:r w:rsidRPr="00306BB7">
              <w:rPr>
                <w:sz w:val="20"/>
              </w:rPr>
              <w:t>, we believe that the cost reductions and liquidity management strategies employed will partially mitigate the above risks as further described under “Recent Developments”.</w:t>
            </w:r>
            <w:r>
              <w:rPr>
                <w:szCs w:val="24"/>
              </w:rPr>
              <w:t xml:space="preserve"> </w:t>
            </w:r>
          </w:p>
        </w:tc>
      </w:tr>
    </w:tbl>
    <w:p w14:paraId="46BB38A7" w14:textId="77777777" w:rsidR="00646FE1" w:rsidRPr="00CF23AB" w:rsidRDefault="00646FE1" w:rsidP="00646FE1">
      <w:pPr>
        <w:spacing w:after="240"/>
        <w:jc w:val="both"/>
        <w:rPr>
          <w:sz w:val="20"/>
        </w:rPr>
      </w:pPr>
    </w:p>
    <w:p w14:paraId="17793D28" w14:textId="77777777" w:rsidR="00646FE1" w:rsidRDefault="00646FE1" w:rsidP="00646FE1">
      <w:pPr>
        <w:pStyle w:val="Heading2"/>
        <w:numPr>
          <w:ilvl w:val="0"/>
          <w:numId w:val="0"/>
        </w:numPr>
        <w:rPr>
          <w:b/>
          <w:bCs/>
          <w:color w:val="1F497D" w:themeColor="text2"/>
          <w:sz w:val="28"/>
          <w:szCs w:val="28"/>
        </w:rPr>
      </w:pPr>
      <w:bookmarkStart w:id="17" w:name="_Toc62334918"/>
      <w:r w:rsidRPr="006355FB">
        <w:rPr>
          <w:b/>
          <w:bCs/>
          <w:color w:val="1F497D" w:themeColor="text2"/>
          <w:sz w:val="28"/>
          <w:szCs w:val="28"/>
        </w:rPr>
        <w:t>B.</w:t>
      </w:r>
      <w:r>
        <w:rPr>
          <w:b/>
          <w:bCs/>
          <w:color w:val="1F497D" w:themeColor="text2"/>
          <w:sz w:val="28"/>
          <w:szCs w:val="28"/>
        </w:rPr>
        <w:t>2</w:t>
      </w:r>
      <w:r w:rsidRPr="006355FB">
        <w:rPr>
          <w:b/>
          <w:bCs/>
          <w:color w:val="1F497D" w:themeColor="text2"/>
          <w:sz w:val="28"/>
          <w:szCs w:val="28"/>
        </w:rPr>
        <w:t xml:space="preserve"> Financial Statements </w:t>
      </w:r>
      <w:r>
        <w:rPr>
          <w:b/>
          <w:bCs/>
          <w:color w:val="1F497D" w:themeColor="text2"/>
          <w:sz w:val="28"/>
          <w:szCs w:val="28"/>
        </w:rPr>
        <w:t>Examples</w:t>
      </w:r>
      <w:bookmarkEnd w:id="17"/>
      <w:r>
        <w:rPr>
          <w:b/>
          <w:bCs/>
          <w:color w:val="1F497D" w:themeColor="text2"/>
          <w:sz w:val="28"/>
          <w:szCs w:val="28"/>
        </w:rPr>
        <w:t xml:space="preserve"> </w:t>
      </w:r>
    </w:p>
    <w:p w14:paraId="212BDCE2" w14:textId="77777777" w:rsidR="00646FE1" w:rsidRPr="00D93E09" w:rsidRDefault="00646FE1" w:rsidP="00FF6C77">
      <w:pPr>
        <w:rPr>
          <w:sz w:val="20"/>
        </w:rPr>
      </w:pPr>
      <w:r w:rsidRPr="00D93E09">
        <w:rPr>
          <w:sz w:val="20"/>
        </w:rPr>
        <w:t>Below are examples of useful disclosure focused on a few aspects of certain IFRS requirements. Issuers should determine how specific IFRS requirements may apply to them.</w:t>
      </w:r>
    </w:p>
    <w:p w14:paraId="2AC58A2B" w14:textId="77777777" w:rsidR="00CB78E6" w:rsidRPr="00D93E09" w:rsidRDefault="00CB78E6" w:rsidP="00D93E09"/>
    <w:p w14:paraId="775252B5" w14:textId="77777777" w:rsidR="006E2A02" w:rsidRPr="003F40AF" w:rsidRDefault="006E2A02" w:rsidP="006E2A02">
      <w:pPr>
        <w:spacing w:after="240"/>
        <w:jc w:val="both"/>
        <w:outlineLvl w:val="2"/>
        <w:rPr>
          <w:b/>
          <w:color w:val="1F497D" w:themeColor="text2"/>
          <w:sz w:val="20"/>
        </w:rPr>
      </w:pPr>
      <w:bookmarkStart w:id="18" w:name="_Toc61425093"/>
      <w:bookmarkStart w:id="19" w:name="_Toc62334919"/>
      <w:r>
        <w:rPr>
          <w:b/>
          <w:color w:val="1F497D" w:themeColor="text2"/>
          <w:sz w:val="20"/>
        </w:rPr>
        <w:t xml:space="preserve">B.2.1 </w:t>
      </w:r>
      <w:r w:rsidRPr="003F40AF">
        <w:rPr>
          <w:b/>
          <w:color w:val="1F497D" w:themeColor="text2"/>
          <w:sz w:val="20"/>
        </w:rPr>
        <w:t>Impairment of Non-Financial Assets</w:t>
      </w:r>
      <w:bookmarkEnd w:id="18"/>
      <w:bookmarkEnd w:id="19"/>
    </w:p>
    <w:p w14:paraId="2C3BE7B6" w14:textId="77777777" w:rsidR="006E2A02" w:rsidRPr="00BB2921" w:rsidRDefault="006E2A02" w:rsidP="006E2A02">
      <w:pPr>
        <w:spacing w:after="240"/>
        <w:jc w:val="both"/>
        <w:rPr>
          <w:b/>
          <w:bCs/>
          <w:sz w:val="20"/>
          <w:u w:val="single"/>
          <w:lang w:eastAsia="fr-CA"/>
        </w:rPr>
      </w:pPr>
      <w:r w:rsidRPr="00187BE1">
        <w:rPr>
          <w:b/>
          <w:bCs/>
          <w:sz w:val="20"/>
          <w:u w:val="single"/>
          <w:lang w:eastAsia="fr-CA"/>
        </w:rPr>
        <w:t xml:space="preserve">Example of </w:t>
      </w:r>
      <w:r>
        <w:rPr>
          <w:b/>
          <w:bCs/>
          <w:sz w:val="20"/>
          <w:u w:val="single"/>
          <w:lang w:eastAsia="fr-CA"/>
        </w:rPr>
        <w:t>deficient</w:t>
      </w:r>
      <w:r w:rsidRPr="00187BE1">
        <w:rPr>
          <w:b/>
          <w:bCs/>
          <w:sz w:val="20"/>
          <w:u w:val="single"/>
          <w:lang w:eastAsia="fr-CA"/>
        </w:rPr>
        <w:t xml:space="preserve"> disclosure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shd w:val="clear" w:color="auto" w:fill="EEECE1" w:themeFill="background2"/>
        <w:tblLook w:val="04A0" w:firstRow="1" w:lastRow="0" w:firstColumn="1" w:lastColumn="0" w:noHBand="0" w:noVBand="1"/>
      </w:tblPr>
      <w:tblGrid>
        <w:gridCol w:w="9350"/>
      </w:tblGrid>
      <w:tr w:rsidR="006E2A02" w:rsidRPr="00BA04E7" w14:paraId="45F2F5DA" w14:textId="77777777" w:rsidTr="00CE4B48">
        <w:tc>
          <w:tcPr>
            <w:tcW w:w="9350" w:type="dxa"/>
            <w:tcBorders>
              <w:bottom w:val="single" w:sz="4" w:space="0" w:color="4F81BD" w:themeColor="accent1"/>
            </w:tcBorders>
            <w:shd w:val="clear" w:color="auto" w:fill="4F81BD" w:themeFill="accent1"/>
          </w:tcPr>
          <w:p w14:paraId="1134F1A2" w14:textId="77777777" w:rsidR="006E2A02" w:rsidRPr="00BB2921" w:rsidRDefault="006E2A02" w:rsidP="00CE4B48">
            <w:pPr>
              <w:pStyle w:val="ListParagraph"/>
              <w:autoSpaceDE w:val="0"/>
              <w:autoSpaceDN w:val="0"/>
              <w:adjustRightInd w:val="0"/>
              <w:spacing w:after="240"/>
              <w:ind w:left="0"/>
              <w:rPr>
                <w:color w:val="FFFFFF" w:themeColor="background1"/>
                <w:sz w:val="20"/>
              </w:rPr>
            </w:pPr>
            <w:r w:rsidRPr="00201FC7">
              <w:rPr>
                <w:b/>
                <w:bCs/>
                <w:color w:val="FFFFFF" w:themeColor="background1"/>
                <w:sz w:val="20"/>
              </w:rPr>
              <w:t>EXAMPLE B</w:t>
            </w:r>
            <w:r>
              <w:rPr>
                <w:b/>
                <w:bCs/>
                <w:color w:val="FFFFFF" w:themeColor="background1"/>
                <w:sz w:val="20"/>
              </w:rPr>
              <w:t>.2.1</w:t>
            </w:r>
            <w:r w:rsidRPr="00201FC7">
              <w:rPr>
                <w:b/>
                <w:bCs/>
                <w:color w:val="FFFFFF" w:themeColor="background1"/>
                <w:sz w:val="20"/>
              </w:rPr>
              <w:t xml:space="preserve">(a) </w:t>
            </w:r>
          </w:p>
          <w:p w14:paraId="37269664" w14:textId="77777777" w:rsidR="006E2A02" w:rsidRPr="000C427E" w:rsidRDefault="006E2A02" w:rsidP="00275D8A">
            <w:pPr>
              <w:pStyle w:val="ListParagraph"/>
              <w:numPr>
                <w:ilvl w:val="0"/>
                <w:numId w:val="46"/>
              </w:numPr>
              <w:autoSpaceDE w:val="0"/>
              <w:autoSpaceDN w:val="0"/>
              <w:adjustRightInd w:val="0"/>
              <w:spacing w:after="240"/>
              <w:rPr>
                <w:color w:val="FFFFFF" w:themeColor="background1"/>
                <w:sz w:val="20"/>
                <w:lang w:eastAsia="fr-CA"/>
              </w:rPr>
            </w:pPr>
            <w:r w:rsidRPr="000C427E">
              <w:rPr>
                <w:color w:val="FFFFFF" w:themeColor="background1"/>
                <w:sz w:val="20"/>
                <w:lang w:eastAsia="fr-CA"/>
              </w:rPr>
              <w:t xml:space="preserve">Did not identify reasons for impairments </w:t>
            </w:r>
          </w:p>
          <w:p w14:paraId="5E643931" w14:textId="77777777" w:rsidR="006E2A02" w:rsidRPr="00E70E9E" w:rsidRDefault="006E2A02" w:rsidP="00275D8A">
            <w:pPr>
              <w:pStyle w:val="ListParagraph"/>
              <w:numPr>
                <w:ilvl w:val="0"/>
                <w:numId w:val="46"/>
              </w:numPr>
              <w:autoSpaceDE w:val="0"/>
              <w:autoSpaceDN w:val="0"/>
              <w:adjustRightInd w:val="0"/>
              <w:spacing w:after="240"/>
              <w:rPr>
                <w:b/>
                <w:bCs/>
                <w:color w:val="FFFFFF" w:themeColor="background1"/>
                <w:sz w:val="20"/>
                <w:lang w:eastAsia="fr-CA"/>
              </w:rPr>
            </w:pPr>
            <w:r w:rsidRPr="000C427E">
              <w:rPr>
                <w:color w:val="FFFFFF" w:themeColor="background1"/>
                <w:sz w:val="20"/>
                <w:lang w:eastAsia="fr-CA"/>
              </w:rPr>
              <w:t xml:space="preserve">Did not disclose the key assumptions used in estimating the </w:t>
            </w:r>
            <w:r>
              <w:rPr>
                <w:color w:val="FFFFFF" w:themeColor="background1"/>
                <w:sz w:val="20"/>
                <w:lang w:eastAsia="fr-CA"/>
              </w:rPr>
              <w:t>recoverable amount</w:t>
            </w:r>
          </w:p>
        </w:tc>
      </w:tr>
      <w:tr w:rsidR="006E2A02" w:rsidRPr="00201FC7" w14:paraId="5004AF72" w14:textId="77777777" w:rsidTr="00CE4B48">
        <w:tc>
          <w:tcPr>
            <w:tcW w:w="9350" w:type="dxa"/>
            <w:shd w:val="clear" w:color="auto" w:fill="FFFFFF" w:themeFill="background1"/>
          </w:tcPr>
          <w:p w14:paraId="14CE7900" w14:textId="77777777" w:rsidR="006E2A02" w:rsidRPr="00201FC7" w:rsidRDefault="006E2A02" w:rsidP="00CE4B48">
            <w:pPr>
              <w:spacing w:after="240"/>
              <w:rPr>
                <w:sz w:val="20"/>
              </w:rPr>
            </w:pPr>
            <w:r w:rsidRPr="005A3C6A">
              <w:rPr>
                <w:sz w:val="20"/>
                <w:lang w:eastAsia="fr-CA"/>
              </w:rPr>
              <w:t xml:space="preserve">The </w:t>
            </w:r>
            <w:r>
              <w:rPr>
                <w:sz w:val="20"/>
                <w:lang w:eastAsia="fr-CA"/>
              </w:rPr>
              <w:t>C</w:t>
            </w:r>
            <w:r w:rsidRPr="00201FC7">
              <w:rPr>
                <w:sz w:val="20"/>
                <w:lang w:eastAsia="fr-CA"/>
              </w:rPr>
              <w:t>ompany</w:t>
            </w:r>
            <w:r w:rsidRPr="005A3C6A">
              <w:rPr>
                <w:sz w:val="20"/>
                <w:lang w:eastAsia="fr-CA"/>
              </w:rPr>
              <w:t xml:space="preserve"> recognized for the quarter ended </w:t>
            </w:r>
            <w:r>
              <w:rPr>
                <w:sz w:val="20"/>
                <w:lang w:eastAsia="fr-CA"/>
              </w:rPr>
              <w:t>September 30</w:t>
            </w:r>
            <w:r w:rsidRPr="005A3C6A">
              <w:rPr>
                <w:sz w:val="20"/>
                <w:lang w:eastAsia="fr-CA"/>
              </w:rPr>
              <w:t xml:space="preserve">, 2020, </w:t>
            </w:r>
            <w:r w:rsidRPr="0051037A">
              <w:rPr>
                <w:sz w:val="20"/>
                <w:lang w:eastAsia="fr-CA"/>
              </w:rPr>
              <w:t>costs related to the write‐down of assets</w:t>
            </w:r>
            <w:r w:rsidRPr="005A3C6A">
              <w:rPr>
                <w:sz w:val="20"/>
                <w:lang w:eastAsia="fr-CA"/>
              </w:rPr>
              <w:t xml:space="preserve"> totalling $</w:t>
            </w:r>
            <w:r>
              <w:rPr>
                <w:sz w:val="20"/>
                <w:lang w:eastAsia="fr-CA"/>
              </w:rPr>
              <w:t>XXX m</w:t>
            </w:r>
            <w:r w:rsidRPr="009D4BBA">
              <w:rPr>
                <w:sz w:val="20"/>
                <w:lang w:eastAsia="fr-CA"/>
              </w:rPr>
              <w:t>ainly</w:t>
            </w:r>
            <w:r>
              <w:rPr>
                <w:sz w:val="20"/>
                <w:lang w:eastAsia="fr-CA"/>
              </w:rPr>
              <w:t xml:space="preserve"> due to the</w:t>
            </w:r>
            <w:r w:rsidRPr="009D4BBA">
              <w:rPr>
                <w:sz w:val="20"/>
                <w:lang w:eastAsia="fr-CA"/>
              </w:rPr>
              <w:t xml:space="preserve"> impairment of </w:t>
            </w:r>
            <w:r>
              <w:rPr>
                <w:sz w:val="20"/>
                <w:lang w:eastAsia="fr-CA"/>
              </w:rPr>
              <w:t>PP&amp;E.</w:t>
            </w:r>
          </w:p>
        </w:tc>
      </w:tr>
    </w:tbl>
    <w:p w14:paraId="5909D936" w14:textId="77777777" w:rsidR="004559A0" w:rsidRDefault="004559A0" w:rsidP="006E2A02">
      <w:pPr>
        <w:rPr>
          <w:b/>
          <w:bCs/>
          <w:sz w:val="20"/>
          <w:u w:val="single"/>
          <w:lang w:eastAsia="fr-CA"/>
        </w:rPr>
      </w:pPr>
    </w:p>
    <w:p w14:paraId="3E795E7F" w14:textId="77777777" w:rsidR="006E2A02" w:rsidRDefault="006E2A02" w:rsidP="006E2A02">
      <w:pPr>
        <w:rPr>
          <w:b/>
          <w:bCs/>
          <w:sz w:val="20"/>
          <w:u w:val="single"/>
          <w:lang w:eastAsia="fr-CA"/>
        </w:rPr>
      </w:pPr>
      <w:bookmarkStart w:id="20" w:name="_Hlk62741080"/>
      <w:r w:rsidRPr="005D7977">
        <w:rPr>
          <w:b/>
          <w:bCs/>
          <w:sz w:val="20"/>
          <w:u w:val="single"/>
          <w:lang w:eastAsia="fr-CA"/>
        </w:rPr>
        <w:t xml:space="preserve">Example of </w:t>
      </w:r>
      <w:r>
        <w:rPr>
          <w:b/>
          <w:bCs/>
          <w:sz w:val="20"/>
          <w:u w:val="single"/>
          <w:lang w:eastAsia="fr-CA"/>
        </w:rPr>
        <w:t xml:space="preserve">improved </w:t>
      </w:r>
      <w:r w:rsidRPr="005D7977">
        <w:rPr>
          <w:b/>
          <w:bCs/>
          <w:sz w:val="20"/>
          <w:u w:val="single"/>
          <w:lang w:eastAsia="fr-CA"/>
        </w:rPr>
        <w:t>disclosure</w:t>
      </w:r>
    </w:p>
    <w:p w14:paraId="512AF8D7" w14:textId="77777777" w:rsidR="006E2A02" w:rsidRPr="000957C3" w:rsidRDefault="006E2A02" w:rsidP="006E2A02">
      <w:pPr>
        <w:rPr>
          <w:b/>
          <w:bCs/>
          <w:sz w:val="20"/>
          <w:lang w:eastAsia="fr-CA"/>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shd w:val="clear" w:color="auto" w:fill="EEECE1" w:themeFill="background2"/>
        <w:tblLook w:val="04A0" w:firstRow="1" w:lastRow="0" w:firstColumn="1" w:lastColumn="0" w:noHBand="0" w:noVBand="1"/>
      </w:tblPr>
      <w:tblGrid>
        <w:gridCol w:w="9350"/>
      </w:tblGrid>
      <w:tr w:rsidR="006E2A02" w:rsidRPr="00201FC7" w14:paraId="2777D440" w14:textId="77777777" w:rsidTr="00CE4B48">
        <w:tc>
          <w:tcPr>
            <w:tcW w:w="9350" w:type="dxa"/>
            <w:shd w:val="clear" w:color="auto" w:fill="4F81BD" w:themeFill="accent1"/>
          </w:tcPr>
          <w:p w14:paraId="78992D9D" w14:textId="77777777" w:rsidR="006E2A02" w:rsidRPr="00201FC7" w:rsidRDefault="006E2A02" w:rsidP="00CE4B48">
            <w:pPr>
              <w:autoSpaceDE w:val="0"/>
              <w:autoSpaceDN w:val="0"/>
              <w:adjustRightInd w:val="0"/>
              <w:rPr>
                <w:color w:val="FFFFFF" w:themeColor="background1"/>
                <w:sz w:val="20"/>
                <w:lang w:eastAsia="fr-CA"/>
              </w:rPr>
            </w:pPr>
            <w:r w:rsidRPr="00201FC7">
              <w:rPr>
                <w:b/>
                <w:bCs/>
                <w:color w:val="FFFFFF" w:themeColor="background1"/>
                <w:sz w:val="20"/>
              </w:rPr>
              <w:t>EXAMPLE B</w:t>
            </w:r>
            <w:r>
              <w:rPr>
                <w:b/>
                <w:bCs/>
                <w:color w:val="FFFFFF" w:themeColor="background1"/>
                <w:sz w:val="20"/>
              </w:rPr>
              <w:t>.2.1</w:t>
            </w:r>
            <w:r w:rsidRPr="00201FC7">
              <w:rPr>
                <w:b/>
                <w:bCs/>
                <w:color w:val="FFFFFF" w:themeColor="background1"/>
                <w:sz w:val="20"/>
              </w:rPr>
              <w:t xml:space="preserve">(b) </w:t>
            </w:r>
          </w:p>
        </w:tc>
      </w:tr>
      <w:tr w:rsidR="006E2A02" w:rsidRPr="00201FC7" w14:paraId="4F8F8E3D" w14:textId="77777777" w:rsidTr="00CE4B48">
        <w:tc>
          <w:tcPr>
            <w:tcW w:w="9350" w:type="dxa"/>
            <w:shd w:val="clear" w:color="auto" w:fill="4F81BD" w:themeFill="accent1"/>
          </w:tcPr>
          <w:p w14:paraId="3B166A9A" w14:textId="77777777" w:rsidR="006E2A02" w:rsidRPr="000C427E" w:rsidRDefault="006E2A02" w:rsidP="006E2A02">
            <w:pPr>
              <w:pStyle w:val="ListParagraph"/>
              <w:numPr>
                <w:ilvl w:val="0"/>
                <w:numId w:val="13"/>
              </w:numPr>
              <w:ind w:left="318"/>
              <w:rPr>
                <w:color w:val="FFFFFF" w:themeColor="background1"/>
                <w:sz w:val="20"/>
              </w:rPr>
            </w:pPr>
            <w:r w:rsidRPr="000C427E">
              <w:rPr>
                <w:color w:val="FFFFFF" w:themeColor="background1"/>
                <w:sz w:val="20"/>
              </w:rPr>
              <w:t xml:space="preserve">Identified impairment indicators </w:t>
            </w:r>
            <w:r w:rsidR="00EC0AD5">
              <w:rPr>
                <w:color w:val="FFFFFF" w:themeColor="background1"/>
                <w:sz w:val="20"/>
              </w:rPr>
              <w:t>as</w:t>
            </w:r>
            <w:r w:rsidRPr="000C427E">
              <w:rPr>
                <w:color w:val="FFFFFF" w:themeColor="background1"/>
                <w:sz w:val="20"/>
              </w:rPr>
              <w:t xml:space="preserve"> the government-imposed closures and significant decrease in </w:t>
            </w:r>
            <w:r>
              <w:rPr>
                <w:color w:val="FFFFFF" w:themeColor="background1"/>
                <w:sz w:val="20"/>
              </w:rPr>
              <w:t xml:space="preserve">the issuer’s </w:t>
            </w:r>
            <w:r w:rsidRPr="000C427E">
              <w:rPr>
                <w:color w:val="FFFFFF" w:themeColor="background1"/>
                <w:sz w:val="20"/>
              </w:rPr>
              <w:t>market capitalization</w:t>
            </w:r>
          </w:p>
          <w:p w14:paraId="66045722" w14:textId="77777777" w:rsidR="006E2A02" w:rsidRPr="00AA30C4" w:rsidRDefault="006E2A02" w:rsidP="006E2A02">
            <w:pPr>
              <w:pStyle w:val="ListParagraph"/>
              <w:numPr>
                <w:ilvl w:val="0"/>
                <w:numId w:val="13"/>
              </w:numPr>
              <w:ind w:left="318"/>
              <w:rPr>
                <w:color w:val="FFFFFF" w:themeColor="background1"/>
                <w:sz w:val="20"/>
              </w:rPr>
            </w:pPr>
            <w:r w:rsidRPr="000C427E">
              <w:rPr>
                <w:color w:val="FFFFFF" w:themeColor="background1"/>
                <w:sz w:val="20"/>
              </w:rPr>
              <w:t xml:space="preserve">Adequately disclosed supportable assumptions </w:t>
            </w:r>
            <w:r>
              <w:rPr>
                <w:color w:val="FFFFFF" w:themeColor="background1"/>
                <w:sz w:val="20"/>
              </w:rPr>
              <w:t xml:space="preserve">used to </w:t>
            </w:r>
            <w:r w:rsidRPr="000C427E">
              <w:rPr>
                <w:color w:val="FFFFFF" w:themeColor="background1"/>
                <w:sz w:val="20"/>
              </w:rPr>
              <w:t>determin</w:t>
            </w:r>
            <w:r>
              <w:rPr>
                <w:color w:val="FFFFFF" w:themeColor="background1"/>
                <w:sz w:val="20"/>
              </w:rPr>
              <w:t xml:space="preserve">e </w:t>
            </w:r>
            <w:r w:rsidRPr="000C427E">
              <w:rPr>
                <w:color w:val="FFFFFF" w:themeColor="background1"/>
                <w:sz w:val="20"/>
              </w:rPr>
              <w:t xml:space="preserve">fair value less costs of disposal </w:t>
            </w:r>
            <w:r>
              <w:rPr>
                <w:color w:val="FFFFFF" w:themeColor="background1"/>
                <w:sz w:val="20"/>
              </w:rPr>
              <w:t>with</w:t>
            </w:r>
            <w:r w:rsidRPr="000C427E">
              <w:rPr>
                <w:color w:val="FFFFFF" w:themeColor="background1"/>
                <w:sz w:val="20"/>
              </w:rPr>
              <w:t xml:space="preserve"> </w:t>
            </w:r>
            <w:r>
              <w:rPr>
                <w:color w:val="FFFFFF" w:themeColor="background1"/>
                <w:sz w:val="20"/>
              </w:rPr>
              <w:t xml:space="preserve">the implications of </w:t>
            </w:r>
            <w:r w:rsidRPr="000C427E">
              <w:rPr>
                <w:color w:val="FFFFFF" w:themeColor="background1"/>
                <w:sz w:val="20"/>
              </w:rPr>
              <w:t>COVID-19</w:t>
            </w:r>
          </w:p>
        </w:tc>
      </w:tr>
      <w:tr w:rsidR="006E2A02" w:rsidRPr="00201FC7" w14:paraId="1D305FD1" w14:textId="77777777" w:rsidTr="00CE4B48">
        <w:trPr>
          <w:trHeight w:val="833"/>
        </w:trPr>
        <w:tc>
          <w:tcPr>
            <w:tcW w:w="9350" w:type="dxa"/>
            <w:shd w:val="clear" w:color="auto" w:fill="DBE5F1" w:themeFill="accent1" w:themeFillTint="33"/>
          </w:tcPr>
          <w:p w14:paraId="09FF5ECA" w14:textId="77777777" w:rsidR="002C79DB" w:rsidRPr="002C79DB" w:rsidRDefault="002C79DB" w:rsidP="002C79DB">
            <w:pPr>
              <w:rPr>
                <w:sz w:val="20"/>
                <w:lang w:eastAsia="fr-CA"/>
              </w:rPr>
            </w:pPr>
            <w:r>
              <w:rPr>
                <w:sz w:val="20"/>
                <w:lang w:eastAsia="fr-CA"/>
              </w:rPr>
              <w:t xml:space="preserve">The majority of the Company’s operations in segment XYZ were closed, and currently remain closed or are operating at a reduced occupancy as a result of mandatory closure orders from various government authorities. In light of this temporary closure and a material decrease in the Company’s market value due to a sharp decline in its share price, the Company concluded that this segment, which is a cash </w:t>
            </w:r>
            <w:r w:rsidRPr="002C79DB">
              <w:rPr>
                <w:sz w:val="20"/>
                <w:lang w:eastAsia="fr-CA"/>
              </w:rPr>
              <w:t>generating unit (“CGU”), should be tested for impairment at period end. The Company did not identify any further indicators of impairment or impairment reversals for its other CGU's.</w:t>
            </w:r>
          </w:p>
          <w:p w14:paraId="24E42335" w14:textId="77777777" w:rsidR="002C79DB" w:rsidRPr="002C79DB" w:rsidRDefault="002C79DB" w:rsidP="002C79DB">
            <w:pPr>
              <w:rPr>
                <w:sz w:val="20"/>
                <w:lang w:eastAsia="fr-CA"/>
              </w:rPr>
            </w:pPr>
          </w:p>
          <w:p w14:paraId="5F276817" w14:textId="738DA176" w:rsidR="002C79DB" w:rsidRPr="002C79DB" w:rsidRDefault="002C79DB" w:rsidP="002C79DB">
            <w:pPr>
              <w:rPr>
                <w:sz w:val="20"/>
                <w:lang w:eastAsia="fr-CA"/>
              </w:rPr>
            </w:pPr>
            <w:r w:rsidRPr="002C79DB">
              <w:rPr>
                <w:sz w:val="20"/>
                <w:lang w:eastAsia="fr-CA"/>
              </w:rPr>
              <w:t xml:space="preserve">The recoverable amount for the CGU has been estimated using a discounted cash flow (value in use) model. The Company calculates value in use using a </w:t>
            </w:r>
            <w:r w:rsidRPr="007D6792">
              <w:rPr>
                <w:sz w:val="20"/>
                <w:lang w:eastAsia="fr-CA"/>
              </w:rPr>
              <w:t xml:space="preserve">five-year discounted cash flow method </w:t>
            </w:r>
            <w:r w:rsidRPr="002C79DB">
              <w:rPr>
                <w:sz w:val="20"/>
                <w:lang w:eastAsia="fr-CA"/>
              </w:rPr>
              <w:t>based on the most recent financial budget forecasts approved by management. The future cash flows are based on</w:t>
            </w:r>
            <w:r w:rsidR="005134E4">
              <w:rPr>
                <w:sz w:val="20"/>
                <w:lang w:eastAsia="fr-CA"/>
              </w:rPr>
              <w:t xml:space="preserve"> a</w:t>
            </w:r>
            <w:r w:rsidRPr="002C79DB">
              <w:rPr>
                <w:sz w:val="20"/>
                <w:lang w:eastAsia="fr-CA"/>
              </w:rPr>
              <w:t xml:space="preserve"> range of estimates and assumptions, including growth in average sales from XX% to XX% for the period 2020-202X to reflect a staged reopening and other scenarios and a pre-tax discount rate of XX% (which represents the weighted average cost of capital). For the nine months ended September 30, 2020, the Company recorded a total impairment charge of $XXX million relating to the entire goodwill balance allocated to this CGU of $XX million and an impairment on the PP&amp;E in this CGU of $XXX million.</w:t>
            </w:r>
            <w:r w:rsidRPr="002C79DB">
              <w:rPr>
                <w:lang w:eastAsia="en-CA"/>
              </w:rPr>
              <w:t xml:space="preserve"> </w:t>
            </w:r>
            <w:r w:rsidRPr="002C79DB">
              <w:rPr>
                <w:sz w:val="20"/>
                <w:lang w:eastAsia="fr-CA"/>
              </w:rPr>
              <w:t xml:space="preserve">The recoverable amount of the Company’s impaired CGU at September 30, 2020 was $XXX million. </w:t>
            </w:r>
          </w:p>
          <w:p w14:paraId="05D13145" w14:textId="77777777" w:rsidR="002C79DB" w:rsidRPr="002C79DB" w:rsidRDefault="002C79DB" w:rsidP="002C79DB">
            <w:pPr>
              <w:rPr>
                <w:sz w:val="20"/>
                <w:lang w:eastAsia="fr-CA"/>
              </w:rPr>
            </w:pPr>
          </w:p>
          <w:p w14:paraId="5150A0A9" w14:textId="2D3A38A2" w:rsidR="006E2A02" w:rsidRPr="00B75BF1" w:rsidRDefault="002C79DB" w:rsidP="00B75BF1">
            <w:pPr>
              <w:rPr>
                <w:szCs w:val="24"/>
                <w:lang w:eastAsia="en-CA"/>
              </w:rPr>
            </w:pPr>
            <w:r w:rsidRPr="002C79DB">
              <w:rPr>
                <w:sz w:val="20"/>
                <w:lang w:eastAsia="fr-CA"/>
              </w:rPr>
              <w:t>The Company conducts sensitivity analyses by varying the pre-tax discount rate upward by X% and the growth rates down by X%. Such sensitivity analyses demonstrate that a reasonable change in assumptions would not result in the CGU’s carrying value exceeding its value in use.</w:t>
            </w:r>
          </w:p>
        </w:tc>
      </w:tr>
    </w:tbl>
    <w:p w14:paraId="13DD2EBA" w14:textId="77777777" w:rsidR="000C345D" w:rsidRDefault="000C345D" w:rsidP="00D93E09">
      <w:pPr>
        <w:outlineLvl w:val="2"/>
        <w:rPr>
          <w:b/>
          <w:color w:val="1F497D" w:themeColor="text2"/>
          <w:sz w:val="20"/>
        </w:rPr>
      </w:pPr>
      <w:bookmarkStart w:id="21" w:name="_Toc61425094"/>
      <w:bookmarkStart w:id="22" w:name="_Toc62334920"/>
      <w:bookmarkEnd w:id="20"/>
    </w:p>
    <w:p w14:paraId="09C111DF" w14:textId="3890536C" w:rsidR="006E2A02" w:rsidRDefault="006E2A02" w:rsidP="00D93E09">
      <w:pPr>
        <w:outlineLvl w:val="2"/>
        <w:rPr>
          <w:b/>
          <w:color w:val="1F497D" w:themeColor="text2"/>
          <w:sz w:val="20"/>
        </w:rPr>
      </w:pPr>
      <w:r>
        <w:rPr>
          <w:b/>
          <w:color w:val="1F497D" w:themeColor="text2"/>
          <w:sz w:val="20"/>
        </w:rPr>
        <w:t xml:space="preserve">B.2.2 </w:t>
      </w:r>
      <w:r w:rsidRPr="003F40AF">
        <w:rPr>
          <w:b/>
          <w:color w:val="1F497D" w:themeColor="text2"/>
          <w:sz w:val="20"/>
        </w:rPr>
        <w:t>Going Concern</w:t>
      </w:r>
      <w:bookmarkEnd w:id="21"/>
      <w:bookmarkEnd w:id="22"/>
    </w:p>
    <w:p w14:paraId="4ED7500F" w14:textId="77777777" w:rsidR="006E2A02" w:rsidRPr="003F40AF" w:rsidRDefault="006E2A02" w:rsidP="00D93E09">
      <w:pPr>
        <w:rPr>
          <w:b/>
          <w:color w:val="1F497D" w:themeColor="text2"/>
          <w:sz w:val="20"/>
        </w:rPr>
      </w:pPr>
    </w:p>
    <w:p w14:paraId="35272432" w14:textId="77777777" w:rsidR="006E2A02" w:rsidRPr="00274537" w:rsidRDefault="006E2A02" w:rsidP="006E2A02">
      <w:pPr>
        <w:spacing w:after="240"/>
        <w:jc w:val="both"/>
        <w:rPr>
          <w:b/>
          <w:bCs/>
          <w:sz w:val="20"/>
          <w:u w:val="single"/>
          <w:lang w:eastAsia="fr-CA"/>
        </w:rPr>
      </w:pPr>
      <w:r w:rsidRPr="00274537">
        <w:rPr>
          <w:b/>
          <w:bCs/>
          <w:sz w:val="20"/>
          <w:u w:val="single"/>
          <w:lang w:eastAsia="fr-CA"/>
        </w:rPr>
        <w:t xml:space="preserve">Example of </w:t>
      </w:r>
      <w:r>
        <w:rPr>
          <w:b/>
          <w:bCs/>
          <w:sz w:val="20"/>
          <w:u w:val="single"/>
          <w:lang w:eastAsia="fr-CA"/>
        </w:rPr>
        <w:t>deficient</w:t>
      </w:r>
      <w:r w:rsidRPr="00274537">
        <w:rPr>
          <w:b/>
          <w:bCs/>
          <w:sz w:val="20"/>
          <w:u w:val="single"/>
          <w:lang w:eastAsia="fr-CA"/>
        </w:rPr>
        <w:t xml:space="preserve"> disclosure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shd w:val="clear" w:color="auto" w:fill="EEECE1" w:themeFill="background2"/>
        <w:tblLook w:val="04A0" w:firstRow="1" w:lastRow="0" w:firstColumn="1" w:lastColumn="0" w:noHBand="0" w:noVBand="1"/>
      </w:tblPr>
      <w:tblGrid>
        <w:gridCol w:w="9350"/>
      </w:tblGrid>
      <w:tr w:rsidR="006E2A02" w:rsidRPr="00201FC7" w14:paraId="70917968" w14:textId="77777777" w:rsidTr="00CE4B48">
        <w:tc>
          <w:tcPr>
            <w:tcW w:w="9350" w:type="dxa"/>
            <w:shd w:val="clear" w:color="auto" w:fill="4F81BD" w:themeFill="accent1"/>
          </w:tcPr>
          <w:p w14:paraId="39A45659" w14:textId="77777777" w:rsidR="006E2A02" w:rsidRPr="00201FC7" w:rsidRDefault="006E2A02" w:rsidP="00CE4B48">
            <w:pPr>
              <w:autoSpaceDE w:val="0"/>
              <w:autoSpaceDN w:val="0"/>
              <w:adjustRightInd w:val="0"/>
              <w:rPr>
                <w:color w:val="FFFFFF" w:themeColor="background1"/>
                <w:sz w:val="20"/>
                <w:lang w:eastAsia="fr-CA"/>
              </w:rPr>
            </w:pPr>
            <w:r w:rsidRPr="00201FC7">
              <w:rPr>
                <w:b/>
                <w:bCs/>
                <w:color w:val="FFFFFF" w:themeColor="background1"/>
                <w:sz w:val="20"/>
              </w:rPr>
              <w:t>EXAMPLE B</w:t>
            </w:r>
            <w:r>
              <w:rPr>
                <w:b/>
                <w:bCs/>
                <w:color w:val="FFFFFF" w:themeColor="background1"/>
                <w:sz w:val="20"/>
              </w:rPr>
              <w:t>.2.2</w:t>
            </w:r>
            <w:r w:rsidRPr="00201FC7">
              <w:rPr>
                <w:b/>
                <w:bCs/>
                <w:color w:val="FFFFFF" w:themeColor="background1"/>
                <w:sz w:val="20"/>
              </w:rPr>
              <w:t xml:space="preserve">(a) </w:t>
            </w:r>
          </w:p>
        </w:tc>
      </w:tr>
      <w:tr w:rsidR="006E2A02" w:rsidRPr="00201FC7" w14:paraId="42709505" w14:textId="77777777" w:rsidTr="00CE4B48">
        <w:tc>
          <w:tcPr>
            <w:tcW w:w="9350" w:type="dxa"/>
            <w:tcBorders>
              <w:bottom w:val="single" w:sz="4" w:space="0" w:color="4F81BD" w:themeColor="accent1"/>
            </w:tcBorders>
            <w:shd w:val="clear" w:color="auto" w:fill="4F81BD" w:themeFill="accent1"/>
          </w:tcPr>
          <w:p w14:paraId="17EB8C43" w14:textId="77777777" w:rsidR="006E2A02" w:rsidRPr="007D7019" w:rsidRDefault="006E2A02" w:rsidP="006E2A02">
            <w:pPr>
              <w:pStyle w:val="ListParagraph"/>
              <w:numPr>
                <w:ilvl w:val="0"/>
                <w:numId w:val="13"/>
              </w:numPr>
              <w:autoSpaceDE w:val="0"/>
              <w:autoSpaceDN w:val="0"/>
              <w:adjustRightInd w:val="0"/>
              <w:ind w:left="318"/>
              <w:rPr>
                <w:color w:val="FFFFFF" w:themeColor="background1"/>
                <w:sz w:val="20"/>
              </w:rPr>
            </w:pPr>
            <w:r w:rsidRPr="00E24A72">
              <w:rPr>
                <w:color w:val="FFFFFF" w:themeColor="background1"/>
                <w:sz w:val="20"/>
              </w:rPr>
              <w:t>Did not provide entity</w:t>
            </w:r>
            <w:r>
              <w:rPr>
                <w:color w:val="FFFFFF" w:themeColor="background1"/>
                <w:sz w:val="20"/>
              </w:rPr>
              <w:t>-</w:t>
            </w:r>
            <w:r w:rsidRPr="00E24A72">
              <w:rPr>
                <w:color w:val="FFFFFF" w:themeColor="background1"/>
                <w:sz w:val="20"/>
              </w:rPr>
              <w:t xml:space="preserve">specific disclosure in </w:t>
            </w:r>
            <w:r>
              <w:rPr>
                <w:color w:val="FFFFFF" w:themeColor="background1"/>
                <w:sz w:val="20"/>
              </w:rPr>
              <w:t>connection with</w:t>
            </w:r>
            <w:r w:rsidRPr="00E24A72">
              <w:rPr>
                <w:color w:val="FFFFFF" w:themeColor="background1"/>
                <w:sz w:val="20"/>
              </w:rPr>
              <w:t xml:space="preserve"> the </w:t>
            </w:r>
            <w:r>
              <w:rPr>
                <w:color w:val="FFFFFF" w:themeColor="background1"/>
                <w:sz w:val="20"/>
              </w:rPr>
              <w:t xml:space="preserve">issuer’s financial condition considering the </w:t>
            </w:r>
            <w:r w:rsidRPr="00E24A72">
              <w:rPr>
                <w:color w:val="FFFFFF" w:themeColor="background1"/>
                <w:sz w:val="20"/>
              </w:rPr>
              <w:t xml:space="preserve">impact of COVID-19 outbreak </w:t>
            </w:r>
          </w:p>
        </w:tc>
      </w:tr>
      <w:tr w:rsidR="006E2A02" w:rsidRPr="00201FC7" w14:paraId="682125F8" w14:textId="77777777" w:rsidTr="00CE4B48">
        <w:trPr>
          <w:trHeight w:val="1243"/>
        </w:trPr>
        <w:tc>
          <w:tcPr>
            <w:tcW w:w="9350" w:type="dxa"/>
            <w:shd w:val="clear" w:color="auto" w:fill="auto"/>
          </w:tcPr>
          <w:p w14:paraId="7411C0DF" w14:textId="77777777" w:rsidR="006E2A02" w:rsidRPr="00201FC7" w:rsidRDefault="006E2A02" w:rsidP="00CE4B48">
            <w:pPr>
              <w:spacing w:after="240"/>
              <w:jc w:val="both"/>
              <w:rPr>
                <w:sz w:val="20"/>
                <w:lang w:eastAsia="fr-CA"/>
              </w:rPr>
            </w:pPr>
            <w:r w:rsidRPr="00201FC7">
              <w:rPr>
                <w:sz w:val="20"/>
                <w:lang w:eastAsia="fr-CA"/>
              </w:rPr>
              <w:t>As at September</w:t>
            </w:r>
            <w:r>
              <w:rPr>
                <w:sz w:val="20"/>
                <w:lang w:eastAsia="fr-CA"/>
              </w:rPr>
              <w:t xml:space="preserve"> 30,</w:t>
            </w:r>
            <w:r w:rsidRPr="00201FC7">
              <w:rPr>
                <w:sz w:val="20"/>
                <w:lang w:eastAsia="fr-CA"/>
              </w:rPr>
              <w:t xml:space="preserve"> 2020, the Company is not able to finance day to day activities through operations. The continued operations of the Company are dependent on future profitable operations, management’s ability to manage costs, and the future availability of equity or debt financing. Whether and when the Company can generate sufficient operating cash flows to pay for its expenditures and settle its obligations as they fall due is uncertain. </w:t>
            </w:r>
          </w:p>
        </w:tc>
      </w:tr>
    </w:tbl>
    <w:p w14:paraId="32D10E92" w14:textId="77777777" w:rsidR="000C345D" w:rsidRDefault="000C345D" w:rsidP="006E2A02">
      <w:pPr>
        <w:spacing w:after="240"/>
        <w:jc w:val="both"/>
        <w:rPr>
          <w:b/>
          <w:bCs/>
          <w:sz w:val="20"/>
          <w:u w:val="single"/>
          <w:lang w:eastAsia="fr-CA"/>
        </w:rPr>
      </w:pPr>
    </w:p>
    <w:p w14:paraId="3E920195" w14:textId="4F596052" w:rsidR="006E2A02" w:rsidRPr="00A362E1" w:rsidRDefault="006E2A02" w:rsidP="006E2A02">
      <w:pPr>
        <w:spacing w:after="240"/>
        <w:jc w:val="both"/>
        <w:rPr>
          <w:b/>
          <w:bCs/>
          <w:sz w:val="20"/>
          <w:u w:val="single"/>
          <w:lang w:eastAsia="fr-CA"/>
        </w:rPr>
      </w:pPr>
      <w:r w:rsidRPr="00A362E1">
        <w:rPr>
          <w:b/>
          <w:bCs/>
          <w:sz w:val="20"/>
          <w:u w:val="single"/>
          <w:lang w:eastAsia="fr-CA"/>
        </w:rPr>
        <w:t>Example</w:t>
      </w:r>
      <w:r>
        <w:rPr>
          <w:b/>
          <w:bCs/>
          <w:sz w:val="20"/>
          <w:u w:val="single"/>
          <w:lang w:eastAsia="fr-CA"/>
        </w:rPr>
        <w:t xml:space="preserve"> </w:t>
      </w:r>
      <w:r w:rsidRPr="00A362E1">
        <w:rPr>
          <w:b/>
          <w:bCs/>
          <w:sz w:val="20"/>
          <w:u w:val="single"/>
          <w:lang w:eastAsia="fr-CA"/>
        </w:rPr>
        <w:t xml:space="preserve">of </w:t>
      </w:r>
      <w:r>
        <w:rPr>
          <w:b/>
          <w:bCs/>
          <w:sz w:val="20"/>
          <w:u w:val="single"/>
          <w:lang w:eastAsia="fr-CA"/>
        </w:rPr>
        <w:t xml:space="preserve">improved </w:t>
      </w:r>
      <w:r w:rsidRPr="00A362E1">
        <w:rPr>
          <w:b/>
          <w:bCs/>
          <w:sz w:val="20"/>
          <w:u w:val="single"/>
          <w:lang w:eastAsia="fr-CA"/>
        </w:rPr>
        <w:t>disclosure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shd w:val="clear" w:color="auto" w:fill="EEECE1" w:themeFill="background2"/>
        <w:tblLook w:val="04A0" w:firstRow="1" w:lastRow="0" w:firstColumn="1" w:lastColumn="0" w:noHBand="0" w:noVBand="1"/>
      </w:tblPr>
      <w:tblGrid>
        <w:gridCol w:w="9350"/>
      </w:tblGrid>
      <w:tr w:rsidR="006E2A02" w:rsidRPr="00201FC7" w14:paraId="597D23F9" w14:textId="77777777" w:rsidTr="00CE4B48">
        <w:tc>
          <w:tcPr>
            <w:tcW w:w="9350" w:type="dxa"/>
            <w:shd w:val="clear" w:color="auto" w:fill="4F81BD" w:themeFill="accent1"/>
          </w:tcPr>
          <w:p w14:paraId="02538760" w14:textId="77777777" w:rsidR="006E2A02" w:rsidRPr="00201FC7" w:rsidRDefault="006E2A02" w:rsidP="00CE4B48">
            <w:pPr>
              <w:autoSpaceDE w:val="0"/>
              <w:autoSpaceDN w:val="0"/>
              <w:adjustRightInd w:val="0"/>
              <w:rPr>
                <w:color w:val="FFFFFF" w:themeColor="background1"/>
                <w:sz w:val="20"/>
                <w:lang w:eastAsia="fr-CA"/>
              </w:rPr>
            </w:pPr>
            <w:r w:rsidRPr="00201FC7">
              <w:rPr>
                <w:b/>
                <w:bCs/>
                <w:color w:val="FFFFFF" w:themeColor="background1"/>
                <w:sz w:val="20"/>
              </w:rPr>
              <w:t>EXAMPLE B</w:t>
            </w:r>
            <w:r>
              <w:rPr>
                <w:b/>
                <w:bCs/>
                <w:color w:val="FFFFFF" w:themeColor="background1"/>
                <w:sz w:val="20"/>
              </w:rPr>
              <w:t>.2.2</w:t>
            </w:r>
            <w:r w:rsidRPr="00201FC7">
              <w:rPr>
                <w:b/>
                <w:bCs/>
                <w:color w:val="FFFFFF" w:themeColor="background1"/>
                <w:sz w:val="20"/>
              </w:rPr>
              <w:t xml:space="preserve">(b) </w:t>
            </w:r>
          </w:p>
        </w:tc>
      </w:tr>
      <w:tr w:rsidR="006E2A02" w:rsidRPr="00201FC7" w14:paraId="03BCA1C1" w14:textId="77777777" w:rsidTr="00CE4B48">
        <w:tc>
          <w:tcPr>
            <w:tcW w:w="9350" w:type="dxa"/>
            <w:shd w:val="clear" w:color="auto" w:fill="4F81BD" w:themeFill="accent1"/>
          </w:tcPr>
          <w:p w14:paraId="30D9E6D8" w14:textId="77777777" w:rsidR="006E2A02" w:rsidRPr="00D15864" w:rsidRDefault="006E2A02" w:rsidP="006E2A02">
            <w:pPr>
              <w:pStyle w:val="ListParagraph"/>
              <w:numPr>
                <w:ilvl w:val="0"/>
                <w:numId w:val="13"/>
              </w:numPr>
              <w:autoSpaceDE w:val="0"/>
              <w:autoSpaceDN w:val="0"/>
              <w:adjustRightInd w:val="0"/>
              <w:ind w:left="318"/>
              <w:rPr>
                <w:color w:val="FFFFFF" w:themeColor="background1"/>
                <w:sz w:val="20"/>
              </w:rPr>
            </w:pPr>
            <w:r w:rsidRPr="00D15864">
              <w:rPr>
                <w:color w:val="FFFFFF" w:themeColor="background1"/>
                <w:sz w:val="20"/>
              </w:rPr>
              <w:t>Included disclosure indicating there was a “</w:t>
            </w:r>
            <w:r w:rsidRPr="00666DC0">
              <w:rPr>
                <w:color w:val="FFFFFF" w:themeColor="background1"/>
                <w:sz w:val="20"/>
              </w:rPr>
              <w:t>close call” situation where significant judgement was applied in concluding there were no material uncertainties</w:t>
            </w:r>
            <w:r w:rsidRPr="00D15864">
              <w:rPr>
                <w:color w:val="FFFFFF" w:themeColor="background1"/>
                <w:sz w:val="20"/>
              </w:rPr>
              <w:t xml:space="preserve"> that might cast significant doubt on the Issuer’s ability to continue as a going concern</w:t>
            </w:r>
          </w:p>
          <w:p w14:paraId="3279BFB7" w14:textId="77777777" w:rsidR="006E2A02" w:rsidRPr="00201FC7" w:rsidRDefault="006E2A02" w:rsidP="006E2A02">
            <w:pPr>
              <w:pStyle w:val="ListParagraph"/>
              <w:numPr>
                <w:ilvl w:val="0"/>
                <w:numId w:val="13"/>
              </w:numPr>
              <w:autoSpaceDE w:val="0"/>
              <w:autoSpaceDN w:val="0"/>
              <w:adjustRightInd w:val="0"/>
              <w:spacing w:after="240"/>
              <w:ind w:left="318"/>
              <w:rPr>
                <w:b/>
                <w:bCs/>
                <w:color w:val="FFFFFF" w:themeColor="background1"/>
                <w:sz w:val="20"/>
              </w:rPr>
            </w:pPr>
            <w:r w:rsidRPr="00D15864">
              <w:rPr>
                <w:color w:val="FFFFFF" w:themeColor="background1"/>
                <w:sz w:val="20"/>
              </w:rPr>
              <w:t>Disclosed factors used in the decision to conclude the Issuer will continue as a going concern</w:t>
            </w:r>
          </w:p>
        </w:tc>
      </w:tr>
      <w:tr w:rsidR="006E2A02" w:rsidRPr="00201FC7" w14:paraId="333B20E4" w14:textId="77777777" w:rsidTr="00CE4B48">
        <w:trPr>
          <w:trHeight w:val="841"/>
        </w:trPr>
        <w:tc>
          <w:tcPr>
            <w:tcW w:w="9350" w:type="dxa"/>
            <w:shd w:val="clear" w:color="auto" w:fill="DBE5F1" w:themeFill="accent1" w:themeFillTint="33"/>
          </w:tcPr>
          <w:p w14:paraId="76962D85" w14:textId="5CA74E6A" w:rsidR="006E2A02" w:rsidRPr="00201FC7" w:rsidRDefault="006E2A02" w:rsidP="00CE4B48">
            <w:pPr>
              <w:autoSpaceDE w:val="0"/>
              <w:autoSpaceDN w:val="0"/>
              <w:adjustRightInd w:val="0"/>
              <w:jc w:val="both"/>
              <w:rPr>
                <w:sz w:val="20"/>
                <w:lang w:eastAsia="fr-CA"/>
              </w:rPr>
            </w:pPr>
            <w:r w:rsidRPr="00201FC7">
              <w:rPr>
                <w:sz w:val="20"/>
                <w:lang w:eastAsia="fr-CA"/>
              </w:rPr>
              <w:t xml:space="preserve">The spread of COVID-19 in all relevant jurisdictions </w:t>
            </w:r>
            <w:r>
              <w:rPr>
                <w:sz w:val="20"/>
                <w:lang w:eastAsia="fr-CA"/>
              </w:rPr>
              <w:t>has impacted</w:t>
            </w:r>
            <w:r w:rsidRPr="00201FC7">
              <w:rPr>
                <w:sz w:val="20"/>
                <w:lang w:eastAsia="fr-CA"/>
              </w:rPr>
              <w:t xml:space="preserve"> the Company’s supply chain and consumer base and uncertainty regarding the extent, duration and severity of business disruptions are having a material impact on all aspects of the Company’s operation</w:t>
            </w:r>
            <w:r>
              <w:rPr>
                <w:sz w:val="20"/>
                <w:lang w:eastAsia="fr-CA"/>
              </w:rPr>
              <w:t>s</w:t>
            </w:r>
            <w:r w:rsidRPr="00201FC7">
              <w:rPr>
                <w:sz w:val="20"/>
                <w:lang w:eastAsia="fr-CA"/>
              </w:rPr>
              <w:t xml:space="preserve">. </w:t>
            </w:r>
            <w:r>
              <w:rPr>
                <w:sz w:val="20"/>
                <w:lang w:eastAsia="fr-CA"/>
              </w:rPr>
              <w:t>Currently, the Company is not generating sufficient funds</w:t>
            </w:r>
            <w:r w:rsidR="00B75BF1">
              <w:rPr>
                <w:sz w:val="20"/>
                <w:lang w:eastAsia="fr-CA"/>
              </w:rPr>
              <w:t xml:space="preserve"> from operations</w:t>
            </w:r>
            <w:r>
              <w:rPr>
                <w:sz w:val="20"/>
                <w:lang w:eastAsia="fr-CA"/>
              </w:rPr>
              <w:t xml:space="preserve"> to support</w:t>
            </w:r>
            <w:r w:rsidR="00B75BF1">
              <w:rPr>
                <w:sz w:val="20"/>
                <w:lang w:eastAsia="fr-CA"/>
              </w:rPr>
              <w:t xml:space="preserve"> </w:t>
            </w:r>
            <w:r>
              <w:rPr>
                <w:sz w:val="20"/>
                <w:lang w:eastAsia="fr-CA"/>
              </w:rPr>
              <w:t>its day-to-day activities. These</w:t>
            </w:r>
            <w:r w:rsidRPr="00201FC7">
              <w:rPr>
                <w:sz w:val="20"/>
                <w:lang w:eastAsia="fr-CA"/>
              </w:rPr>
              <w:t xml:space="preserve"> conditions </w:t>
            </w:r>
            <w:r>
              <w:rPr>
                <w:sz w:val="20"/>
                <w:lang w:eastAsia="fr-CA"/>
              </w:rPr>
              <w:t xml:space="preserve">call into question the Company’s </w:t>
            </w:r>
            <w:r w:rsidRPr="00201FC7">
              <w:rPr>
                <w:sz w:val="20"/>
                <w:lang w:eastAsia="fr-CA"/>
              </w:rPr>
              <w:t>ability to continue as a going concern</w:t>
            </w:r>
            <w:r>
              <w:rPr>
                <w:sz w:val="20"/>
                <w:lang w:eastAsia="fr-CA"/>
              </w:rPr>
              <w:t xml:space="preserve">. </w:t>
            </w:r>
          </w:p>
          <w:p w14:paraId="7A5D414C" w14:textId="77777777" w:rsidR="006E2A02" w:rsidRPr="00201FC7" w:rsidRDefault="006E2A02" w:rsidP="00CE4B48">
            <w:pPr>
              <w:autoSpaceDE w:val="0"/>
              <w:autoSpaceDN w:val="0"/>
              <w:adjustRightInd w:val="0"/>
              <w:jc w:val="both"/>
              <w:rPr>
                <w:sz w:val="20"/>
                <w:lang w:eastAsia="fr-CA"/>
              </w:rPr>
            </w:pPr>
          </w:p>
          <w:p w14:paraId="669EF5B8" w14:textId="77777777" w:rsidR="006E2A02" w:rsidRDefault="006E2A02" w:rsidP="00CE4B48">
            <w:pPr>
              <w:autoSpaceDE w:val="0"/>
              <w:autoSpaceDN w:val="0"/>
              <w:adjustRightInd w:val="0"/>
              <w:jc w:val="both"/>
              <w:rPr>
                <w:sz w:val="20"/>
                <w:lang w:eastAsia="fr-CA"/>
              </w:rPr>
            </w:pPr>
            <w:r w:rsidRPr="00201FC7">
              <w:rPr>
                <w:sz w:val="20"/>
                <w:lang w:eastAsia="fr-CA"/>
              </w:rPr>
              <w:t xml:space="preserve">In response to the uncertainty caused by the COVID-19 global pandemic, the Company has </w:t>
            </w:r>
            <w:r>
              <w:rPr>
                <w:sz w:val="20"/>
                <w:lang w:eastAsia="fr-CA"/>
              </w:rPr>
              <w:t xml:space="preserve">taken or plans to take several actions including: </w:t>
            </w:r>
          </w:p>
          <w:p w14:paraId="7B459072" w14:textId="77777777" w:rsidR="006E2A02" w:rsidRDefault="006E2A02" w:rsidP="00275D8A">
            <w:pPr>
              <w:pStyle w:val="ListParagraph"/>
              <w:numPr>
                <w:ilvl w:val="0"/>
                <w:numId w:val="54"/>
              </w:numPr>
              <w:autoSpaceDE w:val="0"/>
              <w:autoSpaceDN w:val="0"/>
              <w:adjustRightInd w:val="0"/>
              <w:spacing w:after="240"/>
              <w:jc w:val="both"/>
              <w:rPr>
                <w:sz w:val="20"/>
                <w:lang w:eastAsia="fr-CA"/>
              </w:rPr>
            </w:pPr>
            <w:r>
              <w:rPr>
                <w:sz w:val="20"/>
                <w:lang w:eastAsia="fr-CA"/>
              </w:rPr>
              <w:t>a</w:t>
            </w:r>
            <w:r w:rsidRPr="00F15403">
              <w:rPr>
                <w:sz w:val="20"/>
                <w:lang w:eastAsia="fr-CA"/>
              </w:rPr>
              <w:t xml:space="preserve">nnounced that it will not be paying dividends in the foreseeable future until conditions improve </w:t>
            </w:r>
          </w:p>
          <w:p w14:paraId="36C3683D" w14:textId="2C4B37C5" w:rsidR="006E2A02" w:rsidRDefault="006E2A02" w:rsidP="00275D8A">
            <w:pPr>
              <w:pStyle w:val="ListParagraph"/>
              <w:numPr>
                <w:ilvl w:val="0"/>
                <w:numId w:val="54"/>
              </w:numPr>
              <w:autoSpaceDE w:val="0"/>
              <w:autoSpaceDN w:val="0"/>
              <w:adjustRightInd w:val="0"/>
              <w:spacing w:after="240"/>
              <w:jc w:val="both"/>
              <w:rPr>
                <w:sz w:val="20"/>
                <w:lang w:eastAsia="fr-CA"/>
              </w:rPr>
            </w:pPr>
            <w:r>
              <w:rPr>
                <w:sz w:val="20"/>
                <w:lang w:eastAsia="fr-CA"/>
              </w:rPr>
              <w:t>actively monitoring cash flow forecasts and results, which has resulted in</w:t>
            </w:r>
            <w:r w:rsidR="00B90828">
              <w:rPr>
                <w:sz w:val="20"/>
                <w:lang w:eastAsia="fr-CA"/>
              </w:rPr>
              <w:t xml:space="preserve"> </w:t>
            </w:r>
            <w:r w:rsidRPr="00201FC7">
              <w:rPr>
                <w:sz w:val="20"/>
                <w:lang w:eastAsia="fr-CA"/>
              </w:rPr>
              <w:t>significant cost savings</w:t>
            </w:r>
            <w:r>
              <w:rPr>
                <w:sz w:val="20"/>
                <w:lang w:eastAsia="fr-CA"/>
              </w:rPr>
              <w:t xml:space="preserve"> in the short-term</w:t>
            </w:r>
          </w:p>
          <w:p w14:paraId="0182CBB3" w14:textId="77777777" w:rsidR="006E2A02" w:rsidRDefault="006E2A02" w:rsidP="00275D8A">
            <w:pPr>
              <w:pStyle w:val="ListParagraph"/>
              <w:numPr>
                <w:ilvl w:val="0"/>
                <w:numId w:val="54"/>
              </w:numPr>
              <w:autoSpaceDE w:val="0"/>
              <w:autoSpaceDN w:val="0"/>
              <w:adjustRightInd w:val="0"/>
              <w:spacing w:after="240"/>
              <w:jc w:val="both"/>
              <w:rPr>
                <w:sz w:val="20"/>
                <w:lang w:eastAsia="fr-CA"/>
              </w:rPr>
            </w:pPr>
            <w:r>
              <w:rPr>
                <w:sz w:val="20"/>
                <w:lang w:eastAsia="fr-CA"/>
              </w:rPr>
              <w:t>subsequent to period end</w:t>
            </w:r>
            <w:r w:rsidRPr="00027432">
              <w:rPr>
                <w:sz w:val="20"/>
                <w:lang w:eastAsia="fr-CA"/>
              </w:rPr>
              <w:t>, the Company successfully negotiated an</w:t>
            </w:r>
            <w:r>
              <w:rPr>
                <w:sz w:val="20"/>
                <w:lang w:eastAsia="fr-CA"/>
              </w:rPr>
              <w:t xml:space="preserve"> increase to its credit facility that included revised covenants</w:t>
            </w:r>
            <w:r w:rsidRPr="00027432">
              <w:rPr>
                <w:sz w:val="20"/>
                <w:lang w:eastAsia="fr-CA"/>
              </w:rPr>
              <w:t xml:space="preserve"> </w:t>
            </w:r>
          </w:p>
          <w:p w14:paraId="11CD35D9" w14:textId="77777777" w:rsidR="006E2A02" w:rsidRDefault="006E2A02" w:rsidP="00CE4B48">
            <w:pPr>
              <w:autoSpaceDE w:val="0"/>
              <w:autoSpaceDN w:val="0"/>
              <w:adjustRightInd w:val="0"/>
              <w:spacing w:after="240"/>
              <w:jc w:val="both"/>
              <w:rPr>
                <w:sz w:val="20"/>
                <w:lang w:eastAsia="fr-CA"/>
              </w:rPr>
            </w:pPr>
            <w:r w:rsidRPr="00A738D2">
              <w:rPr>
                <w:sz w:val="20"/>
                <w:lang w:eastAsia="fr-CA"/>
              </w:rPr>
              <w:t>Based on these actions, its diversified business and current backlog, the Company expects to generate sufficient cash flows to fund its operations, working capital requirements and capital program</w:t>
            </w:r>
            <w:r>
              <w:rPr>
                <w:sz w:val="20"/>
                <w:lang w:eastAsia="fr-CA"/>
              </w:rPr>
              <w:t xml:space="preserve"> for the next 12 months</w:t>
            </w:r>
            <w:r w:rsidRPr="00201FC7">
              <w:rPr>
                <w:sz w:val="20"/>
                <w:lang w:eastAsia="fr-CA"/>
              </w:rPr>
              <w:t>.</w:t>
            </w:r>
            <w:r>
              <w:rPr>
                <w:sz w:val="20"/>
                <w:lang w:eastAsia="fr-CA"/>
              </w:rPr>
              <w:t xml:space="preserve"> </w:t>
            </w:r>
          </w:p>
          <w:p w14:paraId="08977292" w14:textId="77777777" w:rsidR="006E2A02" w:rsidRDefault="006E2A02" w:rsidP="00CE4B48">
            <w:pPr>
              <w:autoSpaceDE w:val="0"/>
              <w:autoSpaceDN w:val="0"/>
              <w:adjustRightInd w:val="0"/>
              <w:spacing w:after="240"/>
              <w:jc w:val="both"/>
              <w:rPr>
                <w:sz w:val="20"/>
                <w:lang w:eastAsia="fr-CA"/>
              </w:rPr>
            </w:pPr>
            <w:r w:rsidRPr="00A738D2">
              <w:rPr>
                <w:sz w:val="20"/>
                <w:lang w:eastAsia="fr-CA"/>
              </w:rPr>
              <w:t>A</w:t>
            </w:r>
            <w:r>
              <w:rPr>
                <w:sz w:val="20"/>
                <w:lang w:eastAsia="fr-CA"/>
              </w:rPr>
              <w:t>s a result, a</w:t>
            </w:r>
            <w:r w:rsidRPr="00A738D2">
              <w:rPr>
                <w:sz w:val="20"/>
                <w:lang w:eastAsia="fr-CA"/>
              </w:rPr>
              <w:t>fter</w:t>
            </w:r>
            <w:r w:rsidRPr="00201FC7">
              <w:rPr>
                <w:sz w:val="20"/>
                <w:lang w:eastAsia="fr-CA"/>
              </w:rPr>
              <w:t xml:space="preserve"> considering</w:t>
            </w:r>
            <w:r>
              <w:rPr>
                <w:sz w:val="20"/>
                <w:lang w:eastAsia="fr-CA"/>
              </w:rPr>
              <w:t xml:space="preserve"> all relevant information, including </w:t>
            </w:r>
            <w:r w:rsidRPr="00201FC7">
              <w:rPr>
                <w:sz w:val="20"/>
                <w:lang w:eastAsia="fr-CA"/>
              </w:rPr>
              <w:t xml:space="preserve">its actions completed to date and its future plans, management has concluded that there are no material uncertainties related to events or conditions that may cast significant doubt upon the Company’s ability to continue as a going concern for a period of 12 months from the consolidated balance sheet date. </w:t>
            </w:r>
          </w:p>
          <w:p w14:paraId="3512F483" w14:textId="77777777" w:rsidR="006E2A02" w:rsidRPr="00201FC7" w:rsidRDefault="006E2A02" w:rsidP="00CE4B48">
            <w:pPr>
              <w:autoSpaceDE w:val="0"/>
              <w:autoSpaceDN w:val="0"/>
              <w:adjustRightInd w:val="0"/>
              <w:spacing w:after="240"/>
              <w:jc w:val="both"/>
              <w:rPr>
                <w:sz w:val="20"/>
                <w:lang w:eastAsia="fr-CA"/>
              </w:rPr>
            </w:pPr>
            <w:r w:rsidRPr="00FE52F0">
              <w:rPr>
                <w:sz w:val="20"/>
                <w:lang w:eastAsia="fr-CA"/>
              </w:rPr>
              <w:t>The estimates used by management in reaching this conclusion are based on information available as of the date these financial statements were authorized for issuance and include internally generated cash flow forecasts. Accordingly, actual results could differ from these estimates and resulting variances may be material to management’s assessment</w:t>
            </w:r>
            <w:r w:rsidRPr="006B5C66">
              <w:rPr>
                <w:sz w:val="20"/>
                <w:lang w:eastAsia="fr-CA"/>
              </w:rPr>
              <w:t>.</w:t>
            </w:r>
          </w:p>
        </w:tc>
      </w:tr>
    </w:tbl>
    <w:p w14:paraId="34E3811C" w14:textId="77777777" w:rsidR="00CB19F7" w:rsidRPr="003C59AC" w:rsidRDefault="00CB19F7" w:rsidP="006E2A02"/>
    <w:p w14:paraId="572151D4" w14:textId="36CE5A91" w:rsidR="006E2A02" w:rsidRPr="006034D0" w:rsidRDefault="006E2A02" w:rsidP="006E2A02">
      <w:pPr>
        <w:spacing w:after="240"/>
        <w:jc w:val="both"/>
        <w:outlineLvl w:val="2"/>
        <w:rPr>
          <w:b/>
          <w:color w:val="1F497D" w:themeColor="text2"/>
          <w:sz w:val="20"/>
        </w:rPr>
      </w:pPr>
      <w:bookmarkStart w:id="23" w:name="_Toc61425099"/>
      <w:bookmarkStart w:id="24" w:name="_Toc62334922"/>
      <w:r>
        <w:rPr>
          <w:b/>
          <w:color w:val="1F497D" w:themeColor="text2"/>
          <w:sz w:val="20"/>
        </w:rPr>
        <w:t>B.2.</w:t>
      </w:r>
      <w:r w:rsidR="00B75BF1">
        <w:rPr>
          <w:b/>
          <w:color w:val="1F497D" w:themeColor="text2"/>
          <w:sz w:val="20"/>
        </w:rPr>
        <w:t>3</w:t>
      </w:r>
      <w:r>
        <w:rPr>
          <w:b/>
          <w:color w:val="1F497D" w:themeColor="text2"/>
          <w:sz w:val="20"/>
        </w:rPr>
        <w:t xml:space="preserve"> </w:t>
      </w:r>
      <w:r w:rsidRPr="006034D0">
        <w:rPr>
          <w:b/>
          <w:color w:val="1F497D" w:themeColor="text2"/>
          <w:sz w:val="20"/>
        </w:rPr>
        <w:t>Government Assistance</w:t>
      </w:r>
      <w:bookmarkEnd w:id="23"/>
      <w:bookmarkEnd w:id="24"/>
    </w:p>
    <w:p w14:paraId="344D0CFB" w14:textId="77777777" w:rsidR="006E2A02" w:rsidRPr="00B31F40" w:rsidRDefault="006E2A02" w:rsidP="006E2A02">
      <w:pPr>
        <w:spacing w:after="240"/>
        <w:jc w:val="both"/>
        <w:rPr>
          <w:b/>
          <w:bCs/>
          <w:sz w:val="20"/>
          <w:u w:val="single"/>
          <w:lang w:eastAsia="fr-CA"/>
        </w:rPr>
      </w:pPr>
      <w:r w:rsidRPr="0001469C">
        <w:rPr>
          <w:b/>
          <w:bCs/>
          <w:sz w:val="20"/>
          <w:u w:val="single"/>
          <w:lang w:eastAsia="fr-CA"/>
        </w:rPr>
        <w:t xml:space="preserve">Example of </w:t>
      </w:r>
      <w:r>
        <w:rPr>
          <w:b/>
          <w:bCs/>
          <w:sz w:val="20"/>
          <w:u w:val="single"/>
          <w:lang w:eastAsia="fr-CA"/>
        </w:rPr>
        <w:t xml:space="preserve">deficient </w:t>
      </w:r>
      <w:r w:rsidRPr="0001469C">
        <w:rPr>
          <w:b/>
          <w:bCs/>
          <w:sz w:val="20"/>
          <w:u w:val="single"/>
          <w:lang w:eastAsia="fr-CA"/>
        </w:rPr>
        <w:t>disclosure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shd w:val="clear" w:color="auto" w:fill="EEECE1" w:themeFill="background2"/>
        <w:tblLook w:val="04A0" w:firstRow="1" w:lastRow="0" w:firstColumn="1" w:lastColumn="0" w:noHBand="0" w:noVBand="1"/>
      </w:tblPr>
      <w:tblGrid>
        <w:gridCol w:w="9350"/>
      </w:tblGrid>
      <w:tr w:rsidR="006E2A02" w:rsidRPr="00201FC7" w14:paraId="5D98BF2E" w14:textId="77777777" w:rsidTr="00CE4B48">
        <w:tc>
          <w:tcPr>
            <w:tcW w:w="9350" w:type="dxa"/>
            <w:shd w:val="clear" w:color="auto" w:fill="4F81BD" w:themeFill="accent1"/>
          </w:tcPr>
          <w:p w14:paraId="0AF7C04B" w14:textId="1CAF43B1" w:rsidR="006E2A02" w:rsidRPr="00201FC7" w:rsidRDefault="006E2A02" w:rsidP="00CE4B48">
            <w:pPr>
              <w:autoSpaceDE w:val="0"/>
              <w:autoSpaceDN w:val="0"/>
              <w:adjustRightInd w:val="0"/>
              <w:rPr>
                <w:color w:val="FFFFFF" w:themeColor="background1"/>
                <w:sz w:val="20"/>
                <w:lang w:eastAsia="fr-CA"/>
              </w:rPr>
            </w:pPr>
            <w:r w:rsidRPr="00201FC7">
              <w:rPr>
                <w:b/>
                <w:bCs/>
                <w:color w:val="FFFFFF" w:themeColor="background1"/>
                <w:sz w:val="20"/>
              </w:rPr>
              <w:t>EXAMPLE B</w:t>
            </w:r>
            <w:r>
              <w:rPr>
                <w:b/>
                <w:bCs/>
                <w:color w:val="FFFFFF" w:themeColor="background1"/>
                <w:sz w:val="20"/>
              </w:rPr>
              <w:t>.2.</w:t>
            </w:r>
            <w:r w:rsidR="00B75BF1">
              <w:rPr>
                <w:b/>
                <w:bCs/>
                <w:color w:val="FFFFFF" w:themeColor="background1"/>
                <w:sz w:val="20"/>
              </w:rPr>
              <w:t>3</w:t>
            </w:r>
            <w:r w:rsidRPr="00201FC7">
              <w:rPr>
                <w:b/>
                <w:bCs/>
                <w:color w:val="FFFFFF" w:themeColor="background1"/>
                <w:sz w:val="20"/>
              </w:rPr>
              <w:t xml:space="preserve">(a) </w:t>
            </w:r>
          </w:p>
        </w:tc>
      </w:tr>
      <w:tr w:rsidR="006E2A02" w:rsidRPr="00201FC7" w14:paraId="5155DD37" w14:textId="77777777" w:rsidTr="00CE4B48">
        <w:tc>
          <w:tcPr>
            <w:tcW w:w="9350" w:type="dxa"/>
            <w:tcBorders>
              <w:bottom w:val="single" w:sz="4" w:space="0" w:color="4F81BD" w:themeColor="accent1"/>
            </w:tcBorders>
            <w:shd w:val="clear" w:color="auto" w:fill="4F81BD" w:themeFill="accent1"/>
          </w:tcPr>
          <w:p w14:paraId="47EB41EB" w14:textId="77777777" w:rsidR="006E2A02" w:rsidRDefault="006E2A02" w:rsidP="00CE4B48">
            <w:pPr>
              <w:rPr>
                <w:rStyle w:val="CommentReference"/>
                <w:rFonts w:ascii="Verdana" w:eastAsiaTheme="minorHAnsi" w:hAnsi="Verdana" w:cstheme="minorBidi"/>
                <w:lang w:eastAsia="zh-TW"/>
              </w:rPr>
            </w:pPr>
            <w:r w:rsidRPr="00201FC7">
              <w:rPr>
                <w:b/>
                <w:bCs/>
                <w:color w:val="FFFFFF" w:themeColor="background1"/>
                <w:sz w:val="20"/>
              </w:rPr>
              <w:t>Did not disclose:</w:t>
            </w:r>
          </w:p>
          <w:p w14:paraId="274CB807" w14:textId="77777777" w:rsidR="006E2A02" w:rsidRPr="00FE52F0" w:rsidRDefault="006E2A02" w:rsidP="00275D8A">
            <w:pPr>
              <w:pStyle w:val="ListParagraph"/>
              <w:numPr>
                <w:ilvl w:val="0"/>
                <w:numId w:val="55"/>
              </w:numPr>
              <w:rPr>
                <w:color w:val="FFFFFF" w:themeColor="background1"/>
                <w:sz w:val="20"/>
              </w:rPr>
            </w:pPr>
            <w:r w:rsidRPr="00FE52F0">
              <w:rPr>
                <w:color w:val="FFFFFF" w:themeColor="background1"/>
                <w:sz w:val="20"/>
              </w:rPr>
              <w:t>The accounting policy adopted for government grants, including the methods of presentation adopted in the financial statements</w:t>
            </w:r>
          </w:p>
          <w:p w14:paraId="453CAE59" w14:textId="77777777" w:rsidR="006E2A02" w:rsidRPr="004671D9" w:rsidRDefault="006E2A02" w:rsidP="006E2A02">
            <w:pPr>
              <w:pStyle w:val="ListParagraph"/>
              <w:numPr>
                <w:ilvl w:val="0"/>
                <w:numId w:val="13"/>
              </w:numPr>
              <w:ind w:left="318"/>
              <w:rPr>
                <w:color w:val="FFFFFF" w:themeColor="background1"/>
                <w:sz w:val="20"/>
              </w:rPr>
            </w:pPr>
            <w:r w:rsidRPr="004671D9">
              <w:rPr>
                <w:color w:val="FFFFFF" w:themeColor="background1"/>
                <w:sz w:val="20"/>
              </w:rPr>
              <w:t>The nature and extent of government grants recognized in the financial statements</w:t>
            </w:r>
          </w:p>
          <w:p w14:paraId="43F962F3" w14:textId="77777777" w:rsidR="006E2A02" w:rsidRPr="00201FC7" w:rsidRDefault="006E2A02" w:rsidP="006E2A02">
            <w:pPr>
              <w:pStyle w:val="ListParagraph"/>
              <w:numPr>
                <w:ilvl w:val="0"/>
                <w:numId w:val="13"/>
              </w:numPr>
              <w:spacing w:after="240"/>
              <w:ind w:left="318"/>
              <w:rPr>
                <w:b/>
                <w:bCs/>
                <w:color w:val="FFFFFF" w:themeColor="background1"/>
                <w:sz w:val="20"/>
              </w:rPr>
            </w:pPr>
            <w:r w:rsidRPr="004671D9">
              <w:rPr>
                <w:color w:val="FFFFFF" w:themeColor="background1"/>
                <w:sz w:val="20"/>
              </w:rPr>
              <w:t>Unfulfilled conditions and other contingencies attaching to government assistance that has been recognized</w:t>
            </w:r>
          </w:p>
        </w:tc>
      </w:tr>
      <w:tr w:rsidR="006E2A02" w:rsidRPr="00201FC7" w14:paraId="3A5121BE" w14:textId="77777777" w:rsidTr="00CE4B48">
        <w:trPr>
          <w:trHeight w:val="834"/>
        </w:trPr>
        <w:tc>
          <w:tcPr>
            <w:tcW w:w="9350" w:type="dxa"/>
            <w:shd w:val="clear" w:color="auto" w:fill="auto"/>
          </w:tcPr>
          <w:p w14:paraId="6614781F" w14:textId="77777777" w:rsidR="006E2A02" w:rsidRPr="00201FC7" w:rsidRDefault="006E2A02" w:rsidP="00CE4B48">
            <w:pPr>
              <w:spacing w:after="240"/>
              <w:jc w:val="both"/>
              <w:rPr>
                <w:sz w:val="20"/>
                <w:lang w:eastAsia="fr-CA"/>
              </w:rPr>
            </w:pPr>
            <w:r w:rsidRPr="00201FC7">
              <w:rPr>
                <w:sz w:val="20"/>
                <w:lang w:eastAsia="fr-CA"/>
              </w:rPr>
              <w:t>The Canada Emergency Wage Subsidy (“CEWS”) was put in place by government of Canada to provide a wage subsidy to eligible employers to help get Canadians hired back quickly as provincial and territorial economies began to reopen. The Company recognized $XXX and $XXX of CEWS during the three and six months ended Q3 2020 as subsidy.</w:t>
            </w:r>
          </w:p>
        </w:tc>
      </w:tr>
    </w:tbl>
    <w:p w14:paraId="55883FC0" w14:textId="77777777" w:rsidR="006E2A02" w:rsidRDefault="006E2A02" w:rsidP="006E2A02">
      <w:pPr>
        <w:rPr>
          <w:b/>
          <w:color w:val="1F497D" w:themeColor="text2"/>
          <w:sz w:val="20"/>
        </w:rPr>
      </w:pPr>
    </w:p>
    <w:p w14:paraId="67029EC3" w14:textId="77777777" w:rsidR="006E2A02" w:rsidRDefault="006E2A02" w:rsidP="006E2A02">
      <w:pPr>
        <w:rPr>
          <w:b/>
          <w:bCs/>
          <w:sz w:val="20"/>
          <w:u w:val="single"/>
          <w:lang w:eastAsia="fr-CA"/>
        </w:rPr>
      </w:pPr>
      <w:r>
        <w:rPr>
          <w:b/>
          <w:bCs/>
          <w:sz w:val="20"/>
          <w:u w:val="single"/>
          <w:lang w:eastAsia="fr-CA"/>
        </w:rPr>
        <w:t>E</w:t>
      </w:r>
      <w:r w:rsidRPr="007D4F4A">
        <w:rPr>
          <w:b/>
          <w:bCs/>
          <w:sz w:val="20"/>
          <w:u w:val="single"/>
          <w:lang w:eastAsia="fr-CA"/>
        </w:rPr>
        <w:t xml:space="preserve">xample of </w:t>
      </w:r>
      <w:r>
        <w:rPr>
          <w:b/>
          <w:bCs/>
          <w:sz w:val="20"/>
          <w:u w:val="single"/>
          <w:lang w:eastAsia="fr-CA"/>
        </w:rPr>
        <w:t>improved</w:t>
      </w:r>
      <w:r w:rsidRPr="007D4F4A">
        <w:rPr>
          <w:b/>
          <w:bCs/>
          <w:sz w:val="20"/>
          <w:u w:val="single"/>
          <w:lang w:eastAsia="fr-CA"/>
        </w:rPr>
        <w:t xml:space="preserve"> disclosure</w:t>
      </w:r>
    </w:p>
    <w:p w14:paraId="6A917BE6" w14:textId="77777777" w:rsidR="006E2A02" w:rsidRPr="00BF07E1" w:rsidRDefault="006E2A02" w:rsidP="006E2A02">
      <w:pPr>
        <w:rPr>
          <w:sz w:val="20"/>
          <w:u w:val="single"/>
          <w:lang w:eastAsia="fr-CA"/>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shd w:val="clear" w:color="auto" w:fill="EEECE1" w:themeFill="background2"/>
        <w:tblLook w:val="04A0" w:firstRow="1" w:lastRow="0" w:firstColumn="1" w:lastColumn="0" w:noHBand="0" w:noVBand="1"/>
      </w:tblPr>
      <w:tblGrid>
        <w:gridCol w:w="9350"/>
      </w:tblGrid>
      <w:tr w:rsidR="006E2A02" w:rsidRPr="00201FC7" w14:paraId="5DCA8CCA" w14:textId="77777777" w:rsidTr="00CE4B48">
        <w:tc>
          <w:tcPr>
            <w:tcW w:w="9350" w:type="dxa"/>
            <w:shd w:val="clear" w:color="auto" w:fill="4F81BD" w:themeFill="accent1"/>
          </w:tcPr>
          <w:p w14:paraId="6A4B1752" w14:textId="33AAC02E" w:rsidR="006E2A02" w:rsidRPr="00201FC7" w:rsidRDefault="006E2A02" w:rsidP="00CE4B48">
            <w:pPr>
              <w:autoSpaceDE w:val="0"/>
              <w:autoSpaceDN w:val="0"/>
              <w:adjustRightInd w:val="0"/>
              <w:rPr>
                <w:color w:val="FFFFFF" w:themeColor="background1"/>
                <w:sz w:val="20"/>
                <w:lang w:eastAsia="fr-CA"/>
              </w:rPr>
            </w:pPr>
            <w:r w:rsidRPr="00201FC7">
              <w:rPr>
                <w:b/>
                <w:bCs/>
                <w:color w:val="FFFFFF" w:themeColor="background1"/>
                <w:sz w:val="20"/>
              </w:rPr>
              <w:t>EXAMPLE B</w:t>
            </w:r>
            <w:r>
              <w:rPr>
                <w:b/>
                <w:bCs/>
                <w:color w:val="FFFFFF" w:themeColor="background1"/>
                <w:sz w:val="20"/>
              </w:rPr>
              <w:t>.2.</w:t>
            </w:r>
            <w:r w:rsidR="00B75BF1">
              <w:rPr>
                <w:b/>
                <w:bCs/>
                <w:color w:val="FFFFFF" w:themeColor="background1"/>
                <w:sz w:val="20"/>
              </w:rPr>
              <w:t>3</w:t>
            </w:r>
            <w:r w:rsidRPr="00201FC7">
              <w:rPr>
                <w:b/>
                <w:bCs/>
                <w:color w:val="FFFFFF" w:themeColor="background1"/>
                <w:sz w:val="20"/>
              </w:rPr>
              <w:t xml:space="preserve">(b) </w:t>
            </w:r>
          </w:p>
        </w:tc>
      </w:tr>
      <w:tr w:rsidR="006E2A02" w:rsidRPr="00201FC7" w14:paraId="026A03A0" w14:textId="77777777" w:rsidTr="00CE4B48">
        <w:tc>
          <w:tcPr>
            <w:tcW w:w="9350" w:type="dxa"/>
            <w:shd w:val="clear" w:color="auto" w:fill="4F81BD" w:themeFill="accent1"/>
          </w:tcPr>
          <w:p w14:paraId="3E87FFB8" w14:textId="77777777" w:rsidR="006E2A02" w:rsidRPr="006F4B21" w:rsidRDefault="006E2A02" w:rsidP="006E2A02">
            <w:pPr>
              <w:pStyle w:val="ListParagraph"/>
              <w:numPr>
                <w:ilvl w:val="0"/>
                <w:numId w:val="13"/>
              </w:numPr>
              <w:spacing w:after="240"/>
              <w:ind w:left="318"/>
              <w:rPr>
                <w:color w:val="FFFFFF" w:themeColor="background1"/>
                <w:sz w:val="20"/>
              </w:rPr>
            </w:pPr>
            <w:r w:rsidRPr="006F4B21">
              <w:rPr>
                <w:color w:val="FFFFFF" w:themeColor="background1"/>
                <w:sz w:val="20"/>
              </w:rPr>
              <w:t xml:space="preserve">Provided </w:t>
            </w:r>
            <w:r>
              <w:rPr>
                <w:color w:val="FFFFFF" w:themeColor="background1"/>
                <w:sz w:val="20"/>
              </w:rPr>
              <w:t>all the required disclosure under IAS 20</w:t>
            </w:r>
          </w:p>
        </w:tc>
      </w:tr>
      <w:tr w:rsidR="006E2A02" w:rsidRPr="00201FC7" w14:paraId="52E58B75" w14:textId="77777777" w:rsidTr="004559A0">
        <w:trPr>
          <w:trHeight w:val="558"/>
        </w:trPr>
        <w:tc>
          <w:tcPr>
            <w:tcW w:w="9350" w:type="dxa"/>
            <w:shd w:val="clear" w:color="auto" w:fill="DBE5F1" w:themeFill="accent1" w:themeFillTint="33"/>
          </w:tcPr>
          <w:p w14:paraId="0F3D5099" w14:textId="77777777" w:rsidR="00B75BF1" w:rsidRDefault="00B75BF1" w:rsidP="00B75BF1">
            <w:pPr>
              <w:spacing w:after="240"/>
              <w:jc w:val="both"/>
              <w:rPr>
                <w:sz w:val="20"/>
                <w:lang w:eastAsia="fr-CA"/>
              </w:rPr>
            </w:pPr>
            <w:r w:rsidRPr="00201FC7">
              <w:rPr>
                <w:sz w:val="20"/>
                <w:lang w:eastAsia="fr-CA"/>
              </w:rPr>
              <w:t xml:space="preserve">In response to the negative economic impact of COVID-19, the Government of Canada announced the Canada Emergency Wage Subsidy </w:t>
            </w:r>
            <w:r>
              <w:rPr>
                <w:sz w:val="20"/>
                <w:lang w:eastAsia="fr-CA"/>
              </w:rPr>
              <w:t>(“</w:t>
            </w:r>
            <w:r w:rsidRPr="00201FC7">
              <w:rPr>
                <w:sz w:val="20"/>
                <w:lang w:eastAsia="fr-CA"/>
              </w:rPr>
              <w:t>CEWS</w:t>
            </w:r>
            <w:r>
              <w:rPr>
                <w:sz w:val="20"/>
                <w:lang w:eastAsia="fr-CA"/>
              </w:rPr>
              <w:t>”)</w:t>
            </w:r>
            <w:r w:rsidRPr="00201FC7">
              <w:rPr>
                <w:sz w:val="20"/>
                <w:lang w:eastAsia="fr-CA"/>
              </w:rPr>
              <w:t xml:space="preserve"> program in April 2020</w:t>
            </w:r>
            <w:r>
              <w:rPr>
                <w:sz w:val="20"/>
                <w:lang w:eastAsia="fr-CA"/>
              </w:rPr>
              <w:t>, retroactive to March 15, 2020</w:t>
            </w:r>
            <w:r w:rsidRPr="00201FC7">
              <w:rPr>
                <w:sz w:val="20"/>
                <w:lang w:eastAsia="fr-CA"/>
              </w:rPr>
              <w:t xml:space="preserve">. CEWS provides a wage subsidy to eligible employers based on certain criteria, including demonstration of revenue declines as result of COVID-19. </w:t>
            </w:r>
          </w:p>
          <w:p w14:paraId="3E49C54A" w14:textId="77777777" w:rsidR="00B75BF1" w:rsidRDefault="00B75BF1" w:rsidP="00B75BF1">
            <w:pPr>
              <w:spacing w:after="240"/>
              <w:jc w:val="both"/>
              <w:rPr>
                <w:sz w:val="20"/>
                <w:lang w:eastAsia="fr-CA"/>
              </w:rPr>
            </w:pPr>
            <w:r w:rsidRPr="00201FC7">
              <w:rPr>
                <w:sz w:val="20"/>
                <w:lang w:eastAsia="fr-CA"/>
              </w:rPr>
              <w:t xml:space="preserve">The Company has determined that it has qualified for this subsidy from March 15, 2020 through </w:t>
            </w:r>
            <w:r>
              <w:rPr>
                <w:sz w:val="20"/>
                <w:lang w:eastAsia="fr-CA"/>
              </w:rPr>
              <w:t>September 30</w:t>
            </w:r>
            <w:r w:rsidRPr="00201FC7">
              <w:rPr>
                <w:sz w:val="20"/>
                <w:lang w:eastAsia="fr-CA"/>
              </w:rPr>
              <w:t>, 2020 and has, accordingly, applied for, and for certain periods received, the CEWS. The Company also intends to apply for the CEWS in subsequent application periods</w:t>
            </w:r>
            <w:r>
              <w:rPr>
                <w:sz w:val="20"/>
                <w:lang w:eastAsia="fr-CA"/>
              </w:rPr>
              <w:t xml:space="preserve"> it is available</w:t>
            </w:r>
            <w:r w:rsidRPr="00201FC7">
              <w:rPr>
                <w:sz w:val="20"/>
                <w:lang w:eastAsia="fr-CA"/>
              </w:rPr>
              <w:t xml:space="preserve">, subject to continuing to meet the applicable qualification criteria. </w:t>
            </w:r>
          </w:p>
          <w:p w14:paraId="4CBEE860" w14:textId="2F227B34" w:rsidR="006E2A02" w:rsidRPr="00201FC7" w:rsidRDefault="00B75BF1" w:rsidP="00B75BF1">
            <w:pPr>
              <w:spacing w:after="240"/>
              <w:jc w:val="both"/>
              <w:rPr>
                <w:sz w:val="20"/>
                <w:lang w:eastAsia="fr-CA"/>
              </w:rPr>
            </w:pPr>
            <w:r w:rsidRPr="00201FC7">
              <w:rPr>
                <w:sz w:val="20"/>
                <w:lang w:eastAsia="fr-CA"/>
              </w:rPr>
              <w:t xml:space="preserve">For the </w:t>
            </w:r>
            <w:r>
              <w:rPr>
                <w:sz w:val="20"/>
                <w:lang w:eastAsia="fr-CA"/>
              </w:rPr>
              <w:t xml:space="preserve">three and nine month </w:t>
            </w:r>
            <w:r w:rsidRPr="00201FC7">
              <w:rPr>
                <w:sz w:val="20"/>
                <w:lang w:eastAsia="fr-CA"/>
              </w:rPr>
              <w:t xml:space="preserve">ended </w:t>
            </w:r>
            <w:r>
              <w:rPr>
                <w:sz w:val="20"/>
                <w:lang w:eastAsia="fr-CA"/>
              </w:rPr>
              <w:t>September 30, 2020</w:t>
            </w:r>
            <w:r w:rsidRPr="00201FC7">
              <w:rPr>
                <w:sz w:val="20"/>
                <w:lang w:eastAsia="fr-CA"/>
              </w:rPr>
              <w:t xml:space="preserve">, the Company has recognized $XXX and $XXX </w:t>
            </w:r>
            <w:r>
              <w:rPr>
                <w:sz w:val="20"/>
                <w:lang w:eastAsia="fr-CA"/>
              </w:rPr>
              <w:t>from the</w:t>
            </w:r>
            <w:r w:rsidRPr="00201FC7">
              <w:rPr>
                <w:sz w:val="20"/>
                <w:lang w:eastAsia="fr-CA"/>
              </w:rPr>
              <w:t xml:space="preserve"> CEWS</w:t>
            </w:r>
            <w:r>
              <w:rPr>
                <w:sz w:val="20"/>
                <w:lang w:eastAsia="fr-CA"/>
              </w:rPr>
              <w:t xml:space="preserve"> program</w:t>
            </w:r>
            <w:r w:rsidRPr="00201FC7">
              <w:rPr>
                <w:sz w:val="20"/>
                <w:lang w:eastAsia="fr-CA"/>
              </w:rPr>
              <w:t xml:space="preserve">, respectively, and has recorded it as a reduction to the eligible remuneration expense </w:t>
            </w:r>
            <w:r>
              <w:rPr>
                <w:sz w:val="20"/>
                <w:lang w:eastAsia="fr-CA"/>
              </w:rPr>
              <w:t>in selling, general and administrative expenses</w:t>
            </w:r>
            <w:r w:rsidRPr="00201FC7">
              <w:rPr>
                <w:sz w:val="20"/>
                <w:lang w:eastAsia="fr-CA"/>
              </w:rPr>
              <w:t xml:space="preserve">. As of </w:t>
            </w:r>
            <w:r>
              <w:rPr>
                <w:sz w:val="20"/>
                <w:lang w:eastAsia="fr-CA"/>
              </w:rPr>
              <w:t>September 30, 2020</w:t>
            </w:r>
            <w:r w:rsidRPr="00201FC7">
              <w:rPr>
                <w:sz w:val="20"/>
                <w:lang w:eastAsia="fr-CA"/>
              </w:rPr>
              <w:t xml:space="preserve">, the Company has received $XXX </w:t>
            </w:r>
            <w:r>
              <w:rPr>
                <w:sz w:val="20"/>
                <w:lang w:eastAsia="fr-CA"/>
              </w:rPr>
              <w:t>from the</w:t>
            </w:r>
            <w:r w:rsidRPr="00201FC7">
              <w:rPr>
                <w:sz w:val="20"/>
                <w:lang w:eastAsia="fr-CA"/>
              </w:rPr>
              <w:t xml:space="preserve"> CEWS </w:t>
            </w:r>
            <w:r>
              <w:rPr>
                <w:sz w:val="20"/>
                <w:lang w:eastAsia="fr-CA"/>
              </w:rPr>
              <w:t xml:space="preserve">program </w:t>
            </w:r>
            <w:r w:rsidRPr="00201FC7">
              <w:rPr>
                <w:sz w:val="20"/>
                <w:lang w:eastAsia="fr-CA"/>
              </w:rPr>
              <w:t>and expects to receive the remaining recognized subsidy in the following fiscal quarter.</w:t>
            </w:r>
          </w:p>
        </w:tc>
      </w:tr>
    </w:tbl>
    <w:p w14:paraId="4B23E683" w14:textId="77777777" w:rsidR="00514C6D" w:rsidRDefault="00514C6D" w:rsidP="00646FE1">
      <w:pPr>
        <w:rPr>
          <w:sz w:val="20"/>
        </w:rPr>
      </w:pPr>
    </w:p>
    <w:p w14:paraId="6400FD6C" w14:textId="7E76B13F" w:rsidR="00646FE1" w:rsidRPr="00201FC7" w:rsidRDefault="00514C6D" w:rsidP="00646FE1">
      <w:pPr>
        <w:rPr>
          <w:sz w:val="20"/>
        </w:rPr>
      </w:pPr>
      <w:r>
        <w:rPr>
          <w:sz w:val="20"/>
        </w:rPr>
        <w:br w:type="page"/>
      </w:r>
    </w:p>
    <w:p w14:paraId="15070050" w14:textId="0E33D1FE" w:rsidR="00646FE1" w:rsidRDefault="002B6E85" w:rsidP="008F6922">
      <w:pPr>
        <w:pStyle w:val="Heading2"/>
        <w:numPr>
          <w:ilvl w:val="0"/>
          <w:numId w:val="0"/>
        </w:numPr>
        <w:rPr>
          <w:b/>
          <w:bCs/>
          <w:color w:val="1F497D" w:themeColor="text2"/>
          <w:sz w:val="28"/>
          <w:szCs w:val="28"/>
        </w:rPr>
      </w:pPr>
      <w:bookmarkStart w:id="25" w:name="_Toc62334923"/>
      <w:r>
        <w:rPr>
          <w:b/>
          <w:bCs/>
          <w:color w:val="1F497D" w:themeColor="text2"/>
          <w:sz w:val="28"/>
          <w:szCs w:val="28"/>
        </w:rPr>
        <w:t>B</w:t>
      </w:r>
      <w:r w:rsidR="00646FE1" w:rsidRPr="006355FB">
        <w:rPr>
          <w:b/>
          <w:bCs/>
          <w:color w:val="1F497D" w:themeColor="text2"/>
          <w:sz w:val="28"/>
          <w:szCs w:val="28"/>
        </w:rPr>
        <w:t>.</w:t>
      </w:r>
      <w:r>
        <w:rPr>
          <w:b/>
          <w:bCs/>
          <w:color w:val="1F497D" w:themeColor="text2"/>
          <w:sz w:val="28"/>
          <w:szCs w:val="28"/>
        </w:rPr>
        <w:t>3</w:t>
      </w:r>
      <w:r w:rsidR="00646FE1" w:rsidRPr="006355FB">
        <w:rPr>
          <w:b/>
          <w:bCs/>
          <w:color w:val="1F497D" w:themeColor="text2"/>
          <w:sz w:val="28"/>
          <w:szCs w:val="28"/>
        </w:rPr>
        <w:t xml:space="preserve"> </w:t>
      </w:r>
      <w:r w:rsidR="00646FE1">
        <w:rPr>
          <w:b/>
          <w:bCs/>
          <w:color w:val="1F497D" w:themeColor="text2"/>
          <w:sz w:val="28"/>
          <w:szCs w:val="28"/>
        </w:rPr>
        <w:t>Other Regulatory Matters Examples</w:t>
      </w:r>
      <w:bookmarkEnd w:id="25"/>
    </w:p>
    <w:p w14:paraId="48A3BC01" w14:textId="77777777" w:rsidR="00646FE1" w:rsidRDefault="00646FE1" w:rsidP="00FF6C77">
      <w:pPr>
        <w:rPr>
          <w:sz w:val="22"/>
          <w:szCs w:val="18"/>
        </w:rPr>
      </w:pPr>
      <w:r w:rsidRPr="00D93E09">
        <w:rPr>
          <w:sz w:val="22"/>
          <w:szCs w:val="18"/>
        </w:rPr>
        <w:t xml:space="preserve">Below </w:t>
      </w:r>
      <w:r w:rsidR="00F96D7B">
        <w:rPr>
          <w:sz w:val="22"/>
          <w:szCs w:val="18"/>
        </w:rPr>
        <w:t>is</w:t>
      </w:r>
      <w:r w:rsidRPr="00D93E09">
        <w:rPr>
          <w:sz w:val="22"/>
          <w:szCs w:val="18"/>
        </w:rPr>
        <w:t xml:space="preserve"> </w:t>
      </w:r>
      <w:r w:rsidR="00F96D7B">
        <w:rPr>
          <w:sz w:val="22"/>
          <w:szCs w:val="18"/>
        </w:rPr>
        <w:t>an example</w:t>
      </w:r>
      <w:r w:rsidRPr="00D93E09">
        <w:rPr>
          <w:sz w:val="22"/>
          <w:szCs w:val="18"/>
        </w:rPr>
        <w:t xml:space="preserve"> </w:t>
      </w:r>
      <w:r w:rsidR="00C01DE1">
        <w:rPr>
          <w:sz w:val="22"/>
          <w:szCs w:val="18"/>
        </w:rPr>
        <w:t xml:space="preserve">that </w:t>
      </w:r>
      <w:r w:rsidRPr="00D93E09">
        <w:rPr>
          <w:sz w:val="22"/>
          <w:szCs w:val="18"/>
        </w:rPr>
        <w:t>focus</w:t>
      </w:r>
      <w:r w:rsidR="00F96D7B">
        <w:rPr>
          <w:sz w:val="22"/>
          <w:szCs w:val="18"/>
        </w:rPr>
        <w:t>es</w:t>
      </w:r>
      <w:r w:rsidRPr="00D93E09">
        <w:rPr>
          <w:sz w:val="22"/>
          <w:szCs w:val="18"/>
        </w:rPr>
        <w:t xml:space="preserve"> </w:t>
      </w:r>
      <w:r w:rsidR="00F96D7B">
        <w:rPr>
          <w:sz w:val="22"/>
          <w:szCs w:val="18"/>
        </w:rPr>
        <w:t xml:space="preserve">on </w:t>
      </w:r>
      <w:r w:rsidRPr="00D93E09">
        <w:rPr>
          <w:sz w:val="22"/>
          <w:szCs w:val="18"/>
        </w:rPr>
        <w:t>certain disclosure requirements</w:t>
      </w:r>
      <w:r w:rsidR="00F96D7B">
        <w:rPr>
          <w:sz w:val="22"/>
          <w:szCs w:val="18"/>
        </w:rPr>
        <w:t xml:space="preserve"> relating to NGMs</w:t>
      </w:r>
      <w:r w:rsidRPr="00D93E09">
        <w:rPr>
          <w:sz w:val="22"/>
          <w:szCs w:val="18"/>
        </w:rPr>
        <w:t>. Issuers should determine how specific securities requirements may apply to them.</w:t>
      </w:r>
    </w:p>
    <w:p w14:paraId="4C703C04" w14:textId="77777777" w:rsidR="00CB78E6" w:rsidRPr="00D93E09" w:rsidRDefault="00CB78E6" w:rsidP="00D93E09">
      <w:pPr>
        <w:rPr>
          <w:sz w:val="22"/>
          <w:szCs w:val="18"/>
        </w:rPr>
      </w:pPr>
    </w:p>
    <w:p w14:paraId="08BB5480" w14:textId="77777777" w:rsidR="00646FE1" w:rsidRPr="006034D0" w:rsidRDefault="002B6E85" w:rsidP="00646FE1">
      <w:pPr>
        <w:spacing w:after="240"/>
        <w:jc w:val="both"/>
        <w:outlineLvl w:val="2"/>
        <w:rPr>
          <w:b/>
          <w:bCs/>
          <w:color w:val="1F497D" w:themeColor="text2"/>
          <w:sz w:val="20"/>
        </w:rPr>
      </w:pPr>
      <w:bookmarkStart w:id="26" w:name="_Toc62334924"/>
      <w:r>
        <w:rPr>
          <w:b/>
          <w:color w:val="1F497D" w:themeColor="text2"/>
          <w:sz w:val="20"/>
        </w:rPr>
        <w:t>B.3</w:t>
      </w:r>
      <w:r w:rsidR="00646FE1">
        <w:rPr>
          <w:b/>
          <w:color w:val="1F497D" w:themeColor="text2"/>
          <w:sz w:val="20"/>
        </w:rPr>
        <w:t xml:space="preserve">.1 </w:t>
      </w:r>
      <w:r w:rsidR="00646FE1" w:rsidRPr="006034D0">
        <w:rPr>
          <w:b/>
          <w:bCs/>
          <w:color w:val="1F497D" w:themeColor="text2"/>
          <w:sz w:val="20"/>
        </w:rPr>
        <w:t>N</w:t>
      </w:r>
      <w:r w:rsidR="00B90828">
        <w:rPr>
          <w:b/>
          <w:bCs/>
          <w:color w:val="1F497D" w:themeColor="text2"/>
          <w:sz w:val="20"/>
        </w:rPr>
        <w:t>on</w:t>
      </w:r>
      <w:r w:rsidR="00646FE1" w:rsidRPr="006034D0">
        <w:rPr>
          <w:b/>
          <w:bCs/>
          <w:color w:val="1F497D" w:themeColor="text2"/>
          <w:sz w:val="20"/>
        </w:rPr>
        <w:t>-GAAP Financial Measures</w:t>
      </w:r>
      <w:bookmarkEnd w:id="26"/>
    </w:p>
    <w:p w14:paraId="15A56D52" w14:textId="77777777" w:rsidR="00646FE1" w:rsidRPr="00875B1D" w:rsidRDefault="00646FE1" w:rsidP="00646FE1">
      <w:pPr>
        <w:spacing w:after="240"/>
        <w:jc w:val="both"/>
        <w:rPr>
          <w:b/>
          <w:bCs/>
          <w:sz w:val="20"/>
          <w:szCs w:val="16"/>
          <w:u w:val="single"/>
        </w:rPr>
      </w:pPr>
      <w:r w:rsidRPr="00875B1D">
        <w:rPr>
          <w:b/>
          <w:bCs/>
          <w:sz w:val="20"/>
          <w:szCs w:val="16"/>
          <w:u w:val="single"/>
        </w:rPr>
        <w:t>Example of deficient disclosure</w:t>
      </w:r>
    </w:p>
    <w:tbl>
      <w:tblPr>
        <w:tblStyle w:val="TableGrid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shd w:val="clear" w:color="auto" w:fill="EEECE1" w:themeFill="background2"/>
        <w:tblLook w:val="04A0" w:firstRow="1" w:lastRow="0" w:firstColumn="1" w:lastColumn="0" w:noHBand="0" w:noVBand="1"/>
      </w:tblPr>
      <w:tblGrid>
        <w:gridCol w:w="9350"/>
      </w:tblGrid>
      <w:tr w:rsidR="00646FE1" w:rsidRPr="00875B1D" w14:paraId="1F75B973" w14:textId="77777777" w:rsidTr="002210E9">
        <w:trPr>
          <w:tblHeader/>
        </w:trPr>
        <w:tc>
          <w:tcPr>
            <w:tcW w:w="9350" w:type="dxa"/>
            <w:shd w:val="clear" w:color="auto" w:fill="4F81BD" w:themeFill="accent1"/>
          </w:tcPr>
          <w:p w14:paraId="065FACD2" w14:textId="77777777" w:rsidR="00646FE1" w:rsidRPr="002210E9" w:rsidRDefault="00646FE1" w:rsidP="002210E9">
            <w:pPr>
              <w:rPr>
                <w:b/>
                <w:bCs/>
                <w:color w:val="FFFFFF" w:themeColor="background1"/>
                <w:sz w:val="20"/>
              </w:rPr>
            </w:pPr>
            <w:r w:rsidRPr="00875B1D">
              <w:rPr>
                <w:b/>
                <w:bCs/>
                <w:color w:val="FFFFFF" w:themeColor="background1"/>
                <w:sz w:val="20"/>
              </w:rPr>
              <w:t xml:space="preserve">EXAMPLE </w:t>
            </w:r>
            <w:r w:rsidR="002B6E85" w:rsidRPr="002B6E85">
              <w:rPr>
                <w:b/>
                <w:bCs/>
                <w:color w:val="FFFFFF" w:themeColor="background1"/>
                <w:sz w:val="20"/>
              </w:rPr>
              <w:t>B.3.1</w:t>
            </w:r>
            <w:r w:rsidRPr="00875B1D">
              <w:rPr>
                <w:b/>
                <w:bCs/>
                <w:color w:val="FFFFFF" w:themeColor="background1"/>
                <w:sz w:val="20"/>
              </w:rPr>
              <w:t>(a)</w:t>
            </w:r>
          </w:p>
        </w:tc>
      </w:tr>
      <w:tr w:rsidR="002210E9" w:rsidRPr="00875B1D" w14:paraId="7CA8C3CC" w14:textId="77777777" w:rsidTr="00646FE1">
        <w:tc>
          <w:tcPr>
            <w:tcW w:w="9350" w:type="dxa"/>
            <w:shd w:val="clear" w:color="auto" w:fill="4F81BD" w:themeFill="accent1"/>
          </w:tcPr>
          <w:p w14:paraId="02583D5C" w14:textId="77777777" w:rsidR="002210E9" w:rsidRPr="00582AE6" w:rsidRDefault="002210E9" w:rsidP="002210E9">
            <w:pPr>
              <w:pStyle w:val="ListParagraph"/>
              <w:numPr>
                <w:ilvl w:val="0"/>
                <w:numId w:val="13"/>
              </w:numPr>
              <w:ind w:left="318"/>
              <w:rPr>
                <w:color w:val="FFFFFF" w:themeColor="background1"/>
                <w:sz w:val="20"/>
              </w:rPr>
            </w:pPr>
            <w:r w:rsidRPr="00582AE6">
              <w:rPr>
                <w:color w:val="FFFFFF" w:themeColor="background1"/>
                <w:sz w:val="20"/>
              </w:rPr>
              <w:t>D</w:t>
            </w:r>
            <w:r>
              <w:rPr>
                <w:color w:val="FFFFFF" w:themeColor="background1"/>
                <w:sz w:val="20"/>
              </w:rPr>
              <w:t>id</w:t>
            </w:r>
            <w:r w:rsidRPr="00582AE6">
              <w:rPr>
                <w:color w:val="FFFFFF" w:themeColor="background1"/>
                <w:sz w:val="20"/>
              </w:rPr>
              <w:t xml:space="preserve"> not explain how increased costs are related to COVID-19 and the nature of such costs</w:t>
            </w:r>
          </w:p>
          <w:p w14:paraId="0E3697F7" w14:textId="77777777" w:rsidR="002210E9" w:rsidRPr="00582AE6" w:rsidRDefault="002210E9" w:rsidP="002210E9">
            <w:pPr>
              <w:pStyle w:val="ListParagraph"/>
              <w:numPr>
                <w:ilvl w:val="0"/>
                <w:numId w:val="13"/>
              </w:numPr>
              <w:ind w:left="318"/>
              <w:rPr>
                <w:color w:val="FFFFFF" w:themeColor="background1"/>
                <w:sz w:val="20"/>
              </w:rPr>
            </w:pPr>
            <w:r w:rsidRPr="00582AE6">
              <w:rPr>
                <w:color w:val="FFFFFF" w:themeColor="background1"/>
                <w:sz w:val="20"/>
              </w:rPr>
              <w:t>D</w:t>
            </w:r>
            <w:r>
              <w:rPr>
                <w:color w:val="FFFFFF" w:themeColor="background1"/>
                <w:sz w:val="20"/>
              </w:rPr>
              <w:t>id</w:t>
            </w:r>
            <w:r w:rsidRPr="00582AE6">
              <w:rPr>
                <w:color w:val="FFFFFF" w:themeColor="background1"/>
                <w:sz w:val="20"/>
              </w:rPr>
              <w:t xml:space="preserve"> not explain why this measure provides useful information to investors and the additional purposes, if any, management uses the NGM. </w:t>
            </w:r>
          </w:p>
          <w:p w14:paraId="5F709248" w14:textId="77777777" w:rsidR="002210E9" w:rsidRPr="002210E9" w:rsidRDefault="002210E9" w:rsidP="00646FE1">
            <w:pPr>
              <w:pStyle w:val="ListParagraph"/>
              <w:numPr>
                <w:ilvl w:val="0"/>
                <w:numId w:val="13"/>
              </w:numPr>
              <w:ind w:left="318"/>
              <w:rPr>
                <w:color w:val="FFFFFF" w:themeColor="background1"/>
                <w:sz w:val="20"/>
              </w:rPr>
            </w:pPr>
            <w:r w:rsidRPr="00582AE6">
              <w:rPr>
                <w:color w:val="FFFFFF" w:themeColor="background1"/>
                <w:sz w:val="20"/>
              </w:rPr>
              <w:t>In this case, the Company also benefitted from government assistance which was not included as an adjustment, making the measure potentially misleading</w:t>
            </w:r>
          </w:p>
        </w:tc>
      </w:tr>
      <w:tr w:rsidR="00646FE1" w:rsidRPr="00947F30" w14:paraId="0CD00075" w14:textId="77777777" w:rsidTr="00646FE1">
        <w:trPr>
          <w:trHeight w:val="1508"/>
        </w:trPr>
        <w:tc>
          <w:tcPr>
            <w:tcW w:w="9350" w:type="dxa"/>
            <w:shd w:val="clear" w:color="auto" w:fill="auto"/>
          </w:tcPr>
          <w:p w14:paraId="716C5BAC" w14:textId="77777777" w:rsidR="00646FE1" w:rsidRPr="001C4092" w:rsidRDefault="00646FE1" w:rsidP="00646FE1">
            <w:pPr>
              <w:spacing w:after="240"/>
              <w:jc w:val="both"/>
              <w:rPr>
                <w:sz w:val="20"/>
              </w:rPr>
            </w:pPr>
            <w:r w:rsidRPr="001C4092">
              <w:rPr>
                <w:sz w:val="20"/>
              </w:rPr>
              <w:t xml:space="preserve">NGMs in a News Release </w:t>
            </w:r>
          </w:p>
          <w:p w14:paraId="6505CB58" w14:textId="77777777" w:rsidR="00646FE1" w:rsidRPr="001C4092" w:rsidRDefault="00646FE1" w:rsidP="00646FE1">
            <w:pPr>
              <w:spacing w:after="240"/>
              <w:jc w:val="center"/>
              <w:rPr>
                <w:b/>
                <w:bCs/>
                <w:sz w:val="20"/>
              </w:rPr>
            </w:pPr>
            <w:r w:rsidRPr="001C4092">
              <w:rPr>
                <w:b/>
                <w:bCs/>
                <w:sz w:val="20"/>
              </w:rPr>
              <w:t>COMPANY ABC REPORTS NET EARNINGS OF $5 MILLION AND ADJUSTED EBITDA OF $14 M</w:t>
            </w:r>
          </w:p>
          <w:p w14:paraId="2A56E488" w14:textId="77777777" w:rsidR="00646FE1" w:rsidRPr="001C4092" w:rsidRDefault="00646FE1" w:rsidP="00275D8A">
            <w:pPr>
              <w:pStyle w:val="ListParagraph"/>
              <w:numPr>
                <w:ilvl w:val="0"/>
                <w:numId w:val="37"/>
              </w:numPr>
              <w:spacing w:after="240"/>
              <w:jc w:val="both"/>
              <w:rPr>
                <w:sz w:val="20"/>
              </w:rPr>
            </w:pPr>
            <w:r w:rsidRPr="001C4092">
              <w:rPr>
                <w:sz w:val="20"/>
              </w:rPr>
              <w:t>Net Earnings decreased 58% from the same period in the prior year to $5M</w:t>
            </w:r>
          </w:p>
          <w:p w14:paraId="628A0F05" w14:textId="6793A741" w:rsidR="00646FE1" w:rsidRPr="001C4092" w:rsidRDefault="00646FE1" w:rsidP="00275D8A">
            <w:pPr>
              <w:pStyle w:val="ListParagraph"/>
              <w:numPr>
                <w:ilvl w:val="0"/>
                <w:numId w:val="37"/>
              </w:numPr>
              <w:spacing w:after="240"/>
              <w:jc w:val="both"/>
              <w:rPr>
                <w:sz w:val="20"/>
              </w:rPr>
            </w:pPr>
            <w:r w:rsidRPr="001C4092">
              <w:rPr>
                <w:sz w:val="20"/>
              </w:rPr>
              <w:t xml:space="preserve">Adjusted EBITDA decreased </w:t>
            </w:r>
            <w:r w:rsidR="00FC2FA1" w:rsidRPr="001C4092">
              <w:rPr>
                <w:sz w:val="20"/>
              </w:rPr>
              <w:t>1</w:t>
            </w:r>
            <w:r w:rsidR="00FC2FA1">
              <w:rPr>
                <w:sz w:val="20"/>
              </w:rPr>
              <w:t>2</w:t>
            </w:r>
            <w:r w:rsidR="00FC2FA1" w:rsidRPr="001C4092">
              <w:rPr>
                <w:sz w:val="20"/>
              </w:rPr>
              <w:t>%</w:t>
            </w:r>
            <w:r w:rsidR="00FC2FA1">
              <w:rPr>
                <w:sz w:val="20"/>
              </w:rPr>
              <w:t xml:space="preserve"> </w:t>
            </w:r>
            <w:r w:rsidRPr="001C4092">
              <w:rPr>
                <w:sz w:val="20"/>
              </w:rPr>
              <w:t>from the same period in the prior year to $14M.</w:t>
            </w:r>
          </w:p>
          <w:p w14:paraId="656F15F2" w14:textId="57D15F11" w:rsidR="00646FE1" w:rsidRPr="001C4092" w:rsidRDefault="00646FE1" w:rsidP="00646FE1">
            <w:pPr>
              <w:spacing w:after="240"/>
              <w:jc w:val="both"/>
              <w:rPr>
                <w:sz w:val="20"/>
              </w:rPr>
            </w:pPr>
            <w:r w:rsidRPr="001C4092">
              <w:rPr>
                <w:sz w:val="20"/>
              </w:rPr>
              <w:t>*</w:t>
            </w:r>
            <w:r w:rsidR="00790479" w:rsidRPr="00D93E09">
              <w:rPr>
                <w:sz w:val="20"/>
              </w:rPr>
              <w:t>Adjusted EB</w:t>
            </w:r>
            <w:r w:rsidR="00097961">
              <w:rPr>
                <w:sz w:val="20"/>
              </w:rPr>
              <w:t>I</w:t>
            </w:r>
            <w:r w:rsidR="00790479" w:rsidRPr="00D93E09">
              <w:rPr>
                <w:sz w:val="20"/>
              </w:rPr>
              <w:t>TDA is a non-GAAP financial measure that is adjusted to</w:t>
            </w:r>
            <w:r w:rsidR="005641A8">
              <w:rPr>
                <w:sz w:val="20"/>
              </w:rPr>
              <w:t xml:space="preserve"> exclude</w:t>
            </w:r>
            <w:r w:rsidR="00790479" w:rsidRPr="00D93E09">
              <w:rPr>
                <w:sz w:val="20"/>
              </w:rPr>
              <w:t xml:space="preserve"> </w:t>
            </w:r>
            <w:r w:rsidR="005641A8">
              <w:rPr>
                <w:sz w:val="20"/>
              </w:rPr>
              <w:t>amounts that are outside the Company’s normal activities.</w:t>
            </w:r>
            <w:r w:rsidR="00790479" w:rsidRPr="001C4092">
              <w:rPr>
                <w:sz w:val="20"/>
              </w:rPr>
              <w:t xml:space="preserve"> </w:t>
            </w:r>
            <w:r w:rsidRPr="001C4092">
              <w:rPr>
                <w:sz w:val="20"/>
              </w:rPr>
              <w:t xml:space="preserve">For more information, refer to the section on Non-GAAP Financial Measures at the end of this news release, and below for a </w:t>
            </w:r>
            <w:r w:rsidR="00FC2FA1">
              <w:rPr>
                <w:sz w:val="20"/>
              </w:rPr>
              <w:t>r</w:t>
            </w:r>
            <w:r w:rsidRPr="001C4092">
              <w:rPr>
                <w:sz w:val="20"/>
              </w:rPr>
              <w:t>econciliation of adjusted EBITDA to the most comparable GAAP measure.</w:t>
            </w:r>
          </w:p>
          <w:p w14:paraId="71A9CAAA" w14:textId="77777777" w:rsidR="00646FE1" w:rsidRPr="001C4092" w:rsidRDefault="00646FE1" w:rsidP="00646FE1">
            <w:pPr>
              <w:spacing w:after="240"/>
              <w:jc w:val="both"/>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8"/>
              <w:gridCol w:w="1134"/>
              <w:gridCol w:w="1276"/>
            </w:tblGrid>
            <w:tr w:rsidR="00646FE1" w:rsidRPr="001C4092" w14:paraId="1474DED4" w14:textId="77777777" w:rsidTr="00646FE1">
              <w:trPr>
                <w:trHeight w:val="620"/>
              </w:trPr>
              <w:tc>
                <w:tcPr>
                  <w:tcW w:w="3578" w:type="dxa"/>
                  <w:tcBorders>
                    <w:bottom w:val="single" w:sz="4" w:space="0" w:color="auto"/>
                    <w:right w:val="single" w:sz="4" w:space="0" w:color="auto"/>
                  </w:tcBorders>
                </w:tcPr>
                <w:p w14:paraId="19D0CF3A" w14:textId="77777777" w:rsidR="00646FE1" w:rsidRPr="001C4092" w:rsidRDefault="00646FE1" w:rsidP="00646FE1">
                  <w:pPr>
                    <w:spacing w:after="240"/>
                    <w:jc w:val="both"/>
                    <w:rPr>
                      <w:sz w:val="20"/>
                    </w:rPr>
                  </w:pPr>
                </w:p>
              </w:tc>
              <w:tc>
                <w:tcPr>
                  <w:tcW w:w="1134" w:type="dxa"/>
                  <w:tcBorders>
                    <w:top w:val="single" w:sz="4" w:space="0" w:color="auto"/>
                    <w:left w:val="single" w:sz="4" w:space="0" w:color="auto"/>
                    <w:bottom w:val="single" w:sz="4" w:space="0" w:color="auto"/>
                    <w:right w:val="single" w:sz="4" w:space="0" w:color="auto"/>
                  </w:tcBorders>
                </w:tcPr>
                <w:p w14:paraId="7AAA9419" w14:textId="063E2A6D" w:rsidR="00646FE1" w:rsidRPr="001C4092" w:rsidRDefault="00B66F62" w:rsidP="00646FE1">
                  <w:pPr>
                    <w:spacing w:after="240"/>
                    <w:jc w:val="both"/>
                    <w:rPr>
                      <w:sz w:val="20"/>
                      <w:u w:val="single"/>
                    </w:rPr>
                  </w:pPr>
                  <w:r>
                    <w:rPr>
                      <w:sz w:val="20"/>
                      <w:u w:val="single"/>
                    </w:rPr>
                    <w:t>XX</w:t>
                  </w:r>
                  <w:r w:rsidR="00646FE1" w:rsidRPr="001C4092">
                    <w:rPr>
                      <w:sz w:val="20"/>
                      <w:u w:val="single"/>
                    </w:rPr>
                    <w:t>, 2020</w:t>
                  </w:r>
                </w:p>
              </w:tc>
              <w:tc>
                <w:tcPr>
                  <w:tcW w:w="1276" w:type="dxa"/>
                  <w:tcBorders>
                    <w:top w:val="single" w:sz="4" w:space="0" w:color="auto"/>
                    <w:left w:val="single" w:sz="4" w:space="0" w:color="auto"/>
                    <w:bottom w:val="single" w:sz="4" w:space="0" w:color="auto"/>
                    <w:right w:val="single" w:sz="4" w:space="0" w:color="auto"/>
                  </w:tcBorders>
                </w:tcPr>
                <w:p w14:paraId="7D006D7A" w14:textId="7D7B8372" w:rsidR="00646FE1" w:rsidRPr="001C4092" w:rsidRDefault="00B66F62" w:rsidP="00646FE1">
                  <w:pPr>
                    <w:jc w:val="both"/>
                    <w:rPr>
                      <w:sz w:val="20"/>
                      <w:u w:val="single"/>
                    </w:rPr>
                  </w:pPr>
                  <w:r>
                    <w:rPr>
                      <w:sz w:val="20"/>
                      <w:u w:val="single"/>
                    </w:rPr>
                    <w:t>XX</w:t>
                  </w:r>
                  <w:r w:rsidR="00646FE1" w:rsidRPr="001C4092">
                    <w:rPr>
                      <w:sz w:val="20"/>
                      <w:u w:val="single"/>
                    </w:rPr>
                    <w:t>, 2019</w:t>
                  </w:r>
                </w:p>
              </w:tc>
            </w:tr>
            <w:tr w:rsidR="00646FE1" w:rsidRPr="001C4092" w14:paraId="72EB5E03" w14:textId="77777777" w:rsidTr="00646FE1">
              <w:tc>
                <w:tcPr>
                  <w:tcW w:w="3578" w:type="dxa"/>
                  <w:tcBorders>
                    <w:top w:val="single" w:sz="4" w:space="0" w:color="auto"/>
                    <w:left w:val="single" w:sz="4" w:space="0" w:color="auto"/>
                    <w:bottom w:val="single" w:sz="4" w:space="0" w:color="auto"/>
                    <w:right w:val="single" w:sz="4" w:space="0" w:color="auto"/>
                  </w:tcBorders>
                </w:tcPr>
                <w:p w14:paraId="62952815" w14:textId="77777777" w:rsidR="00646FE1" w:rsidRPr="001C4092" w:rsidRDefault="00646FE1" w:rsidP="00646FE1">
                  <w:pPr>
                    <w:spacing w:after="240"/>
                    <w:jc w:val="both"/>
                    <w:rPr>
                      <w:sz w:val="20"/>
                    </w:rPr>
                  </w:pPr>
                  <w:r w:rsidRPr="001C4092">
                    <w:rPr>
                      <w:sz w:val="20"/>
                    </w:rPr>
                    <w:t>Net earnings</w:t>
                  </w:r>
                </w:p>
              </w:tc>
              <w:tc>
                <w:tcPr>
                  <w:tcW w:w="1134" w:type="dxa"/>
                  <w:tcBorders>
                    <w:top w:val="single" w:sz="4" w:space="0" w:color="auto"/>
                    <w:left w:val="single" w:sz="4" w:space="0" w:color="auto"/>
                    <w:bottom w:val="single" w:sz="4" w:space="0" w:color="auto"/>
                    <w:right w:val="single" w:sz="4" w:space="0" w:color="auto"/>
                  </w:tcBorders>
                </w:tcPr>
                <w:p w14:paraId="0F2F88E5" w14:textId="77777777" w:rsidR="00646FE1" w:rsidRPr="001C4092" w:rsidRDefault="00646FE1" w:rsidP="00646FE1">
                  <w:pPr>
                    <w:spacing w:after="240"/>
                    <w:jc w:val="both"/>
                    <w:rPr>
                      <w:sz w:val="20"/>
                    </w:rPr>
                  </w:pPr>
                  <w:r w:rsidRPr="001C4092">
                    <w:rPr>
                      <w:sz w:val="20"/>
                    </w:rPr>
                    <w:t>$5M</w:t>
                  </w:r>
                </w:p>
              </w:tc>
              <w:tc>
                <w:tcPr>
                  <w:tcW w:w="1276" w:type="dxa"/>
                  <w:tcBorders>
                    <w:top w:val="single" w:sz="4" w:space="0" w:color="auto"/>
                    <w:left w:val="single" w:sz="4" w:space="0" w:color="auto"/>
                    <w:bottom w:val="single" w:sz="4" w:space="0" w:color="auto"/>
                    <w:right w:val="single" w:sz="4" w:space="0" w:color="auto"/>
                  </w:tcBorders>
                </w:tcPr>
                <w:p w14:paraId="2DA375CF" w14:textId="77777777" w:rsidR="00646FE1" w:rsidRPr="001C4092" w:rsidRDefault="00646FE1" w:rsidP="00646FE1">
                  <w:pPr>
                    <w:spacing w:after="240"/>
                    <w:jc w:val="both"/>
                    <w:rPr>
                      <w:sz w:val="20"/>
                    </w:rPr>
                  </w:pPr>
                  <w:r w:rsidRPr="001C4092">
                    <w:rPr>
                      <w:sz w:val="20"/>
                    </w:rPr>
                    <w:t>$12M</w:t>
                  </w:r>
                </w:p>
              </w:tc>
            </w:tr>
            <w:tr w:rsidR="00646FE1" w:rsidRPr="001C4092" w14:paraId="57B16FCA" w14:textId="77777777" w:rsidTr="00646FE1">
              <w:tc>
                <w:tcPr>
                  <w:tcW w:w="3578" w:type="dxa"/>
                  <w:tcBorders>
                    <w:top w:val="single" w:sz="4" w:space="0" w:color="auto"/>
                    <w:left w:val="single" w:sz="4" w:space="0" w:color="auto"/>
                    <w:bottom w:val="single" w:sz="4" w:space="0" w:color="auto"/>
                    <w:right w:val="single" w:sz="4" w:space="0" w:color="auto"/>
                  </w:tcBorders>
                </w:tcPr>
                <w:p w14:paraId="4A8294CC" w14:textId="77777777" w:rsidR="00646FE1" w:rsidRPr="001C4092" w:rsidRDefault="00646FE1" w:rsidP="00646FE1">
                  <w:pPr>
                    <w:spacing w:after="240"/>
                    <w:jc w:val="both"/>
                    <w:rPr>
                      <w:sz w:val="20"/>
                    </w:rPr>
                  </w:pPr>
                  <w:r w:rsidRPr="001C4092">
                    <w:rPr>
                      <w:sz w:val="20"/>
                    </w:rPr>
                    <w:t>Interest</w:t>
                  </w:r>
                </w:p>
              </w:tc>
              <w:tc>
                <w:tcPr>
                  <w:tcW w:w="1134" w:type="dxa"/>
                  <w:tcBorders>
                    <w:top w:val="single" w:sz="4" w:space="0" w:color="auto"/>
                    <w:left w:val="single" w:sz="4" w:space="0" w:color="auto"/>
                    <w:bottom w:val="single" w:sz="4" w:space="0" w:color="auto"/>
                    <w:right w:val="single" w:sz="4" w:space="0" w:color="auto"/>
                  </w:tcBorders>
                </w:tcPr>
                <w:p w14:paraId="0E932BC1" w14:textId="77777777" w:rsidR="00646FE1" w:rsidRPr="001C4092" w:rsidRDefault="00646FE1" w:rsidP="00646FE1">
                  <w:pPr>
                    <w:spacing w:after="240"/>
                    <w:jc w:val="both"/>
                    <w:rPr>
                      <w:sz w:val="20"/>
                    </w:rPr>
                  </w:pPr>
                  <w:r w:rsidRPr="001C4092">
                    <w:rPr>
                      <w:sz w:val="20"/>
                    </w:rPr>
                    <w:t>$2M</w:t>
                  </w:r>
                </w:p>
              </w:tc>
              <w:tc>
                <w:tcPr>
                  <w:tcW w:w="1276" w:type="dxa"/>
                  <w:tcBorders>
                    <w:top w:val="single" w:sz="4" w:space="0" w:color="auto"/>
                    <w:left w:val="single" w:sz="4" w:space="0" w:color="auto"/>
                    <w:bottom w:val="single" w:sz="4" w:space="0" w:color="auto"/>
                    <w:right w:val="single" w:sz="4" w:space="0" w:color="auto"/>
                  </w:tcBorders>
                </w:tcPr>
                <w:p w14:paraId="3F025631" w14:textId="77777777" w:rsidR="00646FE1" w:rsidRPr="001C4092" w:rsidRDefault="00646FE1" w:rsidP="00646FE1">
                  <w:pPr>
                    <w:spacing w:after="240"/>
                    <w:jc w:val="both"/>
                    <w:rPr>
                      <w:sz w:val="20"/>
                    </w:rPr>
                  </w:pPr>
                  <w:r w:rsidRPr="001C4092">
                    <w:rPr>
                      <w:sz w:val="20"/>
                    </w:rPr>
                    <w:t>$1M</w:t>
                  </w:r>
                </w:p>
              </w:tc>
            </w:tr>
            <w:tr w:rsidR="00646FE1" w:rsidRPr="001C4092" w14:paraId="4FDD1E53" w14:textId="77777777" w:rsidTr="00646FE1">
              <w:tc>
                <w:tcPr>
                  <w:tcW w:w="3578" w:type="dxa"/>
                  <w:tcBorders>
                    <w:top w:val="single" w:sz="4" w:space="0" w:color="auto"/>
                    <w:left w:val="single" w:sz="4" w:space="0" w:color="auto"/>
                    <w:bottom w:val="single" w:sz="4" w:space="0" w:color="auto"/>
                    <w:right w:val="single" w:sz="4" w:space="0" w:color="auto"/>
                  </w:tcBorders>
                </w:tcPr>
                <w:p w14:paraId="4D1A77FE" w14:textId="77777777" w:rsidR="00646FE1" w:rsidRPr="001C4092" w:rsidRDefault="00646FE1" w:rsidP="00646FE1">
                  <w:pPr>
                    <w:spacing w:after="240"/>
                    <w:jc w:val="both"/>
                    <w:rPr>
                      <w:sz w:val="20"/>
                    </w:rPr>
                  </w:pPr>
                  <w:r w:rsidRPr="001C4092">
                    <w:rPr>
                      <w:sz w:val="20"/>
                    </w:rPr>
                    <w:t>Depreciation</w:t>
                  </w:r>
                </w:p>
              </w:tc>
              <w:tc>
                <w:tcPr>
                  <w:tcW w:w="1134" w:type="dxa"/>
                  <w:tcBorders>
                    <w:top w:val="single" w:sz="4" w:space="0" w:color="auto"/>
                    <w:left w:val="single" w:sz="4" w:space="0" w:color="auto"/>
                    <w:bottom w:val="single" w:sz="4" w:space="0" w:color="auto"/>
                    <w:right w:val="single" w:sz="4" w:space="0" w:color="auto"/>
                  </w:tcBorders>
                </w:tcPr>
                <w:p w14:paraId="0B7A1C6D" w14:textId="77777777" w:rsidR="00646FE1" w:rsidRPr="001C4092" w:rsidRDefault="00646FE1" w:rsidP="00646FE1">
                  <w:pPr>
                    <w:spacing w:after="240"/>
                    <w:jc w:val="both"/>
                    <w:rPr>
                      <w:sz w:val="20"/>
                      <w:u w:val="single"/>
                    </w:rPr>
                  </w:pPr>
                  <w:r w:rsidRPr="001C4092">
                    <w:rPr>
                      <w:sz w:val="20"/>
                      <w:u w:val="single"/>
                    </w:rPr>
                    <w:t>$3M</w:t>
                  </w:r>
                </w:p>
              </w:tc>
              <w:tc>
                <w:tcPr>
                  <w:tcW w:w="1276" w:type="dxa"/>
                  <w:tcBorders>
                    <w:top w:val="single" w:sz="4" w:space="0" w:color="auto"/>
                    <w:left w:val="single" w:sz="4" w:space="0" w:color="auto"/>
                    <w:bottom w:val="single" w:sz="4" w:space="0" w:color="auto"/>
                    <w:right w:val="single" w:sz="4" w:space="0" w:color="auto"/>
                  </w:tcBorders>
                </w:tcPr>
                <w:p w14:paraId="66A12A35" w14:textId="77777777" w:rsidR="00646FE1" w:rsidRPr="001C4092" w:rsidRDefault="00646FE1" w:rsidP="00646FE1">
                  <w:pPr>
                    <w:spacing w:after="240"/>
                    <w:jc w:val="both"/>
                    <w:rPr>
                      <w:sz w:val="20"/>
                      <w:u w:val="single"/>
                    </w:rPr>
                  </w:pPr>
                  <w:r w:rsidRPr="001C4092">
                    <w:rPr>
                      <w:sz w:val="20"/>
                      <w:u w:val="single"/>
                    </w:rPr>
                    <w:t>$3M</w:t>
                  </w:r>
                </w:p>
              </w:tc>
            </w:tr>
            <w:tr w:rsidR="00646FE1" w:rsidRPr="001C4092" w14:paraId="27950608" w14:textId="77777777" w:rsidTr="00646FE1">
              <w:tc>
                <w:tcPr>
                  <w:tcW w:w="3578" w:type="dxa"/>
                  <w:tcBorders>
                    <w:top w:val="single" w:sz="4" w:space="0" w:color="auto"/>
                    <w:left w:val="single" w:sz="4" w:space="0" w:color="auto"/>
                    <w:bottom w:val="single" w:sz="4" w:space="0" w:color="auto"/>
                    <w:right w:val="single" w:sz="4" w:space="0" w:color="auto"/>
                  </w:tcBorders>
                </w:tcPr>
                <w:p w14:paraId="70E145A5" w14:textId="77777777" w:rsidR="00646FE1" w:rsidRPr="001C4092" w:rsidRDefault="00646FE1" w:rsidP="00646FE1">
                  <w:pPr>
                    <w:spacing w:after="240"/>
                    <w:jc w:val="both"/>
                    <w:rPr>
                      <w:sz w:val="20"/>
                    </w:rPr>
                  </w:pPr>
                  <w:r w:rsidRPr="001C4092">
                    <w:rPr>
                      <w:sz w:val="20"/>
                    </w:rPr>
                    <w:t>EBITDA</w:t>
                  </w:r>
                </w:p>
              </w:tc>
              <w:tc>
                <w:tcPr>
                  <w:tcW w:w="1134" w:type="dxa"/>
                  <w:tcBorders>
                    <w:top w:val="single" w:sz="4" w:space="0" w:color="auto"/>
                    <w:left w:val="single" w:sz="4" w:space="0" w:color="auto"/>
                    <w:bottom w:val="single" w:sz="4" w:space="0" w:color="auto"/>
                    <w:right w:val="single" w:sz="4" w:space="0" w:color="auto"/>
                  </w:tcBorders>
                </w:tcPr>
                <w:p w14:paraId="0D39AF93" w14:textId="77777777" w:rsidR="00646FE1" w:rsidRPr="001C4092" w:rsidRDefault="00646FE1" w:rsidP="00646FE1">
                  <w:pPr>
                    <w:spacing w:after="240"/>
                    <w:jc w:val="both"/>
                    <w:rPr>
                      <w:sz w:val="20"/>
                    </w:rPr>
                  </w:pPr>
                  <w:r w:rsidRPr="001C4092">
                    <w:rPr>
                      <w:sz w:val="20"/>
                    </w:rPr>
                    <w:t>$10M</w:t>
                  </w:r>
                </w:p>
              </w:tc>
              <w:tc>
                <w:tcPr>
                  <w:tcW w:w="1276" w:type="dxa"/>
                  <w:tcBorders>
                    <w:top w:val="single" w:sz="4" w:space="0" w:color="auto"/>
                    <w:left w:val="single" w:sz="4" w:space="0" w:color="auto"/>
                    <w:bottom w:val="single" w:sz="4" w:space="0" w:color="auto"/>
                    <w:right w:val="single" w:sz="4" w:space="0" w:color="auto"/>
                  </w:tcBorders>
                </w:tcPr>
                <w:p w14:paraId="79114BC7" w14:textId="77777777" w:rsidR="00646FE1" w:rsidRPr="001C4092" w:rsidRDefault="00646FE1" w:rsidP="00646FE1">
                  <w:pPr>
                    <w:spacing w:after="240"/>
                    <w:jc w:val="both"/>
                    <w:rPr>
                      <w:sz w:val="20"/>
                    </w:rPr>
                  </w:pPr>
                  <w:r w:rsidRPr="001C4092">
                    <w:rPr>
                      <w:sz w:val="20"/>
                    </w:rPr>
                    <w:t>$16M</w:t>
                  </w:r>
                </w:p>
              </w:tc>
            </w:tr>
            <w:tr w:rsidR="00646FE1" w:rsidRPr="001C4092" w14:paraId="52E99954" w14:textId="77777777" w:rsidTr="00646FE1">
              <w:tc>
                <w:tcPr>
                  <w:tcW w:w="3578" w:type="dxa"/>
                  <w:tcBorders>
                    <w:top w:val="single" w:sz="4" w:space="0" w:color="auto"/>
                    <w:left w:val="single" w:sz="4" w:space="0" w:color="auto"/>
                    <w:bottom w:val="single" w:sz="4" w:space="0" w:color="auto"/>
                    <w:right w:val="single" w:sz="4" w:space="0" w:color="auto"/>
                  </w:tcBorders>
                </w:tcPr>
                <w:p w14:paraId="1B153ABF" w14:textId="77777777" w:rsidR="00646FE1" w:rsidRPr="001C4092" w:rsidRDefault="00646FE1" w:rsidP="00646FE1">
                  <w:pPr>
                    <w:spacing w:after="240"/>
                    <w:jc w:val="both"/>
                    <w:rPr>
                      <w:sz w:val="20"/>
                    </w:rPr>
                  </w:pPr>
                  <w:r w:rsidRPr="001C4092">
                    <w:rPr>
                      <w:sz w:val="20"/>
                    </w:rPr>
                    <w:t>Increased costs due to COVID-19 (1)</w:t>
                  </w:r>
                </w:p>
              </w:tc>
              <w:tc>
                <w:tcPr>
                  <w:tcW w:w="1134" w:type="dxa"/>
                  <w:tcBorders>
                    <w:top w:val="single" w:sz="4" w:space="0" w:color="auto"/>
                    <w:left w:val="single" w:sz="4" w:space="0" w:color="auto"/>
                    <w:bottom w:val="single" w:sz="4" w:space="0" w:color="auto"/>
                    <w:right w:val="single" w:sz="4" w:space="0" w:color="auto"/>
                  </w:tcBorders>
                </w:tcPr>
                <w:p w14:paraId="187B8310" w14:textId="77777777" w:rsidR="00646FE1" w:rsidRPr="001C4092" w:rsidRDefault="00646FE1" w:rsidP="00646FE1">
                  <w:pPr>
                    <w:spacing w:after="240"/>
                    <w:jc w:val="both"/>
                    <w:rPr>
                      <w:sz w:val="20"/>
                      <w:u w:val="single"/>
                    </w:rPr>
                  </w:pPr>
                  <w:r w:rsidRPr="001C4092">
                    <w:rPr>
                      <w:sz w:val="20"/>
                      <w:u w:val="single"/>
                    </w:rPr>
                    <w:t>$4M</w:t>
                  </w:r>
                </w:p>
              </w:tc>
              <w:tc>
                <w:tcPr>
                  <w:tcW w:w="1276" w:type="dxa"/>
                  <w:tcBorders>
                    <w:top w:val="single" w:sz="4" w:space="0" w:color="auto"/>
                    <w:left w:val="single" w:sz="4" w:space="0" w:color="auto"/>
                    <w:bottom w:val="single" w:sz="4" w:space="0" w:color="auto"/>
                    <w:right w:val="single" w:sz="4" w:space="0" w:color="auto"/>
                  </w:tcBorders>
                </w:tcPr>
                <w:p w14:paraId="555FAFD6" w14:textId="77777777" w:rsidR="00646FE1" w:rsidRPr="001C4092" w:rsidRDefault="00646FE1" w:rsidP="00646FE1">
                  <w:pPr>
                    <w:spacing w:after="240"/>
                    <w:jc w:val="both"/>
                    <w:rPr>
                      <w:sz w:val="20"/>
                    </w:rPr>
                  </w:pPr>
                  <w:r w:rsidRPr="001C4092">
                    <w:rPr>
                      <w:sz w:val="20"/>
                    </w:rPr>
                    <w:t>-</w:t>
                  </w:r>
                </w:p>
              </w:tc>
            </w:tr>
            <w:tr w:rsidR="00646FE1" w:rsidRPr="001C4092" w14:paraId="164EF027" w14:textId="77777777" w:rsidTr="00646FE1">
              <w:tc>
                <w:tcPr>
                  <w:tcW w:w="3578" w:type="dxa"/>
                  <w:tcBorders>
                    <w:top w:val="single" w:sz="4" w:space="0" w:color="auto"/>
                    <w:left w:val="single" w:sz="4" w:space="0" w:color="auto"/>
                    <w:bottom w:val="single" w:sz="4" w:space="0" w:color="auto"/>
                    <w:right w:val="single" w:sz="4" w:space="0" w:color="auto"/>
                  </w:tcBorders>
                </w:tcPr>
                <w:p w14:paraId="66AC1DA1" w14:textId="77777777" w:rsidR="00646FE1" w:rsidRPr="001C4092" w:rsidRDefault="00646FE1" w:rsidP="00646FE1">
                  <w:pPr>
                    <w:spacing w:after="240"/>
                    <w:jc w:val="both"/>
                    <w:rPr>
                      <w:b/>
                      <w:bCs/>
                      <w:sz w:val="20"/>
                    </w:rPr>
                  </w:pPr>
                  <w:r w:rsidRPr="001C4092">
                    <w:rPr>
                      <w:b/>
                      <w:bCs/>
                      <w:sz w:val="20"/>
                    </w:rPr>
                    <w:t>ADJUSTED EBITDA</w:t>
                  </w:r>
                </w:p>
              </w:tc>
              <w:tc>
                <w:tcPr>
                  <w:tcW w:w="1134" w:type="dxa"/>
                  <w:tcBorders>
                    <w:top w:val="single" w:sz="4" w:space="0" w:color="auto"/>
                    <w:left w:val="single" w:sz="4" w:space="0" w:color="auto"/>
                    <w:bottom w:val="single" w:sz="4" w:space="0" w:color="auto"/>
                    <w:right w:val="single" w:sz="4" w:space="0" w:color="auto"/>
                  </w:tcBorders>
                </w:tcPr>
                <w:p w14:paraId="73F99BD3" w14:textId="77777777" w:rsidR="00646FE1" w:rsidRPr="001C4092" w:rsidRDefault="00646FE1" w:rsidP="00646FE1">
                  <w:pPr>
                    <w:spacing w:after="240"/>
                    <w:jc w:val="both"/>
                    <w:rPr>
                      <w:b/>
                      <w:bCs/>
                      <w:sz w:val="20"/>
                    </w:rPr>
                  </w:pPr>
                  <w:r w:rsidRPr="001C4092">
                    <w:rPr>
                      <w:b/>
                      <w:bCs/>
                      <w:sz w:val="20"/>
                    </w:rPr>
                    <w:t>$14M</w:t>
                  </w:r>
                </w:p>
              </w:tc>
              <w:tc>
                <w:tcPr>
                  <w:tcW w:w="1276" w:type="dxa"/>
                  <w:tcBorders>
                    <w:top w:val="single" w:sz="4" w:space="0" w:color="auto"/>
                    <w:left w:val="single" w:sz="4" w:space="0" w:color="auto"/>
                    <w:bottom w:val="single" w:sz="4" w:space="0" w:color="auto"/>
                    <w:right w:val="single" w:sz="4" w:space="0" w:color="auto"/>
                  </w:tcBorders>
                </w:tcPr>
                <w:p w14:paraId="49DBF4E6" w14:textId="77777777" w:rsidR="00646FE1" w:rsidRPr="001C4092" w:rsidRDefault="00646FE1" w:rsidP="00646FE1">
                  <w:pPr>
                    <w:spacing w:after="240"/>
                    <w:jc w:val="both"/>
                    <w:rPr>
                      <w:b/>
                      <w:bCs/>
                      <w:sz w:val="20"/>
                    </w:rPr>
                  </w:pPr>
                  <w:r w:rsidRPr="001C4092">
                    <w:rPr>
                      <w:b/>
                      <w:bCs/>
                      <w:sz w:val="20"/>
                    </w:rPr>
                    <w:t>$16M</w:t>
                  </w:r>
                </w:p>
              </w:tc>
            </w:tr>
          </w:tbl>
          <w:p w14:paraId="6D5FBE6A" w14:textId="77777777" w:rsidR="00646FE1" w:rsidRDefault="00646FE1" w:rsidP="00646FE1">
            <w:pPr>
              <w:spacing w:after="240"/>
              <w:jc w:val="both"/>
              <w:rPr>
                <w:sz w:val="20"/>
              </w:rPr>
            </w:pPr>
            <w:r w:rsidRPr="001C4092">
              <w:rPr>
                <w:sz w:val="20"/>
              </w:rPr>
              <w:t xml:space="preserve"> </w:t>
            </w:r>
          </w:p>
          <w:p w14:paraId="0D18D5D5" w14:textId="77777777" w:rsidR="00646FE1" w:rsidRPr="00947F30" w:rsidRDefault="00646FE1" w:rsidP="00646FE1">
            <w:pPr>
              <w:spacing w:after="240"/>
              <w:jc w:val="both"/>
              <w:rPr>
                <w:sz w:val="17"/>
                <w:szCs w:val="17"/>
                <w:lang w:eastAsia="fr-CA"/>
              </w:rPr>
            </w:pPr>
            <w:r w:rsidRPr="00947F30">
              <w:rPr>
                <w:sz w:val="17"/>
                <w:szCs w:val="17"/>
              </w:rPr>
              <w:t>1. The increased costs are due to the COVID-19 pandemic</w:t>
            </w:r>
            <w:r w:rsidR="00514C6D">
              <w:rPr>
                <w:sz w:val="17"/>
                <w:szCs w:val="17"/>
              </w:rPr>
              <w:t>.</w:t>
            </w:r>
          </w:p>
        </w:tc>
      </w:tr>
    </w:tbl>
    <w:p w14:paraId="22AE4533" w14:textId="77777777" w:rsidR="00514C6D" w:rsidRDefault="00514C6D" w:rsidP="00646FE1"/>
    <w:p w14:paraId="12A16DF4" w14:textId="77777777" w:rsidR="00514C6D" w:rsidRDefault="00514C6D">
      <w:r>
        <w:br w:type="page"/>
      </w:r>
    </w:p>
    <w:p w14:paraId="5603D480" w14:textId="77777777" w:rsidR="00646FE1" w:rsidRDefault="00646FE1" w:rsidP="00646FE1"/>
    <w:p w14:paraId="6BFC0871" w14:textId="77777777" w:rsidR="00646FE1" w:rsidRPr="00D54FAE" w:rsidRDefault="00646FE1" w:rsidP="00646FE1">
      <w:pPr>
        <w:spacing w:after="240"/>
        <w:jc w:val="both"/>
        <w:rPr>
          <w:b/>
          <w:bCs/>
          <w:sz w:val="20"/>
          <w:szCs w:val="16"/>
          <w:u w:val="single"/>
        </w:rPr>
      </w:pPr>
      <w:bookmarkStart w:id="27" w:name="_Hlk62741193"/>
      <w:r w:rsidRPr="00D54FAE">
        <w:rPr>
          <w:b/>
          <w:bCs/>
          <w:sz w:val="20"/>
          <w:szCs w:val="16"/>
          <w:u w:val="single"/>
        </w:rPr>
        <w:t xml:space="preserve">Example of </w:t>
      </w:r>
      <w:r>
        <w:rPr>
          <w:b/>
          <w:bCs/>
          <w:sz w:val="20"/>
          <w:szCs w:val="16"/>
          <w:u w:val="single"/>
        </w:rPr>
        <w:t>i</w:t>
      </w:r>
      <w:r w:rsidRPr="00D54FAE">
        <w:rPr>
          <w:b/>
          <w:bCs/>
          <w:sz w:val="20"/>
          <w:szCs w:val="16"/>
          <w:u w:val="single"/>
        </w:rPr>
        <w:t xml:space="preserve">mproved </w:t>
      </w:r>
      <w:r>
        <w:rPr>
          <w:b/>
          <w:bCs/>
          <w:sz w:val="20"/>
          <w:szCs w:val="16"/>
          <w:u w:val="single"/>
        </w:rPr>
        <w:t>d</w:t>
      </w:r>
      <w:r w:rsidRPr="00D54FAE">
        <w:rPr>
          <w:b/>
          <w:bCs/>
          <w:sz w:val="20"/>
          <w:szCs w:val="16"/>
          <w:u w:val="single"/>
        </w:rPr>
        <w:t>isclosure</w:t>
      </w:r>
    </w:p>
    <w:tbl>
      <w:tblPr>
        <w:tblStyle w:val="TableGrid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shd w:val="clear" w:color="auto" w:fill="EEECE1" w:themeFill="background2"/>
        <w:tblLook w:val="04A0" w:firstRow="1" w:lastRow="0" w:firstColumn="1" w:lastColumn="0" w:noHBand="0" w:noVBand="1"/>
      </w:tblPr>
      <w:tblGrid>
        <w:gridCol w:w="9350"/>
      </w:tblGrid>
      <w:tr w:rsidR="00646FE1" w:rsidRPr="00D54FAE" w14:paraId="3571F605" w14:textId="77777777" w:rsidTr="00A61D99">
        <w:trPr>
          <w:tblHeader/>
        </w:trPr>
        <w:tc>
          <w:tcPr>
            <w:tcW w:w="9350" w:type="dxa"/>
            <w:shd w:val="clear" w:color="auto" w:fill="4F81BD" w:themeFill="accent1"/>
          </w:tcPr>
          <w:p w14:paraId="3EDCBE01" w14:textId="77777777" w:rsidR="00646FE1" w:rsidRPr="00A61D99" w:rsidRDefault="00646FE1" w:rsidP="00A61D99">
            <w:pPr>
              <w:rPr>
                <w:b/>
                <w:bCs/>
                <w:color w:val="FFFFFF" w:themeColor="background1"/>
                <w:sz w:val="20"/>
              </w:rPr>
            </w:pPr>
            <w:bookmarkStart w:id="28" w:name="_Hlk62829720"/>
            <w:r w:rsidRPr="00D54FAE">
              <w:rPr>
                <w:b/>
                <w:bCs/>
                <w:color w:val="FFFFFF" w:themeColor="background1"/>
                <w:sz w:val="20"/>
              </w:rPr>
              <w:t xml:space="preserve">EXAMPLE </w:t>
            </w:r>
            <w:r w:rsidR="002B6E85" w:rsidRPr="002B6E85">
              <w:rPr>
                <w:b/>
                <w:bCs/>
                <w:color w:val="FFFFFF" w:themeColor="background1"/>
                <w:sz w:val="20"/>
              </w:rPr>
              <w:t>B.3.1</w:t>
            </w:r>
            <w:r w:rsidRPr="00D54FAE">
              <w:rPr>
                <w:b/>
                <w:bCs/>
                <w:color w:val="FFFFFF" w:themeColor="background1"/>
                <w:sz w:val="20"/>
              </w:rPr>
              <w:t>(b)</w:t>
            </w:r>
            <w:bookmarkEnd w:id="28"/>
          </w:p>
        </w:tc>
      </w:tr>
      <w:tr w:rsidR="00A61D99" w:rsidRPr="00D54FAE" w14:paraId="3AB84EE5" w14:textId="77777777" w:rsidTr="00646FE1">
        <w:tc>
          <w:tcPr>
            <w:tcW w:w="9350" w:type="dxa"/>
            <w:shd w:val="clear" w:color="auto" w:fill="4F81BD" w:themeFill="accent1"/>
          </w:tcPr>
          <w:p w14:paraId="6FF7E67F" w14:textId="77777777" w:rsidR="00A61D99" w:rsidRDefault="00A61D99" w:rsidP="00275D8A">
            <w:pPr>
              <w:pStyle w:val="ListParagraph"/>
              <w:numPr>
                <w:ilvl w:val="0"/>
                <w:numId w:val="41"/>
              </w:numPr>
              <w:rPr>
                <w:color w:val="FFFFFF" w:themeColor="background1"/>
                <w:sz w:val="20"/>
              </w:rPr>
            </w:pPr>
            <w:r w:rsidRPr="005D5FE1">
              <w:rPr>
                <w:color w:val="FFFFFF" w:themeColor="background1"/>
                <w:sz w:val="20"/>
              </w:rPr>
              <w:t xml:space="preserve">The below focuses on a few aspects of the expectations for NGMs. </w:t>
            </w:r>
          </w:p>
          <w:p w14:paraId="14527752" w14:textId="77777777" w:rsidR="00A61D99" w:rsidRPr="00A61D99" w:rsidRDefault="00A61D99" w:rsidP="00275D8A">
            <w:pPr>
              <w:pStyle w:val="ListParagraph"/>
              <w:numPr>
                <w:ilvl w:val="0"/>
                <w:numId w:val="41"/>
              </w:numPr>
              <w:rPr>
                <w:color w:val="FFFFFF" w:themeColor="background1"/>
                <w:sz w:val="20"/>
              </w:rPr>
            </w:pPr>
            <w:r w:rsidRPr="00A61D99">
              <w:rPr>
                <w:color w:val="FFFFFF" w:themeColor="background1"/>
                <w:sz w:val="20"/>
              </w:rPr>
              <w:t>Issuers should refer to the guidance in SN 52-306 in preparing disclosure documents</w:t>
            </w:r>
          </w:p>
        </w:tc>
      </w:tr>
      <w:tr w:rsidR="00646FE1" w:rsidRPr="00D54FAE" w14:paraId="7CEC8368" w14:textId="77777777" w:rsidTr="00646FE1">
        <w:trPr>
          <w:trHeight w:val="1508"/>
        </w:trPr>
        <w:tc>
          <w:tcPr>
            <w:tcW w:w="9350" w:type="dxa"/>
            <w:shd w:val="clear" w:color="auto" w:fill="DBE5F1" w:themeFill="accent1" w:themeFillTint="33"/>
          </w:tcPr>
          <w:p w14:paraId="4BB77351" w14:textId="77777777" w:rsidR="00646FE1" w:rsidRPr="00D54FAE" w:rsidRDefault="00646FE1" w:rsidP="00646FE1">
            <w:pPr>
              <w:spacing w:after="240"/>
              <w:jc w:val="both"/>
              <w:rPr>
                <w:sz w:val="20"/>
              </w:rPr>
            </w:pPr>
            <w:r w:rsidRPr="00D54FAE">
              <w:rPr>
                <w:sz w:val="20"/>
              </w:rPr>
              <w:t xml:space="preserve">NGMs in a News Release </w:t>
            </w:r>
          </w:p>
          <w:p w14:paraId="57CFD93E" w14:textId="77777777" w:rsidR="00646FE1" w:rsidRPr="00D54FAE" w:rsidRDefault="00646FE1" w:rsidP="00646FE1">
            <w:pPr>
              <w:spacing w:after="240"/>
              <w:jc w:val="center"/>
              <w:rPr>
                <w:b/>
                <w:bCs/>
                <w:sz w:val="20"/>
              </w:rPr>
            </w:pPr>
            <w:r w:rsidRPr="00D54FAE">
              <w:rPr>
                <w:b/>
                <w:bCs/>
                <w:sz w:val="20"/>
              </w:rPr>
              <w:t>COMPANY ABC REPORTS NET EARNINGS OF $5 MILLION AND ADJUSTED EBITDA OF $14 MILLION</w:t>
            </w:r>
          </w:p>
          <w:p w14:paraId="5BCE122A" w14:textId="77777777" w:rsidR="00646FE1" w:rsidRPr="00D54FAE" w:rsidRDefault="00646FE1" w:rsidP="00275D8A">
            <w:pPr>
              <w:pStyle w:val="ListParagraph"/>
              <w:numPr>
                <w:ilvl w:val="0"/>
                <w:numId w:val="38"/>
              </w:numPr>
              <w:spacing w:after="240"/>
              <w:jc w:val="both"/>
              <w:rPr>
                <w:sz w:val="20"/>
              </w:rPr>
            </w:pPr>
            <w:r w:rsidRPr="00D54FAE">
              <w:rPr>
                <w:sz w:val="20"/>
              </w:rPr>
              <w:t>Net Earnings decreased 58% from the same period in the prior year to $5M</w:t>
            </w:r>
          </w:p>
          <w:p w14:paraId="0B9BABA7" w14:textId="77777777" w:rsidR="00646FE1" w:rsidRPr="00D54FAE" w:rsidRDefault="00646FE1" w:rsidP="00275D8A">
            <w:pPr>
              <w:pStyle w:val="ListParagraph"/>
              <w:numPr>
                <w:ilvl w:val="0"/>
                <w:numId w:val="38"/>
              </w:numPr>
              <w:spacing w:after="240"/>
              <w:jc w:val="both"/>
              <w:rPr>
                <w:sz w:val="20"/>
              </w:rPr>
            </w:pPr>
            <w:r w:rsidRPr="00D54FAE">
              <w:rPr>
                <w:sz w:val="20"/>
              </w:rPr>
              <w:t>Adjusted EBITDA decreased</w:t>
            </w:r>
            <w:r w:rsidR="005641A8">
              <w:rPr>
                <w:sz w:val="20"/>
              </w:rPr>
              <w:t xml:space="preserve"> 12% </w:t>
            </w:r>
            <w:r w:rsidRPr="00D54FAE">
              <w:rPr>
                <w:sz w:val="20"/>
              </w:rPr>
              <w:t>from the same period in the prior year to $14M.</w:t>
            </w:r>
          </w:p>
          <w:p w14:paraId="6E14E9B3" w14:textId="65C20104" w:rsidR="00646FE1" w:rsidRPr="00D54FAE" w:rsidRDefault="00646FE1" w:rsidP="00646FE1">
            <w:pPr>
              <w:spacing w:after="240"/>
              <w:jc w:val="both"/>
              <w:rPr>
                <w:sz w:val="20"/>
              </w:rPr>
            </w:pPr>
            <w:r w:rsidRPr="00D54FAE">
              <w:rPr>
                <w:sz w:val="20"/>
              </w:rPr>
              <w:t>*</w:t>
            </w:r>
            <w:r w:rsidR="00FC2FA1" w:rsidRPr="00D54FAE">
              <w:rPr>
                <w:sz w:val="20"/>
              </w:rPr>
              <w:t xml:space="preserve"> Adjusted EBITDA is a Non-GAAP Financial Measure</w:t>
            </w:r>
            <w:r w:rsidR="00FC2FA1">
              <w:rPr>
                <w:sz w:val="20"/>
              </w:rPr>
              <w:t xml:space="preserve"> </w:t>
            </w:r>
            <w:r w:rsidR="00FC2FA1" w:rsidRPr="00424BEC">
              <w:rPr>
                <w:sz w:val="20"/>
              </w:rPr>
              <w:t>adjusted to</w:t>
            </w:r>
            <w:r w:rsidR="00FC2FA1">
              <w:rPr>
                <w:sz w:val="20"/>
              </w:rPr>
              <w:t xml:space="preserve"> exclude</w:t>
            </w:r>
            <w:r w:rsidR="00FC2FA1" w:rsidRPr="00424BEC">
              <w:rPr>
                <w:sz w:val="20"/>
              </w:rPr>
              <w:t xml:space="preserve"> </w:t>
            </w:r>
            <w:r w:rsidR="00FC2FA1">
              <w:rPr>
                <w:sz w:val="20"/>
              </w:rPr>
              <w:t xml:space="preserve">amounts that are </w:t>
            </w:r>
            <w:r w:rsidR="00F65D9D" w:rsidRPr="00F65D9D">
              <w:rPr>
                <w:sz w:val="20"/>
              </w:rPr>
              <w:t>outside the Company’s normal activities</w:t>
            </w:r>
            <w:r w:rsidR="00FC2FA1" w:rsidRPr="00D54FAE">
              <w:rPr>
                <w:sz w:val="20"/>
              </w:rPr>
              <w:t>. For more information, refer to the section on Non-GAAP Financial Measures at the end of this news release, and below for a reconciliation of adjusted EBITDA to the most comparable GAAP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8"/>
              <w:gridCol w:w="1134"/>
              <w:gridCol w:w="1276"/>
            </w:tblGrid>
            <w:tr w:rsidR="00646FE1" w:rsidRPr="00D54FAE" w14:paraId="38F7CF58" w14:textId="77777777" w:rsidTr="00646FE1">
              <w:trPr>
                <w:trHeight w:val="620"/>
              </w:trPr>
              <w:tc>
                <w:tcPr>
                  <w:tcW w:w="3578" w:type="dxa"/>
                  <w:tcBorders>
                    <w:bottom w:val="single" w:sz="4" w:space="0" w:color="auto"/>
                    <w:right w:val="single" w:sz="4" w:space="0" w:color="auto"/>
                  </w:tcBorders>
                </w:tcPr>
                <w:p w14:paraId="33567589" w14:textId="77777777" w:rsidR="00646FE1" w:rsidRPr="00D54FAE" w:rsidRDefault="00646FE1" w:rsidP="00646FE1">
                  <w:pPr>
                    <w:spacing w:after="240"/>
                    <w:jc w:val="both"/>
                    <w:rPr>
                      <w:sz w:val="20"/>
                    </w:rPr>
                  </w:pPr>
                </w:p>
              </w:tc>
              <w:tc>
                <w:tcPr>
                  <w:tcW w:w="1134" w:type="dxa"/>
                  <w:tcBorders>
                    <w:top w:val="single" w:sz="4" w:space="0" w:color="auto"/>
                    <w:left w:val="single" w:sz="4" w:space="0" w:color="auto"/>
                    <w:bottom w:val="single" w:sz="4" w:space="0" w:color="auto"/>
                    <w:right w:val="single" w:sz="4" w:space="0" w:color="auto"/>
                  </w:tcBorders>
                </w:tcPr>
                <w:p w14:paraId="16E7C5D7" w14:textId="57207285" w:rsidR="00646FE1" w:rsidRPr="00D54FAE" w:rsidRDefault="00FC2FA1" w:rsidP="00646FE1">
                  <w:pPr>
                    <w:spacing w:after="240"/>
                    <w:jc w:val="both"/>
                    <w:rPr>
                      <w:sz w:val="20"/>
                      <w:u w:val="single"/>
                    </w:rPr>
                  </w:pPr>
                  <w:r>
                    <w:rPr>
                      <w:sz w:val="20"/>
                      <w:u w:val="single"/>
                    </w:rPr>
                    <w:t>XX</w:t>
                  </w:r>
                  <w:r w:rsidR="00646FE1" w:rsidRPr="00D54FAE">
                    <w:rPr>
                      <w:sz w:val="20"/>
                      <w:u w:val="single"/>
                    </w:rPr>
                    <w:t>, 2020</w:t>
                  </w:r>
                </w:p>
              </w:tc>
              <w:tc>
                <w:tcPr>
                  <w:tcW w:w="1276" w:type="dxa"/>
                  <w:tcBorders>
                    <w:top w:val="single" w:sz="4" w:space="0" w:color="auto"/>
                    <w:left w:val="single" w:sz="4" w:space="0" w:color="auto"/>
                    <w:bottom w:val="single" w:sz="4" w:space="0" w:color="auto"/>
                    <w:right w:val="single" w:sz="4" w:space="0" w:color="auto"/>
                  </w:tcBorders>
                </w:tcPr>
                <w:p w14:paraId="549D7E01" w14:textId="52B39B6B" w:rsidR="00646FE1" w:rsidRPr="00D54FAE" w:rsidRDefault="00FC2FA1" w:rsidP="00646FE1">
                  <w:pPr>
                    <w:spacing w:after="240"/>
                    <w:jc w:val="both"/>
                    <w:rPr>
                      <w:sz w:val="20"/>
                      <w:u w:val="single"/>
                    </w:rPr>
                  </w:pPr>
                  <w:r>
                    <w:rPr>
                      <w:sz w:val="20"/>
                      <w:u w:val="single"/>
                    </w:rPr>
                    <w:t>XX</w:t>
                  </w:r>
                  <w:r w:rsidR="00646FE1" w:rsidRPr="00D54FAE">
                    <w:rPr>
                      <w:sz w:val="20"/>
                      <w:u w:val="single"/>
                    </w:rPr>
                    <w:t>, 2019</w:t>
                  </w:r>
                </w:p>
              </w:tc>
            </w:tr>
            <w:tr w:rsidR="00646FE1" w:rsidRPr="00D54FAE" w14:paraId="3C82AE52" w14:textId="77777777" w:rsidTr="00646FE1">
              <w:tc>
                <w:tcPr>
                  <w:tcW w:w="3578" w:type="dxa"/>
                  <w:tcBorders>
                    <w:top w:val="single" w:sz="4" w:space="0" w:color="auto"/>
                    <w:left w:val="single" w:sz="4" w:space="0" w:color="auto"/>
                    <w:bottom w:val="single" w:sz="4" w:space="0" w:color="auto"/>
                    <w:right w:val="single" w:sz="4" w:space="0" w:color="auto"/>
                  </w:tcBorders>
                </w:tcPr>
                <w:p w14:paraId="15DA3ACA" w14:textId="77777777" w:rsidR="00646FE1" w:rsidRPr="00D54FAE" w:rsidRDefault="00646FE1" w:rsidP="00646FE1">
                  <w:pPr>
                    <w:spacing w:after="240"/>
                    <w:jc w:val="both"/>
                    <w:rPr>
                      <w:sz w:val="20"/>
                    </w:rPr>
                  </w:pPr>
                  <w:r w:rsidRPr="00D54FAE">
                    <w:rPr>
                      <w:sz w:val="20"/>
                    </w:rPr>
                    <w:t>Net earnings</w:t>
                  </w:r>
                </w:p>
              </w:tc>
              <w:tc>
                <w:tcPr>
                  <w:tcW w:w="1134" w:type="dxa"/>
                  <w:tcBorders>
                    <w:top w:val="single" w:sz="4" w:space="0" w:color="auto"/>
                    <w:left w:val="single" w:sz="4" w:space="0" w:color="auto"/>
                    <w:bottom w:val="single" w:sz="4" w:space="0" w:color="auto"/>
                    <w:right w:val="single" w:sz="4" w:space="0" w:color="auto"/>
                  </w:tcBorders>
                </w:tcPr>
                <w:p w14:paraId="700E065C" w14:textId="77777777" w:rsidR="00646FE1" w:rsidRPr="00D54FAE" w:rsidRDefault="00646FE1" w:rsidP="00646FE1">
                  <w:pPr>
                    <w:spacing w:after="240"/>
                    <w:jc w:val="both"/>
                    <w:rPr>
                      <w:sz w:val="20"/>
                    </w:rPr>
                  </w:pPr>
                  <w:r w:rsidRPr="00D54FAE">
                    <w:rPr>
                      <w:sz w:val="20"/>
                    </w:rPr>
                    <w:t>$5M</w:t>
                  </w:r>
                </w:p>
              </w:tc>
              <w:tc>
                <w:tcPr>
                  <w:tcW w:w="1276" w:type="dxa"/>
                  <w:tcBorders>
                    <w:top w:val="single" w:sz="4" w:space="0" w:color="auto"/>
                    <w:left w:val="single" w:sz="4" w:space="0" w:color="auto"/>
                    <w:bottom w:val="single" w:sz="4" w:space="0" w:color="auto"/>
                    <w:right w:val="single" w:sz="4" w:space="0" w:color="auto"/>
                  </w:tcBorders>
                </w:tcPr>
                <w:p w14:paraId="6516F35A" w14:textId="77777777" w:rsidR="00646FE1" w:rsidRPr="00D54FAE" w:rsidRDefault="00646FE1" w:rsidP="00646FE1">
                  <w:pPr>
                    <w:spacing w:after="240"/>
                    <w:jc w:val="both"/>
                    <w:rPr>
                      <w:sz w:val="20"/>
                    </w:rPr>
                  </w:pPr>
                  <w:r w:rsidRPr="00D54FAE">
                    <w:rPr>
                      <w:sz w:val="20"/>
                    </w:rPr>
                    <w:t>$1</w:t>
                  </w:r>
                  <w:r w:rsidR="005641A8">
                    <w:rPr>
                      <w:sz w:val="20"/>
                    </w:rPr>
                    <w:t>2</w:t>
                  </w:r>
                  <w:r w:rsidRPr="00D54FAE">
                    <w:rPr>
                      <w:sz w:val="20"/>
                    </w:rPr>
                    <w:t>M</w:t>
                  </w:r>
                </w:p>
              </w:tc>
            </w:tr>
            <w:tr w:rsidR="00646FE1" w:rsidRPr="00D54FAE" w14:paraId="2EB85D26" w14:textId="77777777" w:rsidTr="00646FE1">
              <w:tc>
                <w:tcPr>
                  <w:tcW w:w="3578" w:type="dxa"/>
                  <w:tcBorders>
                    <w:top w:val="single" w:sz="4" w:space="0" w:color="auto"/>
                    <w:left w:val="single" w:sz="4" w:space="0" w:color="auto"/>
                    <w:bottom w:val="single" w:sz="4" w:space="0" w:color="auto"/>
                    <w:right w:val="single" w:sz="4" w:space="0" w:color="auto"/>
                  </w:tcBorders>
                </w:tcPr>
                <w:p w14:paraId="7C664578" w14:textId="77777777" w:rsidR="00646FE1" w:rsidRPr="00D54FAE" w:rsidRDefault="00646FE1" w:rsidP="00646FE1">
                  <w:pPr>
                    <w:spacing w:after="240"/>
                    <w:jc w:val="both"/>
                    <w:rPr>
                      <w:sz w:val="20"/>
                    </w:rPr>
                  </w:pPr>
                  <w:r w:rsidRPr="00D54FAE">
                    <w:rPr>
                      <w:sz w:val="20"/>
                    </w:rPr>
                    <w:t>Interest</w:t>
                  </w:r>
                </w:p>
              </w:tc>
              <w:tc>
                <w:tcPr>
                  <w:tcW w:w="1134" w:type="dxa"/>
                  <w:tcBorders>
                    <w:top w:val="single" w:sz="4" w:space="0" w:color="auto"/>
                    <w:left w:val="single" w:sz="4" w:space="0" w:color="auto"/>
                    <w:bottom w:val="single" w:sz="4" w:space="0" w:color="auto"/>
                    <w:right w:val="single" w:sz="4" w:space="0" w:color="auto"/>
                  </w:tcBorders>
                </w:tcPr>
                <w:p w14:paraId="7A8409F2" w14:textId="77777777" w:rsidR="00646FE1" w:rsidRPr="00D54FAE" w:rsidRDefault="00646FE1" w:rsidP="00646FE1">
                  <w:pPr>
                    <w:spacing w:after="240"/>
                    <w:jc w:val="both"/>
                    <w:rPr>
                      <w:sz w:val="20"/>
                    </w:rPr>
                  </w:pPr>
                  <w:r w:rsidRPr="00D54FAE">
                    <w:rPr>
                      <w:sz w:val="20"/>
                    </w:rPr>
                    <w:t>$2M</w:t>
                  </w:r>
                </w:p>
              </w:tc>
              <w:tc>
                <w:tcPr>
                  <w:tcW w:w="1276" w:type="dxa"/>
                  <w:tcBorders>
                    <w:top w:val="single" w:sz="4" w:space="0" w:color="auto"/>
                    <w:left w:val="single" w:sz="4" w:space="0" w:color="auto"/>
                    <w:bottom w:val="single" w:sz="4" w:space="0" w:color="auto"/>
                    <w:right w:val="single" w:sz="4" w:space="0" w:color="auto"/>
                  </w:tcBorders>
                </w:tcPr>
                <w:p w14:paraId="367E84C5" w14:textId="77777777" w:rsidR="00646FE1" w:rsidRPr="00D54FAE" w:rsidRDefault="00646FE1" w:rsidP="00646FE1">
                  <w:pPr>
                    <w:spacing w:after="240"/>
                    <w:jc w:val="both"/>
                    <w:rPr>
                      <w:sz w:val="20"/>
                    </w:rPr>
                  </w:pPr>
                  <w:r w:rsidRPr="00D54FAE">
                    <w:rPr>
                      <w:sz w:val="20"/>
                    </w:rPr>
                    <w:t>$1M</w:t>
                  </w:r>
                </w:p>
              </w:tc>
            </w:tr>
            <w:tr w:rsidR="00646FE1" w:rsidRPr="00D54FAE" w14:paraId="2D0F7C72" w14:textId="77777777" w:rsidTr="00646FE1">
              <w:tc>
                <w:tcPr>
                  <w:tcW w:w="3578" w:type="dxa"/>
                  <w:tcBorders>
                    <w:top w:val="single" w:sz="4" w:space="0" w:color="auto"/>
                    <w:left w:val="single" w:sz="4" w:space="0" w:color="auto"/>
                    <w:bottom w:val="single" w:sz="4" w:space="0" w:color="auto"/>
                    <w:right w:val="single" w:sz="4" w:space="0" w:color="auto"/>
                  </w:tcBorders>
                </w:tcPr>
                <w:p w14:paraId="71DA3DA3" w14:textId="77777777" w:rsidR="00646FE1" w:rsidRPr="00D54FAE" w:rsidRDefault="00646FE1" w:rsidP="00646FE1">
                  <w:pPr>
                    <w:spacing w:after="240"/>
                    <w:jc w:val="both"/>
                    <w:rPr>
                      <w:sz w:val="20"/>
                    </w:rPr>
                  </w:pPr>
                  <w:r w:rsidRPr="00D54FAE">
                    <w:rPr>
                      <w:sz w:val="20"/>
                    </w:rPr>
                    <w:t>Depreciation</w:t>
                  </w:r>
                </w:p>
              </w:tc>
              <w:tc>
                <w:tcPr>
                  <w:tcW w:w="1134" w:type="dxa"/>
                  <w:tcBorders>
                    <w:top w:val="single" w:sz="4" w:space="0" w:color="auto"/>
                    <w:left w:val="single" w:sz="4" w:space="0" w:color="auto"/>
                    <w:bottom w:val="single" w:sz="4" w:space="0" w:color="auto"/>
                    <w:right w:val="single" w:sz="4" w:space="0" w:color="auto"/>
                  </w:tcBorders>
                </w:tcPr>
                <w:p w14:paraId="5C7B9751" w14:textId="77777777" w:rsidR="00646FE1" w:rsidRPr="00D54FAE" w:rsidRDefault="00646FE1" w:rsidP="00646FE1">
                  <w:pPr>
                    <w:spacing w:after="240"/>
                    <w:jc w:val="both"/>
                    <w:rPr>
                      <w:sz w:val="20"/>
                      <w:u w:val="single"/>
                    </w:rPr>
                  </w:pPr>
                  <w:r w:rsidRPr="00D54FAE">
                    <w:rPr>
                      <w:sz w:val="20"/>
                      <w:u w:val="single"/>
                    </w:rPr>
                    <w:t>$3M</w:t>
                  </w:r>
                </w:p>
              </w:tc>
              <w:tc>
                <w:tcPr>
                  <w:tcW w:w="1276" w:type="dxa"/>
                  <w:tcBorders>
                    <w:top w:val="single" w:sz="4" w:space="0" w:color="auto"/>
                    <w:left w:val="single" w:sz="4" w:space="0" w:color="auto"/>
                    <w:bottom w:val="single" w:sz="4" w:space="0" w:color="auto"/>
                    <w:right w:val="single" w:sz="4" w:space="0" w:color="auto"/>
                  </w:tcBorders>
                </w:tcPr>
                <w:p w14:paraId="0C68D712" w14:textId="77777777" w:rsidR="00646FE1" w:rsidRPr="00D54FAE" w:rsidRDefault="00646FE1" w:rsidP="00646FE1">
                  <w:pPr>
                    <w:spacing w:after="240"/>
                    <w:jc w:val="both"/>
                    <w:rPr>
                      <w:sz w:val="20"/>
                      <w:u w:val="single"/>
                    </w:rPr>
                  </w:pPr>
                  <w:r w:rsidRPr="00D54FAE">
                    <w:rPr>
                      <w:sz w:val="20"/>
                      <w:u w:val="single"/>
                    </w:rPr>
                    <w:t>$3M</w:t>
                  </w:r>
                </w:p>
              </w:tc>
            </w:tr>
            <w:tr w:rsidR="00646FE1" w:rsidRPr="00D54FAE" w14:paraId="1511ED75" w14:textId="77777777" w:rsidTr="00646FE1">
              <w:tc>
                <w:tcPr>
                  <w:tcW w:w="3578" w:type="dxa"/>
                  <w:tcBorders>
                    <w:top w:val="single" w:sz="4" w:space="0" w:color="auto"/>
                    <w:left w:val="single" w:sz="4" w:space="0" w:color="auto"/>
                    <w:bottom w:val="single" w:sz="4" w:space="0" w:color="auto"/>
                    <w:right w:val="single" w:sz="4" w:space="0" w:color="auto"/>
                  </w:tcBorders>
                </w:tcPr>
                <w:p w14:paraId="4625F004" w14:textId="77777777" w:rsidR="00646FE1" w:rsidRPr="00D54FAE" w:rsidRDefault="00646FE1" w:rsidP="00646FE1">
                  <w:pPr>
                    <w:spacing w:after="240"/>
                    <w:jc w:val="both"/>
                    <w:rPr>
                      <w:sz w:val="20"/>
                    </w:rPr>
                  </w:pPr>
                  <w:r w:rsidRPr="00D54FAE">
                    <w:rPr>
                      <w:sz w:val="20"/>
                    </w:rPr>
                    <w:t>EBITDA</w:t>
                  </w:r>
                </w:p>
              </w:tc>
              <w:tc>
                <w:tcPr>
                  <w:tcW w:w="1134" w:type="dxa"/>
                  <w:tcBorders>
                    <w:top w:val="single" w:sz="4" w:space="0" w:color="auto"/>
                    <w:left w:val="single" w:sz="4" w:space="0" w:color="auto"/>
                    <w:bottom w:val="single" w:sz="4" w:space="0" w:color="auto"/>
                    <w:right w:val="single" w:sz="4" w:space="0" w:color="auto"/>
                  </w:tcBorders>
                </w:tcPr>
                <w:p w14:paraId="387591AF" w14:textId="77777777" w:rsidR="00646FE1" w:rsidRPr="00D54FAE" w:rsidRDefault="00646FE1" w:rsidP="00646FE1">
                  <w:pPr>
                    <w:spacing w:after="240"/>
                    <w:jc w:val="both"/>
                    <w:rPr>
                      <w:sz w:val="20"/>
                    </w:rPr>
                  </w:pPr>
                  <w:r w:rsidRPr="00D54FAE">
                    <w:rPr>
                      <w:sz w:val="20"/>
                    </w:rPr>
                    <w:t>$10M</w:t>
                  </w:r>
                </w:p>
              </w:tc>
              <w:tc>
                <w:tcPr>
                  <w:tcW w:w="1276" w:type="dxa"/>
                  <w:tcBorders>
                    <w:top w:val="single" w:sz="4" w:space="0" w:color="auto"/>
                    <w:left w:val="single" w:sz="4" w:space="0" w:color="auto"/>
                    <w:bottom w:val="single" w:sz="4" w:space="0" w:color="auto"/>
                    <w:right w:val="single" w:sz="4" w:space="0" w:color="auto"/>
                  </w:tcBorders>
                </w:tcPr>
                <w:p w14:paraId="1162C450" w14:textId="77777777" w:rsidR="00646FE1" w:rsidRPr="00D54FAE" w:rsidRDefault="00646FE1" w:rsidP="00646FE1">
                  <w:pPr>
                    <w:spacing w:after="240"/>
                    <w:jc w:val="both"/>
                    <w:rPr>
                      <w:sz w:val="20"/>
                    </w:rPr>
                  </w:pPr>
                  <w:r w:rsidRPr="00D54FAE">
                    <w:rPr>
                      <w:sz w:val="20"/>
                    </w:rPr>
                    <w:t>$1</w:t>
                  </w:r>
                  <w:r w:rsidR="005641A8">
                    <w:rPr>
                      <w:sz w:val="20"/>
                    </w:rPr>
                    <w:t>6</w:t>
                  </w:r>
                  <w:r w:rsidRPr="00D54FAE">
                    <w:rPr>
                      <w:sz w:val="20"/>
                    </w:rPr>
                    <w:t>M</w:t>
                  </w:r>
                </w:p>
              </w:tc>
            </w:tr>
            <w:tr w:rsidR="00646FE1" w:rsidRPr="00D54FAE" w14:paraId="61E78645" w14:textId="77777777" w:rsidTr="00646FE1">
              <w:tc>
                <w:tcPr>
                  <w:tcW w:w="3578" w:type="dxa"/>
                  <w:tcBorders>
                    <w:top w:val="single" w:sz="4" w:space="0" w:color="auto"/>
                    <w:left w:val="single" w:sz="4" w:space="0" w:color="auto"/>
                    <w:bottom w:val="single" w:sz="4" w:space="0" w:color="auto"/>
                    <w:right w:val="single" w:sz="4" w:space="0" w:color="auto"/>
                  </w:tcBorders>
                </w:tcPr>
                <w:p w14:paraId="6BCF646A" w14:textId="77777777" w:rsidR="00646FE1" w:rsidRPr="00D54FAE" w:rsidRDefault="00646FE1" w:rsidP="00646FE1">
                  <w:pPr>
                    <w:spacing w:after="240"/>
                    <w:jc w:val="both"/>
                    <w:rPr>
                      <w:sz w:val="20"/>
                    </w:rPr>
                  </w:pPr>
                  <w:r w:rsidRPr="00D54FAE">
                    <w:rPr>
                      <w:sz w:val="20"/>
                    </w:rPr>
                    <w:t>Restructuring costs related to COVID-19 (1)</w:t>
                  </w:r>
                </w:p>
              </w:tc>
              <w:tc>
                <w:tcPr>
                  <w:tcW w:w="1134" w:type="dxa"/>
                  <w:tcBorders>
                    <w:top w:val="single" w:sz="4" w:space="0" w:color="auto"/>
                    <w:left w:val="single" w:sz="4" w:space="0" w:color="auto"/>
                    <w:bottom w:val="single" w:sz="4" w:space="0" w:color="auto"/>
                    <w:right w:val="single" w:sz="4" w:space="0" w:color="auto"/>
                  </w:tcBorders>
                </w:tcPr>
                <w:p w14:paraId="0E4C1838" w14:textId="77777777" w:rsidR="00646FE1" w:rsidRPr="00D54FAE" w:rsidRDefault="00646FE1" w:rsidP="00646FE1">
                  <w:pPr>
                    <w:spacing w:after="240"/>
                    <w:jc w:val="both"/>
                    <w:rPr>
                      <w:sz w:val="20"/>
                    </w:rPr>
                  </w:pPr>
                  <w:r w:rsidRPr="00D54FAE">
                    <w:rPr>
                      <w:sz w:val="20"/>
                    </w:rPr>
                    <w:t>$4M</w:t>
                  </w:r>
                </w:p>
              </w:tc>
              <w:tc>
                <w:tcPr>
                  <w:tcW w:w="1276" w:type="dxa"/>
                  <w:tcBorders>
                    <w:top w:val="single" w:sz="4" w:space="0" w:color="auto"/>
                    <w:left w:val="single" w:sz="4" w:space="0" w:color="auto"/>
                    <w:bottom w:val="single" w:sz="4" w:space="0" w:color="auto"/>
                    <w:right w:val="single" w:sz="4" w:space="0" w:color="auto"/>
                  </w:tcBorders>
                </w:tcPr>
                <w:p w14:paraId="1849CA6D" w14:textId="77777777" w:rsidR="00646FE1" w:rsidRPr="00D54FAE" w:rsidRDefault="00646FE1" w:rsidP="00646FE1">
                  <w:pPr>
                    <w:spacing w:after="240"/>
                    <w:jc w:val="both"/>
                    <w:rPr>
                      <w:sz w:val="20"/>
                    </w:rPr>
                  </w:pPr>
                  <w:r w:rsidRPr="00D54FAE">
                    <w:rPr>
                      <w:sz w:val="20"/>
                    </w:rPr>
                    <w:t>-</w:t>
                  </w:r>
                </w:p>
              </w:tc>
            </w:tr>
            <w:tr w:rsidR="00646FE1" w:rsidRPr="00D54FAE" w14:paraId="4448C128" w14:textId="77777777" w:rsidTr="00646FE1">
              <w:tc>
                <w:tcPr>
                  <w:tcW w:w="3578" w:type="dxa"/>
                  <w:tcBorders>
                    <w:top w:val="single" w:sz="4" w:space="0" w:color="auto"/>
                    <w:left w:val="single" w:sz="4" w:space="0" w:color="auto"/>
                    <w:bottom w:val="single" w:sz="4" w:space="0" w:color="auto"/>
                    <w:right w:val="single" w:sz="4" w:space="0" w:color="auto"/>
                  </w:tcBorders>
                </w:tcPr>
                <w:p w14:paraId="0A16FAA2" w14:textId="77777777" w:rsidR="00646FE1" w:rsidRPr="00D54FAE" w:rsidRDefault="00646FE1" w:rsidP="00646FE1">
                  <w:pPr>
                    <w:spacing w:after="240"/>
                    <w:jc w:val="both"/>
                    <w:rPr>
                      <w:sz w:val="20"/>
                    </w:rPr>
                  </w:pPr>
                  <w:r w:rsidRPr="00D54FAE">
                    <w:rPr>
                      <w:sz w:val="20"/>
                    </w:rPr>
                    <w:t>Government subsidies (2)</w:t>
                  </w:r>
                </w:p>
              </w:tc>
              <w:tc>
                <w:tcPr>
                  <w:tcW w:w="1134" w:type="dxa"/>
                  <w:tcBorders>
                    <w:top w:val="single" w:sz="4" w:space="0" w:color="auto"/>
                    <w:left w:val="single" w:sz="4" w:space="0" w:color="auto"/>
                    <w:bottom w:val="single" w:sz="4" w:space="0" w:color="auto"/>
                    <w:right w:val="single" w:sz="4" w:space="0" w:color="auto"/>
                  </w:tcBorders>
                </w:tcPr>
                <w:p w14:paraId="2E99CC1B" w14:textId="77777777" w:rsidR="00646FE1" w:rsidRPr="00D54FAE" w:rsidRDefault="00646FE1" w:rsidP="00646FE1">
                  <w:pPr>
                    <w:spacing w:after="240"/>
                    <w:jc w:val="both"/>
                    <w:rPr>
                      <w:sz w:val="20"/>
                    </w:rPr>
                  </w:pPr>
                  <w:r w:rsidRPr="00D54FAE">
                    <w:rPr>
                      <w:sz w:val="20"/>
                    </w:rPr>
                    <w:t>$(2M)</w:t>
                  </w:r>
                </w:p>
              </w:tc>
              <w:tc>
                <w:tcPr>
                  <w:tcW w:w="1276" w:type="dxa"/>
                  <w:tcBorders>
                    <w:top w:val="single" w:sz="4" w:space="0" w:color="auto"/>
                    <w:left w:val="single" w:sz="4" w:space="0" w:color="auto"/>
                    <w:bottom w:val="single" w:sz="4" w:space="0" w:color="auto"/>
                    <w:right w:val="single" w:sz="4" w:space="0" w:color="auto"/>
                  </w:tcBorders>
                </w:tcPr>
                <w:p w14:paraId="5D37E493" w14:textId="77777777" w:rsidR="00646FE1" w:rsidRPr="00D54FAE" w:rsidRDefault="00646FE1" w:rsidP="00646FE1">
                  <w:pPr>
                    <w:spacing w:after="240"/>
                    <w:jc w:val="both"/>
                    <w:rPr>
                      <w:b/>
                      <w:bCs/>
                      <w:sz w:val="20"/>
                    </w:rPr>
                  </w:pPr>
                  <w:r w:rsidRPr="00D54FAE">
                    <w:rPr>
                      <w:b/>
                      <w:bCs/>
                      <w:sz w:val="20"/>
                    </w:rPr>
                    <w:t>-</w:t>
                  </w:r>
                </w:p>
              </w:tc>
            </w:tr>
            <w:tr w:rsidR="00646FE1" w:rsidRPr="00D54FAE" w14:paraId="5541FBFC" w14:textId="77777777" w:rsidTr="00646FE1">
              <w:tc>
                <w:tcPr>
                  <w:tcW w:w="3578" w:type="dxa"/>
                  <w:tcBorders>
                    <w:top w:val="single" w:sz="4" w:space="0" w:color="auto"/>
                    <w:left w:val="single" w:sz="4" w:space="0" w:color="auto"/>
                    <w:bottom w:val="single" w:sz="4" w:space="0" w:color="auto"/>
                    <w:right w:val="single" w:sz="4" w:space="0" w:color="auto"/>
                  </w:tcBorders>
                </w:tcPr>
                <w:p w14:paraId="3626E8A2" w14:textId="77777777" w:rsidR="00646FE1" w:rsidRPr="00D54FAE" w:rsidRDefault="00646FE1" w:rsidP="00646FE1">
                  <w:pPr>
                    <w:spacing w:after="240"/>
                    <w:jc w:val="both"/>
                    <w:rPr>
                      <w:b/>
                      <w:bCs/>
                      <w:sz w:val="20"/>
                    </w:rPr>
                  </w:pPr>
                  <w:r w:rsidRPr="00D54FAE">
                    <w:rPr>
                      <w:b/>
                      <w:bCs/>
                      <w:sz w:val="20"/>
                    </w:rPr>
                    <w:t>ADJUSTED EBITDA</w:t>
                  </w:r>
                </w:p>
              </w:tc>
              <w:tc>
                <w:tcPr>
                  <w:tcW w:w="1134" w:type="dxa"/>
                  <w:tcBorders>
                    <w:top w:val="single" w:sz="4" w:space="0" w:color="auto"/>
                    <w:left w:val="single" w:sz="4" w:space="0" w:color="auto"/>
                    <w:bottom w:val="single" w:sz="4" w:space="0" w:color="auto"/>
                    <w:right w:val="single" w:sz="4" w:space="0" w:color="auto"/>
                  </w:tcBorders>
                </w:tcPr>
                <w:p w14:paraId="0DB7652C" w14:textId="77777777" w:rsidR="00646FE1" w:rsidRPr="00D54FAE" w:rsidRDefault="00646FE1" w:rsidP="00646FE1">
                  <w:pPr>
                    <w:spacing w:after="240"/>
                    <w:jc w:val="both"/>
                    <w:rPr>
                      <w:b/>
                      <w:bCs/>
                      <w:sz w:val="20"/>
                    </w:rPr>
                  </w:pPr>
                  <w:r w:rsidRPr="00D54FAE">
                    <w:rPr>
                      <w:b/>
                      <w:bCs/>
                      <w:sz w:val="20"/>
                    </w:rPr>
                    <w:t>$12M</w:t>
                  </w:r>
                </w:p>
              </w:tc>
              <w:tc>
                <w:tcPr>
                  <w:tcW w:w="1276" w:type="dxa"/>
                  <w:tcBorders>
                    <w:top w:val="single" w:sz="4" w:space="0" w:color="auto"/>
                    <w:left w:val="single" w:sz="4" w:space="0" w:color="auto"/>
                    <w:bottom w:val="single" w:sz="4" w:space="0" w:color="auto"/>
                    <w:right w:val="single" w:sz="4" w:space="0" w:color="auto"/>
                  </w:tcBorders>
                </w:tcPr>
                <w:p w14:paraId="4FB1060D" w14:textId="77777777" w:rsidR="00646FE1" w:rsidRPr="00D54FAE" w:rsidRDefault="00646FE1" w:rsidP="00646FE1">
                  <w:pPr>
                    <w:spacing w:after="240"/>
                    <w:jc w:val="both"/>
                    <w:rPr>
                      <w:b/>
                      <w:bCs/>
                      <w:sz w:val="20"/>
                    </w:rPr>
                  </w:pPr>
                  <w:r w:rsidRPr="00D54FAE">
                    <w:rPr>
                      <w:b/>
                      <w:bCs/>
                      <w:sz w:val="20"/>
                    </w:rPr>
                    <w:t>$1</w:t>
                  </w:r>
                  <w:r w:rsidR="005641A8">
                    <w:rPr>
                      <w:b/>
                      <w:bCs/>
                      <w:sz w:val="20"/>
                    </w:rPr>
                    <w:t>6</w:t>
                  </w:r>
                  <w:r w:rsidRPr="00D54FAE">
                    <w:rPr>
                      <w:b/>
                      <w:bCs/>
                      <w:sz w:val="20"/>
                    </w:rPr>
                    <w:t>M</w:t>
                  </w:r>
                </w:p>
              </w:tc>
            </w:tr>
          </w:tbl>
          <w:p w14:paraId="5F6CD587" w14:textId="77777777" w:rsidR="00646FE1" w:rsidRPr="00D54FAE" w:rsidRDefault="00646FE1" w:rsidP="00646FE1">
            <w:pPr>
              <w:pStyle w:val="ListParagraph"/>
              <w:spacing w:after="240"/>
              <w:ind w:left="360"/>
              <w:jc w:val="both"/>
              <w:rPr>
                <w:sz w:val="20"/>
              </w:rPr>
            </w:pPr>
          </w:p>
          <w:p w14:paraId="6D4873DB" w14:textId="720CAAD9" w:rsidR="00646FE1" w:rsidRPr="00D54FAE" w:rsidRDefault="00646FE1" w:rsidP="00275D8A">
            <w:pPr>
              <w:pStyle w:val="ListParagraph"/>
              <w:numPr>
                <w:ilvl w:val="0"/>
                <w:numId w:val="39"/>
              </w:numPr>
              <w:spacing w:after="240"/>
              <w:jc w:val="both"/>
              <w:rPr>
                <w:sz w:val="20"/>
              </w:rPr>
            </w:pPr>
            <w:r w:rsidRPr="00D54FAE">
              <w:rPr>
                <w:sz w:val="20"/>
              </w:rPr>
              <w:t xml:space="preserve">As a result of the COVID-19 pandemic, management expects decreased demand for our products for the remainder of 2020 and 2021. As a result, management has reorganized its operations to streamline production and reduce head office staff. These restructuring costs include the cost of laying off </w:t>
            </w:r>
            <w:r w:rsidR="00FC2FA1">
              <w:rPr>
                <w:sz w:val="20"/>
              </w:rPr>
              <w:t>XX</w:t>
            </w:r>
            <w:r w:rsidRPr="00D54FAE">
              <w:rPr>
                <w:sz w:val="20"/>
              </w:rPr>
              <w:t xml:space="preserve"> employees and the cost of shifting the majority of the production to manufacturing plant A. Additional restructuring costs are expected in Q1,2021, although the majority of the restructuring costs have already been incurred. Please refer to the COVID-19 impact section of the company’s MD&amp;A and the restructuring costs note in the financial statements, filed concurrently with this news release, for additional details on the impact of COVID-19 on the company’s operations.</w:t>
            </w:r>
          </w:p>
          <w:p w14:paraId="0F919445" w14:textId="77777777" w:rsidR="00646FE1" w:rsidRPr="00D54FAE" w:rsidRDefault="00646FE1" w:rsidP="00646FE1">
            <w:pPr>
              <w:pStyle w:val="ListParagraph"/>
              <w:spacing w:after="240"/>
              <w:ind w:left="360"/>
              <w:jc w:val="both"/>
              <w:rPr>
                <w:sz w:val="20"/>
              </w:rPr>
            </w:pPr>
          </w:p>
          <w:p w14:paraId="5EF1CA58" w14:textId="1377B5FD" w:rsidR="00646FE1" w:rsidRPr="00D54FAE" w:rsidRDefault="00FC2FA1" w:rsidP="00275D8A">
            <w:pPr>
              <w:pStyle w:val="ListParagraph"/>
              <w:numPr>
                <w:ilvl w:val="0"/>
                <w:numId w:val="39"/>
              </w:numPr>
              <w:spacing w:after="240"/>
              <w:jc w:val="both"/>
              <w:rPr>
                <w:sz w:val="20"/>
              </w:rPr>
            </w:pPr>
            <w:r w:rsidRPr="00FC2FA1">
              <w:rPr>
                <w:sz w:val="20"/>
              </w:rPr>
              <w:t xml:space="preserve">The Company received government assistance from the Canada Emergency Wage Subsidy program (CEWS). During Q3, 2020, the Company recorded $2M of wage subsidies as a reduction of salary expenses. More information about government assistance is included in the MD&amp;A.  </w:t>
            </w:r>
          </w:p>
        </w:tc>
      </w:tr>
      <w:bookmarkEnd w:id="27"/>
    </w:tbl>
    <w:p w14:paraId="187A2D23" w14:textId="77777777" w:rsidR="00646FE1" w:rsidRPr="00947F30" w:rsidRDefault="00646FE1" w:rsidP="00646FE1">
      <w:pPr>
        <w:spacing w:after="240"/>
        <w:jc w:val="both"/>
      </w:pPr>
    </w:p>
    <w:p w14:paraId="2222510A" w14:textId="77777777" w:rsidR="00646FE1" w:rsidRDefault="00646FE1" w:rsidP="00646FE1">
      <w:pPr>
        <w:rPr>
          <w:b/>
          <w:szCs w:val="24"/>
        </w:rPr>
      </w:pPr>
      <w:r w:rsidRPr="00947F30">
        <w:rPr>
          <w:b/>
          <w:szCs w:val="24"/>
        </w:rPr>
        <w:br w:type="page"/>
      </w:r>
    </w:p>
    <w:p w14:paraId="198B9E63" w14:textId="77777777" w:rsidR="005F5E46" w:rsidRPr="00947F30" w:rsidRDefault="005F5E46" w:rsidP="00DE5DAD">
      <w:pPr>
        <w:spacing w:after="240"/>
        <w:jc w:val="both"/>
        <w:rPr>
          <w:b/>
          <w:szCs w:val="24"/>
        </w:rPr>
      </w:pPr>
      <w:r w:rsidRPr="00947F30">
        <w:rPr>
          <w:b/>
          <w:szCs w:val="24"/>
        </w:rPr>
        <w:t>Questions</w:t>
      </w:r>
      <w:r w:rsidR="00145A66" w:rsidRPr="00947F30">
        <w:rPr>
          <w:b/>
          <w:szCs w:val="24"/>
        </w:rPr>
        <w:t xml:space="preserve"> </w:t>
      </w:r>
    </w:p>
    <w:p w14:paraId="1C4806D2" w14:textId="77777777" w:rsidR="00C525EB" w:rsidRPr="00947F30" w:rsidRDefault="005F5E46" w:rsidP="00DE5DAD">
      <w:pPr>
        <w:spacing w:after="240"/>
        <w:jc w:val="both"/>
        <w:rPr>
          <w:szCs w:val="24"/>
        </w:rPr>
      </w:pPr>
      <w:r w:rsidRPr="00947F30">
        <w:rPr>
          <w:szCs w:val="24"/>
        </w:rPr>
        <w:t>Please refer your questions to any of the following:</w:t>
      </w:r>
    </w:p>
    <w:tbl>
      <w:tblPr>
        <w:tblpPr w:leftFromText="180" w:rightFromText="180" w:vertAnchor="text" w:horzAnchor="margin" w:tblpY="46"/>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FCE4"/>
        <w:tblLook w:val="01E0" w:firstRow="1" w:lastRow="1" w:firstColumn="1" w:lastColumn="1" w:noHBand="0" w:noVBand="0"/>
      </w:tblPr>
      <w:tblGrid>
        <w:gridCol w:w="4536"/>
        <w:gridCol w:w="5472"/>
      </w:tblGrid>
      <w:tr w:rsidR="00CA61CE" w:rsidRPr="00947F30" w14:paraId="08CFDE6C" w14:textId="77777777" w:rsidTr="007D59EF">
        <w:trPr>
          <w:cantSplit/>
        </w:trPr>
        <w:tc>
          <w:tcPr>
            <w:tcW w:w="4536" w:type="dxa"/>
            <w:shd w:val="clear" w:color="auto" w:fill="FAFCE4"/>
          </w:tcPr>
          <w:p w14:paraId="123A6B60" w14:textId="77777777" w:rsidR="00CA61CE" w:rsidRPr="00947F30" w:rsidRDefault="00CA61CE" w:rsidP="007D59EF">
            <w:pPr>
              <w:keepNext/>
              <w:keepLines/>
              <w:shd w:val="clear" w:color="auto" w:fill="FFFFE5"/>
              <w:rPr>
                <w:sz w:val="22"/>
                <w:szCs w:val="22"/>
              </w:rPr>
            </w:pPr>
            <w:r w:rsidRPr="00947F30">
              <w:rPr>
                <w:sz w:val="22"/>
                <w:szCs w:val="22"/>
              </w:rPr>
              <w:t>Jodie Hancock</w:t>
            </w:r>
          </w:p>
          <w:p w14:paraId="6636077B" w14:textId="77777777" w:rsidR="00CA61CE" w:rsidRPr="00947F30" w:rsidRDefault="00CA61CE" w:rsidP="007D59EF">
            <w:pPr>
              <w:keepNext/>
              <w:keepLines/>
              <w:shd w:val="clear" w:color="auto" w:fill="FFFFE5"/>
              <w:rPr>
                <w:sz w:val="22"/>
                <w:szCs w:val="22"/>
              </w:rPr>
            </w:pPr>
            <w:r w:rsidRPr="00947F30">
              <w:rPr>
                <w:sz w:val="22"/>
                <w:szCs w:val="22"/>
              </w:rPr>
              <w:t>Senior Accountant, Corporate Finance</w:t>
            </w:r>
          </w:p>
          <w:p w14:paraId="41C9F012" w14:textId="77777777" w:rsidR="00CA61CE" w:rsidRPr="00947F30" w:rsidRDefault="00CA61CE" w:rsidP="007D59EF">
            <w:pPr>
              <w:keepNext/>
              <w:keepLines/>
              <w:shd w:val="clear" w:color="auto" w:fill="FFFFE5"/>
              <w:rPr>
                <w:sz w:val="22"/>
                <w:szCs w:val="22"/>
              </w:rPr>
            </w:pPr>
            <w:r w:rsidRPr="00947F30">
              <w:rPr>
                <w:sz w:val="22"/>
                <w:szCs w:val="22"/>
              </w:rPr>
              <w:t>Ontario Securities Commission</w:t>
            </w:r>
          </w:p>
          <w:p w14:paraId="7B0BBC13" w14:textId="77777777" w:rsidR="00CA61CE" w:rsidRPr="00947F30" w:rsidRDefault="00CA61CE" w:rsidP="007D59EF">
            <w:pPr>
              <w:keepNext/>
              <w:keepLines/>
              <w:shd w:val="clear" w:color="auto" w:fill="FFFFE5"/>
              <w:rPr>
                <w:sz w:val="22"/>
                <w:szCs w:val="22"/>
              </w:rPr>
            </w:pPr>
            <w:r w:rsidRPr="00947F30">
              <w:rPr>
                <w:sz w:val="22"/>
                <w:szCs w:val="22"/>
              </w:rPr>
              <w:t>416-593-</w:t>
            </w:r>
            <w:r w:rsidR="002C0B41">
              <w:rPr>
                <w:sz w:val="22"/>
                <w:szCs w:val="22"/>
              </w:rPr>
              <w:t>2316</w:t>
            </w:r>
          </w:p>
          <w:p w14:paraId="0C3B276E" w14:textId="77777777" w:rsidR="002C0B41" w:rsidRPr="002C0B41" w:rsidRDefault="00116664" w:rsidP="002C0B41">
            <w:pPr>
              <w:keepNext/>
              <w:keepLines/>
              <w:shd w:val="clear" w:color="auto" w:fill="FFFFE5"/>
              <w:rPr>
                <w:color w:val="0000FF"/>
                <w:sz w:val="22"/>
                <w:szCs w:val="22"/>
                <w:u w:val="single"/>
              </w:rPr>
            </w:pPr>
            <w:hyperlink r:id="rId13" w:history="1">
              <w:r w:rsidR="00CA61CE" w:rsidRPr="00947F30">
                <w:rPr>
                  <w:rStyle w:val="Hyperlink"/>
                  <w:sz w:val="22"/>
                  <w:szCs w:val="22"/>
                </w:rPr>
                <w:t>j</w:t>
              </w:r>
              <w:r w:rsidR="00CA61CE" w:rsidRPr="00947F30">
                <w:rPr>
                  <w:rStyle w:val="Hyperlink"/>
                </w:rPr>
                <w:t>hancock</w:t>
              </w:r>
              <w:r w:rsidR="00CA61CE" w:rsidRPr="00947F30">
                <w:rPr>
                  <w:rStyle w:val="Hyperlink"/>
                  <w:sz w:val="22"/>
                  <w:szCs w:val="22"/>
                </w:rPr>
                <w:t>@osc.gov.on.ca</w:t>
              </w:r>
            </w:hyperlink>
          </w:p>
        </w:tc>
        <w:tc>
          <w:tcPr>
            <w:tcW w:w="5472" w:type="dxa"/>
            <w:shd w:val="clear" w:color="auto" w:fill="FAFCE4"/>
          </w:tcPr>
          <w:p w14:paraId="54646A9F" w14:textId="77777777" w:rsidR="00514C6D" w:rsidRPr="00947F30" w:rsidRDefault="00514C6D" w:rsidP="00514C6D">
            <w:pPr>
              <w:keepNext/>
              <w:keepLines/>
              <w:shd w:val="clear" w:color="auto" w:fill="FFFFE5"/>
              <w:rPr>
                <w:sz w:val="22"/>
                <w:szCs w:val="22"/>
              </w:rPr>
            </w:pPr>
            <w:r w:rsidRPr="00947F30">
              <w:rPr>
                <w:sz w:val="22"/>
                <w:szCs w:val="22"/>
              </w:rPr>
              <w:t xml:space="preserve">Stacy Cao </w:t>
            </w:r>
          </w:p>
          <w:p w14:paraId="2B5B306D" w14:textId="77777777" w:rsidR="00514C6D" w:rsidRPr="00947F30" w:rsidRDefault="00514C6D" w:rsidP="00514C6D">
            <w:pPr>
              <w:keepNext/>
              <w:keepLines/>
              <w:shd w:val="clear" w:color="auto" w:fill="FFFFE5"/>
              <w:rPr>
                <w:sz w:val="22"/>
                <w:szCs w:val="22"/>
              </w:rPr>
            </w:pPr>
            <w:r w:rsidRPr="00947F30">
              <w:rPr>
                <w:sz w:val="22"/>
                <w:szCs w:val="22"/>
              </w:rPr>
              <w:t>Accountant, Corporate Finance</w:t>
            </w:r>
          </w:p>
          <w:p w14:paraId="645D9731" w14:textId="77777777" w:rsidR="00514C6D" w:rsidRPr="00947F30" w:rsidRDefault="00514C6D" w:rsidP="00514C6D">
            <w:pPr>
              <w:keepNext/>
              <w:keepLines/>
              <w:shd w:val="clear" w:color="auto" w:fill="FFFFE5"/>
              <w:rPr>
                <w:sz w:val="22"/>
                <w:szCs w:val="22"/>
              </w:rPr>
            </w:pPr>
            <w:r w:rsidRPr="00947F30">
              <w:rPr>
                <w:sz w:val="22"/>
                <w:szCs w:val="22"/>
              </w:rPr>
              <w:t>Ontario Securities Commission</w:t>
            </w:r>
          </w:p>
          <w:p w14:paraId="757E2B95" w14:textId="77777777" w:rsidR="00514C6D" w:rsidRPr="00947F30" w:rsidRDefault="00514C6D" w:rsidP="00514C6D">
            <w:pPr>
              <w:keepNext/>
              <w:keepLines/>
              <w:shd w:val="clear" w:color="auto" w:fill="FFFFE5"/>
              <w:rPr>
                <w:sz w:val="22"/>
                <w:szCs w:val="22"/>
              </w:rPr>
            </w:pPr>
            <w:r w:rsidRPr="00947F30">
              <w:rPr>
                <w:sz w:val="22"/>
                <w:szCs w:val="22"/>
              </w:rPr>
              <w:t>416-</w:t>
            </w:r>
            <w:r>
              <w:rPr>
                <w:sz w:val="22"/>
                <w:szCs w:val="22"/>
              </w:rPr>
              <w:t>597-7246</w:t>
            </w:r>
          </w:p>
          <w:p w14:paraId="045AEBD8" w14:textId="77777777" w:rsidR="00514C6D" w:rsidRDefault="00116664" w:rsidP="00514C6D">
            <w:pPr>
              <w:keepNext/>
              <w:keepLines/>
              <w:shd w:val="clear" w:color="auto" w:fill="FFFFE5"/>
              <w:rPr>
                <w:rStyle w:val="Hyperlink"/>
                <w:sz w:val="22"/>
                <w:szCs w:val="22"/>
              </w:rPr>
            </w:pPr>
            <w:hyperlink r:id="rId14" w:history="1">
              <w:r w:rsidR="00514C6D" w:rsidRPr="00947F30">
                <w:rPr>
                  <w:rStyle w:val="Hyperlink"/>
                  <w:sz w:val="22"/>
                  <w:szCs w:val="22"/>
                </w:rPr>
                <w:t>scao@osc.gov.on.ca</w:t>
              </w:r>
            </w:hyperlink>
          </w:p>
          <w:p w14:paraId="2F16628F" w14:textId="77777777" w:rsidR="00CA61CE" w:rsidRPr="00947F30" w:rsidRDefault="00CA61CE" w:rsidP="00514C6D">
            <w:pPr>
              <w:rPr>
                <w:sz w:val="22"/>
                <w:szCs w:val="22"/>
                <w:u w:val="single"/>
              </w:rPr>
            </w:pPr>
          </w:p>
        </w:tc>
      </w:tr>
      <w:tr w:rsidR="002C0B41" w:rsidRPr="00947F30" w14:paraId="0C2FCF91" w14:textId="77777777" w:rsidTr="007D59EF">
        <w:trPr>
          <w:cantSplit/>
        </w:trPr>
        <w:tc>
          <w:tcPr>
            <w:tcW w:w="4536" w:type="dxa"/>
            <w:shd w:val="clear" w:color="auto" w:fill="FAFCE4"/>
          </w:tcPr>
          <w:p w14:paraId="299479E0" w14:textId="77777777" w:rsidR="00514C6D" w:rsidRPr="00947F30" w:rsidRDefault="00514C6D" w:rsidP="00514C6D">
            <w:pPr>
              <w:keepNext/>
              <w:keepLines/>
              <w:shd w:val="clear" w:color="auto" w:fill="FFFFE5"/>
              <w:rPr>
                <w:sz w:val="22"/>
                <w:szCs w:val="22"/>
              </w:rPr>
            </w:pPr>
            <w:r w:rsidRPr="00947F30">
              <w:rPr>
                <w:sz w:val="22"/>
                <w:szCs w:val="22"/>
              </w:rPr>
              <w:t xml:space="preserve">Allan Lim </w:t>
            </w:r>
          </w:p>
          <w:p w14:paraId="40145965" w14:textId="77777777" w:rsidR="00514C6D" w:rsidRPr="00947F30" w:rsidRDefault="00514C6D" w:rsidP="00514C6D">
            <w:pPr>
              <w:keepNext/>
              <w:keepLines/>
              <w:shd w:val="clear" w:color="auto" w:fill="FFFFE5"/>
              <w:rPr>
                <w:sz w:val="22"/>
                <w:szCs w:val="22"/>
              </w:rPr>
            </w:pPr>
            <w:r w:rsidRPr="00947F30">
              <w:rPr>
                <w:sz w:val="22"/>
                <w:szCs w:val="22"/>
              </w:rPr>
              <w:t>Manager</w:t>
            </w:r>
          </w:p>
          <w:p w14:paraId="67B65B6B" w14:textId="77777777" w:rsidR="00514C6D" w:rsidRPr="00947F30" w:rsidRDefault="00514C6D" w:rsidP="00514C6D">
            <w:pPr>
              <w:keepNext/>
              <w:keepLines/>
              <w:shd w:val="clear" w:color="auto" w:fill="FFFFE5"/>
              <w:rPr>
                <w:sz w:val="22"/>
                <w:szCs w:val="22"/>
              </w:rPr>
            </w:pPr>
            <w:r w:rsidRPr="00947F30">
              <w:rPr>
                <w:sz w:val="22"/>
                <w:szCs w:val="22"/>
              </w:rPr>
              <w:t>British Columbia Securities Commission</w:t>
            </w:r>
            <w:r w:rsidRPr="00947F30">
              <w:rPr>
                <w:sz w:val="22"/>
                <w:szCs w:val="22"/>
              </w:rPr>
              <w:br/>
              <w:t>6</w:t>
            </w:r>
            <w:r w:rsidR="00721FCC">
              <w:rPr>
                <w:sz w:val="22"/>
                <w:szCs w:val="22"/>
              </w:rPr>
              <w:t>04-899-6780</w:t>
            </w:r>
            <w:r w:rsidRPr="00947F30">
              <w:rPr>
                <w:sz w:val="22"/>
                <w:szCs w:val="22"/>
              </w:rPr>
              <w:br/>
            </w:r>
            <w:r w:rsidRPr="00947F30">
              <w:rPr>
                <w:rStyle w:val="Hyperlink"/>
                <w:sz w:val="22"/>
                <w:szCs w:val="22"/>
              </w:rPr>
              <w:t>alim@bcsc.bc.ca</w:t>
            </w:r>
          </w:p>
          <w:p w14:paraId="59DE0F01" w14:textId="77777777" w:rsidR="002C0B41" w:rsidRPr="00947F30" w:rsidRDefault="002C0B41" w:rsidP="002C0B41">
            <w:pPr>
              <w:keepNext/>
              <w:keepLines/>
              <w:shd w:val="clear" w:color="auto" w:fill="FFFFE5"/>
              <w:rPr>
                <w:sz w:val="22"/>
                <w:szCs w:val="22"/>
              </w:rPr>
            </w:pPr>
          </w:p>
        </w:tc>
        <w:tc>
          <w:tcPr>
            <w:tcW w:w="5472" w:type="dxa"/>
            <w:shd w:val="clear" w:color="auto" w:fill="FAFCE4"/>
          </w:tcPr>
          <w:p w14:paraId="36F29239" w14:textId="77777777" w:rsidR="00514C6D" w:rsidRPr="00947F30" w:rsidRDefault="00514C6D" w:rsidP="00514C6D">
            <w:pPr>
              <w:keepNext/>
              <w:keepLines/>
              <w:shd w:val="clear" w:color="auto" w:fill="FFFFE5"/>
              <w:rPr>
                <w:sz w:val="22"/>
                <w:szCs w:val="22"/>
              </w:rPr>
            </w:pPr>
            <w:r w:rsidRPr="00947F30">
              <w:rPr>
                <w:sz w:val="22"/>
                <w:szCs w:val="22"/>
              </w:rPr>
              <w:t xml:space="preserve">Anthony Potter </w:t>
            </w:r>
          </w:p>
          <w:p w14:paraId="12E06E06" w14:textId="77777777" w:rsidR="00514C6D" w:rsidRPr="002C0B41" w:rsidRDefault="00514C6D" w:rsidP="00514C6D">
            <w:pPr>
              <w:rPr>
                <w:sz w:val="22"/>
                <w:szCs w:val="22"/>
                <w:lang w:eastAsia="en-CA"/>
              </w:rPr>
            </w:pPr>
            <w:r w:rsidRPr="00514C6D">
              <w:rPr>
                <w:sz w:val="22"/>
                <w:szCs w:val="22"/>
              </w:rPr>
              <w:t>Manager, Corporate Disclosure &amp; Financial Analysis</w:t>
            </w:r>
            <w:r w:rsidRPr="00514C6D">
              <w:rPr>
                <w:sz w:val="22"/>
                <w:szCs w:val="22"/>
              </w:rPr>
              <w:br/>
              <w:t>Alberta Securities Commission</w:t>
            </w:r>
            <w:r w:rsidRPr="00514C6D">
              <w:rPr>
                <w:sz w:val="22"/>
                <w:szCs w:val="22"/>
              </w:rPr>
              <w:br/>
            </w:r>
            <w:r w:rsidRPr="002C0B41">
              <w:rPr>
                <w:sz w:val="22"/>
                <w:szCs w:val="22"/>
              </w:rPr>
              <w:t>403-297-7960</w:t>
            </w:r>
            <w:r w:rsidRPr="002C0B41">
              <w:rPr>
                <w:sz w:val="22"/>
                <w:szCs w:val="22"/>
              </w:rPr>
              <w:br/>
            </w:r>
            <w:hyperlink r:id="rId15" w:history="1">
              <w:r w:rsidRPr="002C0B41">
                <w:rPr>
                  <w:rStyle w:val="Hyperlink"/>
                  <w:sz w:val="22"/>
                  <w:szCs w:val="22"/>
                </w:rPr>
                <w:t>Anthony.Potter@asc.ca</w:t>
              </w:r>
            </w:hyperlink>
          </w:p>
          <w:p w14:paraId="46E9A370" w14:textId="77777777" w:rsidR="002C0B41" w:rsidRPr="00947F30" w:rsidRDefault="002C0B41" w:rsidP="00514C6D">
            <w:pPr>
              <w:keepNext/>
              <w:keepLines/>
              <w:shd w:val="clear" w:color="auto" w:fill="FFFFE5"/>
              <w:rPr>
                <w:sz w:val="22"/>
                <w:szCs w:val="22"/>
              </w:rPr>
            </w:pPr>
          </w:p>
        </w:tc>
      </w:tr>
      <w:tr w:rsidR="002C0B41" w:rsidRPr="00947F30" w14:paraId="090D0E29" w14:textId="77777777" w:rsidTr="007D59EF">
        <w:trPr>
          <w:cantSplit/>
        </w:trPr>
        <w:tc>
          <w:tcPr>
            <w:tcW w:w="4536" w:type="dxa"/>
            <w:shd w:val="clear" w:color="auto" w:fill="FAFCE4"/>
          </w:tcPr>
          <w:p w14:paraId="213A92EB" w14:textId="77777777" w:rsidR="00514C6D" w:rsidRPr="00947F30" w:rsidRDefault="00514C6D" w:rsidP="00514C6D">
            <w:pPr>
              <w:keepNext/>
              <w:keepLines/>
              <w:shd w:val="clear" w:color="auto" w:fill="FFFFE5"/>
              <w:rPr>
                <w:sz w:val="22"/>
                <w:szCs w:val="22"/>
              </w:rPr>
            </w:pPr>
            <w:r w:rsidRPr="00947F30">
              <w:rPr>
                <w:sz w:val="22"/>
                <w:szCs w:val="22"/>
              </w:rPr>
              <w:t>Heather Kuchuran</w:t>
            </w:r>
          </w:p>
          <w:p w14:paraId="5F22FF69" w14:textId="77777777" w:rsidR="00514C6D" w:rsidRPr="00947F30" w:rsidRDefault="00514C6D" w:rsidP="00514C6D">
            <w:pPr>
              <w:keepNext/>
              <w:keepLines/>
              <w:shd w:val="clear" w:color="auto" w:fill="FFFFE5"/>
              <w:rPr>
                <w:sz w:val="22"/>
                <w:szCs w:val="22"/>
              </w:rPr>
            </w:pPr>
            <w:r w:rsidRPr="00947F30">
              <w:rPr>
                <w:sz w:val="22"/>
                <w:szCs w:val="22"/>
              </w:rPr>
              <w:t>Director, Corporate Finance</w:t>
            </w:r>
          </w:p>
          <w:p w14:paraId="5CAD4844" w14:textId="77777777" w:rsidR="00514C6D" w:rsidRPr="00947F30" w:rsidRDefault="00514C6D" w:rsidP="00514C6D">
            <w:pPr>
              <w:keepNext/>
              <w:keepLines/>
              <w:shd w:val="clear" w:color="auto" w:fill="FFFFE5"/>
              <w:rPr>
                <w:sz w:val="22"/>
                <w:szCs w:val="22"/>
              </w:rPr>
            </w:pPr>
            <w:r w:rsidRPr="00947F30">
              <w:rPr>
                <w:sz w:val="22"/>
                <w:szCs w:val="22"/>
              </w:rPr>
              <w:t>Financial and Consumer Affairs Authority of Saskatchewan</w:t>
            </w:r>
          </w:p>
          <w:p w14:paraId="7EBA52D5" w14:textId="77777777" w:rsidR="00514C6D" w:rsidRPr="00947F30" w:rsidRDefault="00514C6D" w:rsidP="00514C6D">
            <w:pPr>
              <w:keepNext/>
              <w:keepLines/>
              <w:shd w:val="clear" w:color="auto" w:fill="FFFFE5"/>
              <w:rPr>
                <w:sz w:val="22"/>
                <w:szCs w:val="22"/>
              </w:rPr>
            </w:pPr>
            <w:r w:rsidRPr="00947F30">
              <w:rPr>
                <w:sz w:val="22"/>
                <w:szCs w:val="22"/>
              </w:rPr>
              <w:t>306-787-1009</w:t>
            </w:r>
          </w:p>
          <w:p w14:paraId="4D08B86E" w14:textId="77777777" w:rsidR="00514C6D" w:rsidRPr="00947F30" w:rsidRDefault="00514C6D" w:rsidP="00514C6D">
            <w:pPr>
              <w:keepNext/>
              <w:keepLines/>
              <w:shd w:val="clear" w:color="auto" w:fill="FFFFE5"/>
              <w:rPr>
                <w:sz w:val="22"/>
                <w:szCs w:val="22"/>
                <w:u w:val="single"/>
              </w:rPr>
            </w:pPr>
            <w:r w:rsidRPr="00947F30">
              <w:rPr>
                <w:sz w:val="22"/>
                <w:szCs w:val="22"/>
                <w:u w:val="single"/>
              </w:rPr>
              <w:t>heather.kuchuran@gov.sk.ca</w:t>
            </w:r>
          </w:p>
          <w:p w14:paraId="629821F6" w14:textId="77777777" w:rsidR="002C0B41" w:rsidRPr="00947F30" w:rsidRDefault="002C0B41" w:rsidP="002C0B41">
            <w:pPr>
              <w:keepNext/>
              <w:keepLines/>
              <w:shd w:val="clear" w:color="auto" w:fill="FFFFE5"/>
              <w:rPr>
                <w:sz w:val="22"/>
                <w:szCs w:val="22"/>
              </w:rPr>
            </w:pPr>
          </w:p>
        </w:tc>
        <w:tc>
          <w:tcPr>
            <w:tcW w:w="5472" w:type="dxa"/>
            <w:shd w:val="clear" w:color="auto" w:fill="FAFCE4"/>
          </w:tcPr>
          <w:p w14:paraId="015BB795" w14:textId="77777777" w:rsidR="00514C6D" w:rsidRPr="00947F30" w:rsidRDefault="00514C6D" w:rsidP="00514C6D">
            <w:pPr>
              <w:keepNext/>
              <w:keepLines/>
              <w:shd w:val="clear" w:color="auto" w:fill="FFFFE5"/>
              <w:rPr>
                <w:sz w:val="22"/>
                <w:szCs w:val="22"/>
              </w:rPr>
            </w:pPr>
            <w:r w:rsidRPr="00947F30">
              <w:rPr>
                <w:sz w:val="22"/>
                <w:szCs w:val="22"/>
              </w:rPr>
              <w:t>Wayne Bridgeman</w:t>
            </w:r>
          </w:p>
          <w:p w14:paraId="369E811B" w14:textId="77777777" w:rsidR="00514C6D" w:rsidRPr="00947F30" w:rsidRDefault="00514C6D" w:rsidP="00514C6D">
            <w:pPr>
              <w:keepNext/>
              <w:keepLines/>
              <w:shd w:val="clear" w:color="auto" w:fill="FFFFE5"/>
              <w:rPr>
                <w:sz w:val="22"/>
                <w:szCs w:val="22"/>
              </w:rPr>
            </w:pPr>
            <w:r>
              <w:rPr>
                <w:sz w:val="22"/>
                <w:szCs w:val="22"/>
              </w:rPr>
              <w:t>Deputy Director</w:t>
            </w:r>
            <w:r w:rsidRPr="00947F30">
              <w:rPr>
                <w:sz w:val="22"/>
                <w:szCs w:val="22"/>
              </w:rPr>
              <w:t>, Corporate Finance</w:t>
            </w:r>
          </w:p>
          <w:p w14:paraId="79CBC891" w14:textId="77777777" w:rsidR="00514C6D" w:rsidRPr="00947F30" w:rsidRDefault="00514C6D" w:rsidP="00514C6D">
            <w:pPr>
              <w:keepNext/>
              <w:keepLines/>
              <w:shd w:val="clear" w:color="auto" w:fill="FFFFE5"/>
              <w:rPr>
                <w:sz w:val="22"/>
                <w:szCs w:val="22"/>
              </w:rPr>
            </w:pPr>
            <w:r w:rsidRPr="00947F30">
              <w:rPr>
                <w:sz w:val="22"/>
                <w:szCs w:val="22"/>
              </w:rPr>
              <w:t>Manitoba Securities Commission</w:t>
            </w:r>
          </w:p>
          <w:p w14:paraId="19DA4D3A" w14:textId="77777777" w:rsidR="00514C6D" w:rsidRPr="00947F30" w:rsidRDefault="00514C6D" w:rsidP="00514C6D">
            <w:pPr>
              <w:keepNext/>
              <w:keepLines/>
              <w:shd w:val="clear" w:color="auto" w:fill="FFFFE5"/>
              <w:rPr>
                <w:sz w:val="22"/>
                <w:szCs w:val="22"/>
              </w:rPr>
            </w:pPr>
            <w:r w:rsidRPr="00947F30">
              <w:rPr>
                <w:sz w:val="22"/>
                <w:szCs w:val="22"/>
              </w:rPr>
              <w:t>204</w:t>
            </w:r>
            <w:r w:rsidRPr="00C525EB">
              <w:rPr>
                <w:sz w:val="22"/>
                <w:szCs w:val="22"/>
              </w:rPr>
              <w:t>-</w:t>
            </w:r>
            <w:r w:rsidRPr="00C525EB">
              <w:rPr>
                <w:sz w:val="22"/>
                <w:szCs w:val="22"/>
                <w:lang w:eastAsia="en-CA"/>
              </w:rPr>
              <w:t>945-4905</w:t>
            </w:r>
          </w:p>
          <w:p w14:paraId="66D168EF" w14:textId="77777777" w:rsidR="00514C6D" w:rsidRDefault="00514C6D" w:rsidP="00514C6D">
            <w:pPr>
              <w:keepNext/>
              <w:keepLines/>
              <w:shd w:val="clear" w:color="auto" w:fill="FFFFE5"/>
              <w:rPr>
                <w:sz w:val="22"/>
                <w:szCs w:val="22"/>
              </w:rPr>
            </w:pPr>
            <w:r w:rsidRPr="00947F30">
              <w:rPr>
                <w:rStyle w:val="Hyperlink"/>
                <w:sz w:val="22"/>
                <w:szCs w:val="22"/>
              </w:rPr>
              <w:t>wayne.bridgeman@gov.mb.ca</w:t>
            </w:r>
          </w:p>
          <w:p w14:paraId="0AB381E1" w14:textId="77777777" w:rsidR="00514C6D" w:rsidRDefault="00514C6D" w:rsidP="002C0B41">
            <w:pPr>
              <w:keepNext/>
              <w:keepLines/>
              <w:shd w:val="clear" w:color="auto" w:fill="FFFFE5"/>
              <w:rPr>
                <w:sz w:val="22"/>
                <w:szCs w:val="22"/>
              </w:rPr>
            </w:pPr>
          </w:p>
          <w:p w14:paraId="238A3B2E" w14:textId="77777777" w:rsidR="00C525EB" w:rsidRPr="00947F30" w:rsidRDefault="00C525EB" w:rsidP="00514C6D">
            <w:pPr>
              <w:keepNext/>
              <w:keepLines/>
              <w:shd w:val="clear" w:color="auto" w:fill="FFFFE5"/>
              <w:rPr>
                <w:sz w:val="22"/>
                <w:szCs w:val="22"/>
                <w:u w:val="single"/>
              </w:rPr>
            </w:pPr>
          </w:p>
        </w:tc>
      </w:tr>
      <w:tr w:rsidR="002C0B41" w:rsidRPr="00947F30" w14:paraId="254324DB" w14:textId="77777777" w:rsidTr="007D59EF">
        <w:trPr>
          <w:cantSplit/>
        </w:trPr>
        <w:tc>
          <w:tcPr>
            <w:tcW w:w="4536" w:type="dxa"/>
            <w:shd w:val="clear" w:color="auto" w:fill="FAFCE4"/>
          </w:tcPr>
          <w:p w14:paraId="54E4E215" w14:textId="77777777" w:rsidR="002C0B41" w:rsidRPr="00947F30" w:rsidRDefault="002C0B41" w:rsidP="002C0B41">
            <w:pPr>
              <w:keepNext/>
              <w:keepLines/>
              <w:shd w:val="clear" w:color="auto" w:fill="FFFFE5"/>
              <w:autoSpaceDE w:val="0"/>
              <w:autoSpaceDN w:val="0"/>
              <w:adjustRightInd w:val="0"/>
              <w:rPr>
                <w:sz w:val="22"/>
                <w:szCs w:val="22"/>
              </w:rPr>
            </w:pPr>
            <w:r w:rsidRPr="00947F30">
              <w:rPr>
                <w:sz w:val="22"/>
                <w:szCs w:val="22"/>
              </w:rPr>
              <w:t>Nadine Gamelin</w:t>
            </w:r>
          </w:p>
          <w:p w14:paraId="6BC21964" w14:textId="05419B14" w:rsidR="002C0B41" w:rsidRPr="00947F30" w:rsidRDefault="002C0B41" w:rsidP="002C0B41">
            <w:pPr>
              <w:keepNext/>
              <w:keepLines/>
              <w:shd w:val="clear" w:color="auto" w:fill="FFFFE5"/>
              <w:autoSpaceDE w:val="0"/>
              <w:autoSpaceDN w:val="0"/>
              <w:adjustRightInd w:val="0"/>
              <w:rPr>
                <w:sz w:val="22"/>
                <w:szCs w:val="22"/>
              </w:rPr>
            </w:pPr>
            <w:r w:rsidRPr="00947F30">
              <w:rPr>
                <w:sz w:val="22"/>
                <w:szCs w:val="22"/>
              </w:rPr>
              <w:t xml:space="preserve">Senior Analyst, </w:t>
            </w:r>
            <w:r w:rsidR="007128DE" w:rsidRPr="007128DE">
              <w:rPr>
                <w:sz w:val="22"/>
                <w:szCs w:val="22"/>
              </w:rPr>
              <w:t>Financial Information</w:t>
            </w:r>
          </w:p>
          <w:p w14:paraId="10550266" w14:textId="77777777" w:rsidR="002C0B41" w:rsidRPr="00B549A8" w:rsidRDefault="002C0B41" w:rsidP="002C0B41">
            <w:pPr>
              <w:keepNext/>
              <w:keepLines/>
              <w:shd w:val="clear" w:color="auto" w:fill="FFFFE5"/>
              <w:autoSpaceDE w:val="0"/>
              <w:autoSpaceDN w:val="0"/>
              <w:adjustRightInd w:val="0"/>
              <w:rPr>
                <w:sz w:val="22"/>
                <w:szCs w:val="22"/>
                <w:lang w:val="fr-CA"/>
              </w:rPr>
            </w:pPr>
            <w:r w:rsidRPr="00B549A8">
              <w:rPr>
                <w:sz w:val="22"/>
                <w:szCs w:val="22"/>
                <w:lang w:val="fr-CA"/>
              </w:rPr>
              <w:t>Autorité des marchés financiers</w:t>
            </w:r>
          </w:p>
          <w:p w14:paraId="2849BA47" w14:textId="77777777" w:rsidR="002C0B41" w:rsidRPr="00B549A8" w:rsidRDefault="002C0B41" w:rsidP="002C0B41">
            <w:pPr>
              <w:keepNext/>
              <w:keepLines/>
              <w:shd w:val="clear" w:color="auto" w:fill="FFFFE5"/>
              <w:autoSpaceDE w:val="0"/>
              <w:autoSpaceDN w:val="0"/>
              <w:adjustRightInd w:val="0"/>
              <w:rPr>
                <w:sz w:val="22"/>
                <w:szCs w:val="22"/>
                <w:lang w:val="fr-CA"/>
              </w:rPr>
            </w:pPr>
            <w:r w:rsidRPr="00B549A8">
              <w:rPr>
                <w:sz w:val="22"/>
                <w:szCs w:val="22"/>
                <w:lang w:val="fr-CA"/>
              </w:rPr>
              <w:t>514-395-0337, ext. 4417</w:t>
            </w:r>
          </w:p>
          <w:p w14:paraId="2F7C0A9D" w14:textId="77777777" w:rsidR="002C0B41" w:rsidRDefault="00116664" w:rsidP="002C0B41">
            <w:pPr>
              <w:keepNext/>
              <w:keepLines/>
              <w:shd w:val="clear" w:color="auto" w:fill="FFFFE5"/>
              <w:rPr>
                <w:rStyle w:val="Hyperlink"/>
                <w:sz w:val="22"/>
                <w:szCs w:val="22"/>
              </w:rPr>
            </w:pPr>
            <w:hyperlink r:id="rId16" w:history="1">
              <w:r w:rsidR="002C0B41" w:rsidRPr="00947F30">
                <w:rPr>
                  <w:rStyle w:val="Hyperlink"/>
                  <w:sz w:val="22"/>
                  <w:szCs w:val="22"/>
                </w:rPr>
                <w:t>nadine.gamelin@lautorite.qc.ca</w:t>
              </w:r>
            </w:hyperlink>
          </w:p>
          <w:p w14:paraId="44AFF430" w14:textId="77777777" w:rsidR="002C0B41" w:rsidRPr="00947F30" w:rsidRDefault="002C0B41" w:rsidP="002C0B41">
            <w:pPr>
              <w:keepNext/>
              <w:keepLines/>
              <w:shd w:val="clear" w:color="auto" w:fill="FFFFE5"/>
              <w:rPr>
                <w:sz w:val="22"/>
                <w:szCs w:val="22"/>
              </w:rPr>
            </w:pPr>
          </w:p>
        </w:tc>
        <w:tc>
          <w:tcPr>
            <w:tcW w:w="5472" w:type="dxa"/>
            <w:shd w:val="clear" w:color="auto" w:fill="FAFCE4"/>
          </w:tcPr>
          <w:p w14:paraId="2D37B665" w14:textId="77777777" w:rsidR="00514C6D" w:rsidRPr="00B549A8" w:rsidRDefault="00514C6D" w:rsidP="00514C6D">
            <w:pPr>
              <w:keepNext/>
              <w:keepLines/>
              <w:shd w:val="clear" w:color="auto" w:fill="FFFFE5"/>
              <w:rPr>
                <w:sz w:val="22"/>
                <w:szCs w:val="22"/>
                <w:lang w:val="fr-CA" w:eastAsia="fr-CA"/>
              </w:rPr>
            </w:pPr>
            <w:r w:rsidRPr="00B549A8">
              <w:rPr>
                <w:sz w:val="22"/>
                <w:szCs w:val="22"/>
                <w:lang w:val="fr-CA" w:eastAsia="fr-CA"/>
              </w:rPr>
              <w:t>Geneviève Laporte</w:t>
            </w:r>
          </w:p>
          <w:p w14:paraId="4D5D1C2E" w14:textId="18CDCE3F" w:rsidR="00514C6D" w:rsidRPr="00B549A8" w:rsidRDefault="00514C6D" w:rsidP="00514C6D">
            <w:pPr>
              <w:keepNext/>
              <w:keepLines/>
              <w:shd w:val="clear" w:color="auto" w:fill="FFFFE5"/>
              <w:rPr>
                <w:sz w:val="22"/>
                <w:szCs w:val="22"/>
                <w:lang w:val="fr-CA"/>
              </w:rPr>
            </w:pPr>
            <w:r w:rsidRPr="00B549A8">
              <w:rPr>
                <w:sz w:val="22"/>
                <w:szCs w:val="22"/>
                <w:lang w:val="fr-CA"/>
              </w:rPr>
              <w:t xml:space="preserve">Analyst, </w:t>
            </w:r>
            <w:r w:rsidR="007128DE" w:rsidRPr="007128DE">
              <w:rPr>
                <w:sz w:val="22"/>
                <w:szCs w:val="22"/>
                <w:lang w:val="fr-CA"/>
              </w:rPr>
              <w:t>Financial Information</w:t>
            </w:r>
          </w:p>
          <w:p w14:paraId="080EE23D" w14:textId="77777777" w:rsidR="00514C6D" w:rsidRPr="00B549A8" w:rsidRDefault="00514C6D" w:rsidP="00514C6D">
            <w:pPr>
              <w:keepNext/>
              <w:keepLines/>
              <w:shd w:val="clear" w:color="auto" w:fill="FFFFE5"/>
              <w:autoSpaceDE w:val="0"/>
              <w:autoSpaceDN w:val="0"/>
              <w:adjustRightInd w:val="0"/>
              <w:rPr>
                <w:sz w:val="22"/>
                <w:szCs w:val="22"/>
                <w:lang w:val="fr-CA"/>
              </w:rPr>
            </w:pPr>
            <w:r w:rsidRPr="00B549A8">
              <w:rPr>
                <w:sz w:val="22"/>
                <w:szCs w:val="22"/>
                <w:lang w:val="fr-CA"/>
              </w:rPr>
              <w:t>Autorité des marchés financiers</w:t>
            </w:r>
          </w:p>
          <w:p w14:paraId="3E09E340" w14:textId="77777777" w:rsidR="00514C6D" w:rsidRPr="0089589C" w:rsidRDefault="00514C6D" w:rsidP="00514C6D">
            <w:pPr>
              <w:keepNext/>
              <w:keepLines/>
              <w:shd w:val="clear" w:color="auto" w:fill="FFFFE5"/>
              <w:rPr>
                <w:sz w:val="22"/>
                <w:szCs w:val="22"/>
              </w:rPr>
            </w:pPr>
            <w:r w:rsidRPr="0089589C">
              <w:rPr>
                <w:sz w:val="22"/>
                <w:szCs w:val="22"/>
              </w:rPr>
              <w:t>514-395-0337</w:t>
            </w:r>
          </w:p>
          <w:p w14:paraId="1C5FE4B8" w14:textId="77777777" w:rsidR="00514C6D" w:rsidRDefault="00116664" w:rsidP="00514C6D">
            <w:pPr>
              <w:keepNext/>
              <w:keepLines/>
              <w:shd w:val="clear" w:color="auto" w:fill="FFFFE5"/>
              <w:rPr>
                <w:sz w:val="22"/>
                <w:szCs w:val="22"/>
              </w:rPr>
            </w:pPr>
            <w:hyperlink r:id="rId17" w:history="1">
              <w:r w:rsidR="00514C6D" w:rsidRPr="00322088">
                <w:rPr>
                  <w:rStyle w:val="Hyperlink"/>
                  <w:sz w:val="22"/>
                  <w:szCs w:val="22"/>
                </w:rPr>
                <w:t>genevieve.laporte@lautorite.qc.ca</w:t>
              </w:r>
            </w:hyperlink>
          </w:p>
          <w:p w14:paraId="25D631D9" w14:textId="77777777" w:rsidR="00514C6D" w:rsidRPr="00947F30" w:rsidRDefault="00514C6D" w:rsidP="00721FCC">
            <w:pPr>
              <w:keepNext/>
              <w:keepLines/>
              <w:shd w:val="clear" w:color="auto" w:fill="FFFFE5"/>
              <w:rPr>
                <w:sz w:val="22"/>
                <w:szCs w:val="22"/>
                <w:u w:val="single"/>
              </w:rPr>
            </w:pPr>
          </w:p>
        </w:tc>
      </w:tr>
      <w:tr w:rsidR="002C0B41" w:rsidRPr="00947F30" w14:paraId="78E20C1F" w14:textId="77777777" w:rsidTr="007D59EF">
        <w:trPr>
          <w:cantSplit/>
        </w:trPr>
        <w:tc>
          <w:tcPr>
            <w:tcW w:w="4536" w:type="dxa"/>
            <w:shd w:val="clear" w:color="auto" w:fill="FAFCE4"/>
          </w:tcPr>
          <w:p w14:paraId="1BE9A2ED" w14:textId="77777777" w:rsidR="00721FCC" w:rsidRPr="00947F30" w:rsidRDefault="00721FCC" w:rsidP="00721FCC">
            <w:pPr>
              <w:keepNext/>
              <w:keepLines/>
              <w:shd w:val="clear" w:color="auto" w:fill="FFFFE5"/>
              <w:rPr>
                <w:sz w:val="22"/>
                <w:szCs w:val="22"/>
              </w:rPr>
            </w:pPr>
            <w:r w:rsidRPr="00947F30">
              <w:rPr>
                <w:sz w:val="22"/>
                <w:szCs w:val="22"/>
              </w:rPr>
              <w:t xml:space="preserve">Frank McBrearty </w:t>
            </w:r>
          </w:p>
          <w:p w14:paraId="6D1C2EDE" w14:textId="77777777" w:rsidR="00721FCC" w:rsidRPr="00947F30" w:rsidRDefault="00721FCC" w:rsidP="00721FCC">
            <w:pPr>
              <w:keepNext/>
              <w:keepLines/>
              <w:shd w:val="clear" w:color="auto" w:fill="FFFFE5"/>
              <w:rPr>
                <w:sz w:val="22"/>
                <w:szCs w:val="22"/>
              </w:rPr>
            </w:pPr>
            <w:r>
              <w:rPr>
                <w:sz w:val="22"/>
                <w:szCs w:val="22"/>
              </w:rPr>
              <w:t>Senior Legal Counsel</w:t>
            </w:r>
          </w:p>
          <w:p w14:paraId="6D3EF381" w14:textId="77777777" w:rsidR="00721FCC" w:rsidRPr="00947F30" w:rsidRDefault="00721FCC" w:rsidP="00721FCC">
            <w:pPr>
              <w:keepNext/>
              <w:keepLines/>
              <w:shd w:val="clear" w:color="auto" w:fill="FFFFE5"/>
              <w:rPr>
                <w:sz w:val="22"/>
                <w:szCs w:val="22"/>
              </w:rPr>
            </w:pPr>
            <w:r w:rsidRPr="00947F30">
              <w:rPr>
                <w:sz w:val="22"/>
                <w:szCs w:val="22"/>
              </w:rPr>
              <w:t>Financial and Consumer Services Commission (New Brunswick)</w:t>
            </w:r>
          </w:p>
          <w:p w14:paraId="23109B9E" w14:textId="77777777" w:rsidR="00721FCC" w:rsidRDefault="00721FCC" w:rsidP="00721FCC">
            <w:pPr>
              <w:rPr>
                <w:sz w:val="20"/>
                <w:lang w:eastAsia="en-CA"/>
              </w:rPr>
            </w:pPr>
            <w:r w:rsidRPr="00947F30">
              <w:rPr>
                <w:sz w:val="22"/>
                <w:szCs w:val="22"/>
                <w:lang w:val="en-US"/>
              </w:rPr>
              <w:t>506</w:t>
            </w:r>
            <w:r w:rsidRPr="00C525EB">
              <w:rPr>
                <w:sz w:val="22"/>
                <w:szCs w:val="22"/>
                <w:lang w:val="en-US"/>
              </w:rPr>
              <w:t>-</w:t>
            </w:r>
            <w:r w:rsidRPr="00C525EB">
              <w:rPr>
                <w:sz w:val="22"/>
                <w:szCs w:val="22"/>
                <w:lang w:eastAsia="en-CA"/>
              </w:rPr>
              <w:t>658-3119</w:t>
            </w:r>
          </w:p>
          <w:p w14:paraId="4F2ECAB3" w14:textId="77777777" w:rsidR="00721FCC" w:rsidRDefault="00116664" w:rsidP="00721FCC">
            <w:pPr>
              <w:keepNext/>
              <w:keepLines/>
              <w:shd w:val="clear" w:color="auto" w:fill="FFFFE5"/>
              <w:rPr>
                <w:rStyle w:val="Hyperlink"/>
                <w:sz w:val="22"/>
                <w:szCs w:val="22"/>
              </w:rPr>
            </w:pPr>
            <w:hyperlink r:id="rId18" w:history="1">
              <w:r w:rsidR="00721FCC" w:rsidRPr="00201677">
                <w:rPr>
                  <w:rStyle w:val="Hyperlink"/>
                  <w:sz w:val="22"/>
                  <w:szCs w:val="22"/>
                </w:rPr>
                <w:t>Frank.McBrearty@fcnb.ca</w:t>
              </w:r>
            </w:hyperlink>
          </w:p>
          <w:p w14:paraId="512307BF" w14:textId="77777777" w:rsidR="002C0B41" w:rsidRPr="00947F30" w:rsidRDefault="002C0B41" w:rsidP="00721FCC">
            <w:pPr>
              <w:keepNext/>
              <w:keepLines/>
              <w:shd w:val="clear" w:color="auto" w:fill="FFFFE5"/>
              <w:rPr>
                <w:sz w:val="22"/>
                <w:szCs w:val="22"/>
                <w:u w:val="single"/>
              </w:rPr>
            </w:pPr>
          </w:p>
        </w:tc>
        <w:tc>
          <w:tcPr>
            <w:tcW w:w="5472" w:type="dxa"/>
            <w:shd w:val="clear" w:color="auto" w:fill="FAFCE4"/>
          </w:tcPr>
          <w:p w14:paraId="47ED189B" w14:textId="77777777" w:rsidR="00514C6D" w:rsidRPr="00947F30" w:rsidRDefault="00514C6D" w:rsidP="00514C6D">
            <w:pPr>
              <w:keepNext/>
              <w:keepLines/>
              <w:shd w:val="clear" w:color="auto" w:fill="FFFFE5"/>
              <w:autoSpaceDE w:val="0"/>
              <w:autoSpaceDN w:val="0"/>
              <w:adjustRightInd w:val="0"/>
              <w:rPr>
                <w:sz w:val="22"/>
                <w:szCs w:val="22"/>
              </w:rPr>
            </w:pPr>
            <w:r w:rsidRPr="00947F30">
              <w:rPr>
                <w:sz w:val="22"/>
                <w:szCs w:val="22"/>
              </w:rPr>
              <w:t>Junjie (Jack) Jiang</w:t>
            </w:r>
          </w:p>
          <w:p w14:paraId="6DD5D390" w14:textId="77777777" w:rsidR="00514C6D" w:rsidRPr="00947F30" w:rsidRDefault="00514C6D" w:rsidP="00514C6D">
            <w:pPr>
              <w:keepNext/>
              <w:keepLines/>
              <w:shd w:val="clear" w:color="auto" w:fill="FFFFE5"/>
              <w:autoSpaceDE w:val="0"/>
              <w:autoSpaceDN w:val="0"/>
              <w:adjustRightInd w:val="0"/>
              <w:rPr>
                <w:sz w:val="22"/>
                <w:szCs w:val="22"/>
              </w:rPr>
            </w:pPr>
            <w:r w:rsidRPr="00947F30">
              <w:rPr>
                <w:sz w:val="22"/>
                <w:szCs w:val="22"/>
              </w:rPr>
              <w:t>Securities Analyst, Corporate Finance</w:t>
            </w:r>
          </w:p>
          <w:p w14:paraId="3F2232AC" w14:textId="77777777" w:rsidR="00514C6D" w:rsidRPr="00947F30" w:rsidRDefault="00514C6D" w:rsidP="00514C6D">
            <w:pPr>
              <w:keepNext/>
              <w:keepLines/>
              <w:shd w:val="clear" w:color="auto" w:fill="FFFFE5"/>
              <w:autoSpaceDE w:val="0"/>
              <w:autoSpaceDN w:val="0"/>
              <w:adjustRightInd w:val="0"/>
              <w:rPr>
                <w:sz w:val="22"/>
                <w:szCs w:val="22"/>
              </w:rPr>
            </w:pPr>
            <w:r w:rsidRPr="00947F30">
              <w:rPr>
                <w:sz w:val="22"/>
                <w:szCs w:val="22"/>
              </w:rPr>
              <w:t>Nova Scotia Securities Commission</w:t>
            </w:r>
          </w:p>
          <w:p w14:paraId="1DFED7F6" w14:textId="77777777" w:rsidR="00514C6D" w:rsidRDefault="00514C6D" w:rsidP="00514C6D">
            <w:pPr>
              <w:keepNext/>
              <w:keepLines/>
              <w:shd w:val="clear" w:color="auto" w:fill="FFFFE5"/>
              <w:autoSpaceDE w:val="0"/>
              <w:autoSpaceDN w:val="0"/>
              <w:adjustRightInd w:val="0"/>
              <w:rPr>
                <w:sz w:val="22"/>
                <w:szCs w:val="22"/>
              </w:rPr>
            </w:pPr>
            <w:r w:rsidRPr="00947F30">
              <w:rPr>
                <w:sz w:val="22"/>
                <w:szCs w:val="22"/>
              </w:rPr>
              <w:t>902-424-7059</w:t>
            </w:r>
          </w:p>
          <w:p w14:paraId="54AFCC49" w14:textId="77777777" w:rsidR="00514C6D" w:rsidRPr="00947F30" w:rsidRDefault="00514C6D" w:rsidP="00514C6D">
            <w:pPr>
              <w:keepNext/>
              <w:keepLines/>
              <w:shd w:val="clear" w:color="auto" w:fill="FFFFE5"/>
              <w:rPr>
                <w:sz w:val="22"/>
                <w:szCs w:val="22"/>
                <w:u w:val="single"/>
              </w:rPr>
            </w:pPr>
            <w:r w:rsidRPr="00947F30">
              <w:rPr>
                <w:sz w:val="22"/>
                <w:szCs w:val="22"/>
                <w:u w:val="single"/>
              </w:rPr>
              <w:t xml:space="preserve">jack.jiang@novascotia.ca </w:t>
            </w:r>
          </w:p>
          <w:p w14:paraId="773CF724" w14:textId="77777777" w:rsidR="002C0B41" w:rsidRPr="00947F30" w:rsidRDefault="002C0B41" w:rsidP="00514C6D">
            <w:pPr>
              <w:keepNext/>
              <w:keepLines/>
              <w:shd w:val="clear" w:color="auto" w:fill="FFFFE5"/>
              <w:rPr>
                <w:sz w:val="22"/>
                <w:szCs w:val="22"/>
              </w:rPr>
            </w:pPr>
          </w:p>
        </w:tc>
      </w:tr>
    </w:tbl>
    <w:p w14:paraId="12F7FEC5" w14:textId="77777777" w:rsidR="00CA61CE" w:rsidRPr="00947F30" w:rsidRDefault="00EA47A0" w:rsidP="00DE5DAD">
      <w:pPr>
        <w:spacing w:after="240"/>
        <w:jc w:val="both"/>
        <w:rPr>
          <w:szCs w:val="24"/>
        </w:rPr>
      </w:pPr>
      <w:r w:rsidRPr="00947F30">
        <w:rPr>
          <w:szCs w:val="24"/>
        </w:rPr>
        <w:t xml:space="preserve"> </w:t>
      </w:r>
      <w:r w:rsidR="00CA61CE" w:rsidRPr="00947F30">
        <w:rPr>
          <w:szCs w:val="24"/>
        </w:rPr>
        <w:t xml:space="preserve"> </w:t>
      </w:r>
      <w:r w:rsidRPr="00947F30">
        <w:rPr>
          <w:szCs w:val="24"/>
        </w:rPr>
        <w:t xml:space="preserve"> </w:t>
      </w:r>
    </w:p>
    <w:sectPr w:rsidR="00CA61CE" w:rsidRPr="00947F30" w:rsidSect="0068774F">
      <w:headerReference w:type="default" r:id="rId19"/>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432B2" w14:textId="77777777" w:rsidR="0088229F" w:rsidRDefault="0088229F">
      <w:r>
        <w:separator/>
      </w:r>
    </w:p>
  </w:endnote>
  <w:endnote w:type="continuationSeparator" w:id="0">
    <w:p w14:paraId="1550F331" w14:textId="77777777" w:rsidR="0088229F" w:rsidRDefault="0088229F">
      <w:r>
        <w:continuationSeparator/>
      </w:r>
    </w:p>
  </w:endnote>
  <w:endnote w:type="continuationNotice" w:id="1">
    <w:p w14:paraId="3A168706" w14:textId="77777777" w:rsidR="0088229F" w:rsidRDefault="008822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B8777" w14:textId="77777777" w:rsidR="0088229F" w:rsidRDefault="0088229F">
      <w:r>
        <w:separator/>
      </w:r>
    </w:p>
  </w:footnote>
  <w:footnote w:type="continuationSeparator" w:id="0">
    <w:p w14:paraId="2E3B7BC6" w14:textId="77777777" w:rsidR="0088229F" w:rsidRDefault="0088229F">
      <w:r>
        <w:continuationSeparator/>
      </w:r>
    </w:p>
  </w:footnote>
  <w:footnote w:type="continuationNotice" w:id="1">
    <w:p w14:paraId="429B753C" w14:textId="77777777" w:rsidR="0088229F" w:rsidRDefault="0088229F"/>
  </w:footnote>
  <w:footnote w:id="2">
    <w:p w14:paraId="1509C9D6" w14:textId="77777777" w:rsidR="00D21FC5" w:rsidRPr="00947F30" w:rsidRDefault="00D21FC5" w:rsidP="00EB4F9E">
      <w:pPr>
        <w:pStyle w:val="FootnoteText"/>
        <w:spacing w:line="240" w:lineRule="auto"/>
        <w:rPr>
          <w:rFonts w:ascii="Times New Roman" w:hAnsi="Times New Roman"/>
        </w:rPr>
      </w:pPr>
      <w:r w:rsidRPr="00ED22AC">
        <w:rPr>
          <w:rStyle w:val="FootnoteReference"/>
          <w:rFonts w:ascii="Times New Roman" w:hAnsi="Times New Roman"/>
          <w:sz w:val="14"/>
          <w:szCs w:val="14"/>
          <w:vertAlign w:val="superscript"/>
        </w:rPr>
        <w:footnoteRef/>
      </w:r>
      <w:r w:rsidRPr="00947F30">
        <w:rPr>
          <w:rFonts w:ascii="Times New Roman" w:hAnsi="Times New Roman"/>
          <w:sz w:val="18"/>
          <w:szCs w:val="18"/>
        </w:rPr>
        <w:t xml:space="preserve"> In this Notice “issuers” means those reporting issuers contemplated in National Instrument 51-102 </w:t>
      </w:r>
      <w:r w:rsidRPr="00D93E09">
        <w:rPr>
          <w:rFonts w:ascii="Times New Roman" w:hAnsi="Times New Roman"/>
          <w:i/>
          <w:iCs/>
          <w:sz w:val="18"/>
          <w:szCs w:val="18"/>
        </w:rPr>
        <w:t>Continuous Disclosure Obligations</w:t>
      </w:r>
      <w:r w:rsidRPr="00947F30">
        <w:rPr>
          <w:rFonts w:ascii="Times New Roman" w:hAnsi="Times New Roman"/>
          <w:sz w:val="18"/>
          <w:szCs w:val="18"/>
        </w:rPr>
        <w:t xml:space="preserve"> (</w:t>
      </w:r>
      <w:r w:rsidRPr="00947F30">
        <w:rPr>
          <w:rFonts w:ascii="Times New Roman" w:hAnsi="Times New Roman"/>
          <w:b/>
          <w:bCs/>
          <w:sz w:val="18"/>
          <w:szCs w:val="18"/>
        </w:rPr>
        <w:t>NI 51-102</w:t>
      </w:r>
      <w:r w:rsidRPr="00947F30">
        <w:rPr>
          <w:rFonts w:ascii="Times New Roman" w:hAnsi="Times New Roman"/>
          <w:sz w:val="18"/>
          <w:szCs w:val="18"/>
        </w:rPr>
        <w:t xml:space="preserve">). </w:t>
      </w:r>
    </w:p>
  </w:footnote>
  <w:footnote w:id="3">
    <w:p w14:paraId="3390D60F" w14:textId="77777777" w:rsidR="00D21FC5" w:rsidRPr="00ED22AC" w:rsidRDefault="00D21FC5" w:rsidP="00DE369D">
      <w:pPr>
        <w:pStyle w:val="FootnoteText"/>
        <w:spacing w:after="0" w:line="240" w:lineRule="auto"/>
        <w:rPr>
          <w:rFonts w:ascii="Times New Roman" w:hAnsi="Times New Roman"/>
          <w:sz w:val="18"/>
          <w:szCs w:val="18"/>
        </w:rPr>
      </w:pPr>
      <w:r w:rsidRPr="00ED22AC">
        <w:rPr>
          <w:rStyle w:val="FootnoteReference"/>
          <w:vertAlign w:val="superscript"/>
        </w:rPr>
        <w:footnoteRef/>
      </w:r>
      <w:r>
        <w:t xml:space="preserve"> </w:t>
      </w:r>
      <w:r w:rsidRPr="00ED22AC">
        <w:rPr>
          <w:rFonts w:ascii="Times New Roman" w:hAnsi="Times New Roman"/>
          <w:sz w:val="18"/>
          <w:szCs w:val="18"/>
        </w:rPr>
        <w:t xml:space="preserve">Additional regulatory guidance </w:t>
      </w:r>
      <w:r>
        <w:rPr>
          <w:rFonts w:ascii="Times New Roman" w:hAnsi="Times New Roman"/>
          <w:sz w:val="18"/>
          <w:szCs w:val="18"/>
        </w:rPr>
        <w:t xml:space="preserve">on </w:t>
      </w:r>
      <w:r w:rsidRPr="00ED22AC">
        <w:rPr>
          <w:rFonts w:ascii="Times New Roman" w:hAnsi="Times New Roman"/>
          <w:sz w:val="18"/>
          <w:szCs w:val="18"/>
        </w:rPr>
        <w:t xml:space="preserve">COVID-19 can be accessed at the CSA COVID-19 Information Hub at </w:t>
      </w:r>
      <w:hyperlink r:id="rId1">
        <w:r w:rsidRPr="00ED22AC">
          <w:rPr>
            <w:rStyle w:val="Hyperlink"/>
            <w:rFonts w:ascii="Times New Roman" w:hAnsi="Times New Roman"/>
            <w:sz w:val="18"/>
            <w:szCs w:val="18"/>
          </w:rPr>
          <w:t>https://www.securities-administrators.ca/aboutcsa.aspx?id=1885</w:t>
        </w:r>
      </w:hyperlink>
      <w:r w:rsidRPr="00ED22AC">
        <w:rPr>
          <w:rFonts w:ascii="Times New Roman" w:hAnsi="Times New Roman"/>
          <w:sz w:val="18"/>
          <w:szCs w:val="18"/>
        </w:rPr>
        <w:t>.</w:t>
      </w:r>
    </w:p>
  </w:footnote>
  <w:footnote w:id="4">
    <w:p w14:paraId="5670C395" w14:textId="77777777" w:rsidR="00D21FC5" w:rsidRPr="00EB4F9E" w:rsidRDefault="00D21FC5" w:rsidP="0067285E">
      <w:pPr>
        <w:rPr>
          <w:rFonts w:cs="Arial"/>
          <w:color w:val="000000" w:themeColor="text1"/>
          <w:sz w:val="18"/>
          <w:szCs w:val="18"/>
          <w:lang w:eastAsia="en-CA"/>
        </w:rPr>
      </w:pPr>
      <w:r w:rsidRPr="00EB4F9E">
        <w:rPr>
          <w:rStyle w:val="FootnoteReference"/>
          <w:sz w:val="16"/>
          <w:szCs w:val="16"/>
        </w:rPr>
        <w:footnoteRef/>
      </w:r>
      <w:r w:rsidRPr="00EB4F9E">
        <w:rPr>
          <w:sz w:val="16"/>
          <w:szCs w:val="16"/>
        </w:rPr>
        <w:t xml:space="preserve"> </w:t>
      </w:r>
      <w:r w:rsidRPr="00EB4F9E">
        <w:rPr>
          <w:rFonts w:cs="Arial"/>
          <w:color w:val="000000" w:themeColor="text1"/>
          <w:sz w:val="18"/>
          <w:szCs w:val="18"/>
          <w:lang w:eastAsia="en-CA"/>
        </w:rPr>
        <w:t xml:space="preserve">To improve the disclosure surrounding non-GAAP financial measures and certain other financial measures, the CSA is intending to replace SN 52-306 with </w:t>
      </w:r>
      <w:hyperlink r:id="rId2" w:history="1">
        <w:r w:rsidRPr="00EB4F9E">
          <w:rPr>
            <w:rStyle w:val="Hyperlink"/>
            <w:rFonts w:cs="Arial"/>
            <w:sz w:val="18"/>
            <w:szCs w:val="18"/>
            <w:lang w:eastAsia="en-CA"/>
          </w:rPr>
          <w:t xml:space="preserve">Proposed National Instrument 52-112 </w:t>
        </w:r>
        <w:r w:rsidRPr="00EB4F9E">
          <w:rPr>
            <w:rStyle w:val="Hyperlink"/>
            <w:rFonts w:cs="Arial"/>
            <w:i/>
            <w:sz w:val="18"/>
            <w:szCs w:val="18"/>
            <w:lang w:eastAsia="en-CA"/>
          </w:rPr>
          <w:t>Non-GAAP and Other Financial Measures Disclosure</w:t>
        </w:r>
      </w:hyperlink>
      <w:r w:rsidRPr="00EB4F9E">
        <w:rPr>
          <w:rFonts w:cs="Arial"/>
          <w:color w:val="FFFFFF" w:themeColor="background1"/>
          <w:sz w:val="18"/>
          <w:szCs w:val="18"/>
          <w:lang w:eastAsia="en-CA"/>
        </w:rPr>
        <w:t xml:space="preserve"> </w:t>
      </w:r>
      <w:r w:rsidRPr="00EB4F9E">
        <w:rPr>
          <w:rFonts w:cs="Arial"/>
          <w:color w:val="000000" w:themeColor="text1"/>
          <w:sz w:val="18"/>
          <w:szCs w:val="18"/>
          <w:lang w:eastAsia="en-CA"/>
        </w:rPr>
        <w:t xml:space="preserve">and a related proposed Companion Policy (Proposed NI 52-112). </w:t>
      </w:r>
    </w:p>
    <w:p w14:paraId="3F0C0591" w14:textId="77777777" w:rsidR="00D21FC5" w:rsidRPr="00EB4F9E" w:rsidRDefault="00D21FC5" w:rsidP="0067285E">
      <w:pPr>
        <w:rPr>
          <w:rFonts w:cs="Arial"/>
          <w:color w:val="000000" w:themeColor="text1"/>
          <w:sz w:val="18"/>
          <w:szCs w:val="18"/>
          <w:lang w:eastAsia="en-CA"/>
        </w:rPr>
      </w:pPr>
    </w:p>
    <w:p w14:paraId="4B3E6EBB" w14:textId="77777777" w:rsidR="00D21FC5" w:rsidRPr="00EB4F9E" w:rsidRDefault="00D21FC5" w:rsidP="0067285E">
      <w:pPr>
        <w:rPr>
          <w:rFonts w:cs="Arial"/>
          <w:color w:val="000000" w:themeColor="text1"/>
          <w:sz w:val="18"/>
          <w:szCs w:val="18"/>
          <w:lang w:eastAsia="en-CA"/>
        </w:rPr>
      </w:pPr>
      <w:r w:rsidRPr="00EB4F9E">
        <w:rPr>
          <w:rFonts w:cs="Arial"/>
          <w:color w:val="000000" w:themeColor="text1"/>
          <w:sz w:val="18"/>
          <w:szCs w:val="18"/>
          <w:lang w:eastAsia="en-CA"/>
        </w:rPr>
        <w:t>Proposed NI 52-112 sets out disclosure requirements for non-GAAP financial measures and other financial measures (</w:t>
      </w:r>
      <w:r>
        <w:rPr>
          <w:rFonts w:cs="Arial"/>
          <w:color w:val="000000" w:themeColor="text1"/>
          <w:sz w:val="18"/>
          <w:szCs w:val="18"/>
          <w:lang w:eastAsia="en-CA"/>
        </w:rPr>
        <w:t>e.g.,</w:t>
      </w:r>
      <w:r w:rsidRPr="00EB4F9E">
        <w:rPr>
          <w:rFonts w:cs="Arial"/>
          <w:color w:val="000000" w:themeColor="text1"/>
          <w:sz w:val="18"/>
          <w:szCs w:val="18"/>
          <w:lang w:eastAsia="en-CA"/>
        </w:rPr>
        <w:t xml:space="preserve"> segment measures, capital management measures, and supplementary financial measures as defined in Proposed NI 52-112). It was published on September 6, 2018 for a first comment period and, after making revisions for comments received during the first comment period, it was published on February 13, 2020 for a second comment period, which ended on June 29, 2020. </w:t>
      </w:r>
    </w:p>
    <w:p w14:paraId="352ADAB8" w14:textId="77777777" w:rsidR="00D21FC5" w:rsidRDefault="00D21FC5" w:rsidP="0067285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58ABD" w14:textId="4EF40D24" w:rsidR="00D21FC5" w:rsidRDefault="00D21FC5" w:rsidP="00D93E09">
    <w:pPr>
      <w:pStyle w:val="Header"/>
      <w:tabs>
        <w:tab w:val="left" w:pos="4128"/>
      </w:tabs>
    </w:pPr>
    <w:r>
      <w:tab/>
    </w:r>
    <w:r>
      <w:tab/>
      <w:t>-</w:t>
    </w:r>
    <w:r>
      <w:fldChar w:fldCharType="begin"/>
    </w:r>
    <w:r>
      <w:instrText xml:space="preserve"> PAGE   \* MERGEFORMAT </w:instrText>
    </w:r>
    <w:r>
      <w:fldChar w:fldCharType="separate"/>
    </w:r>
    <w:r w:rsidR="00116664">
      <w:rPr>
        <w:noProof/>
      </w:rPr>
      <w:t>1</w:t>
    </w:r>
    <w:r>
      <w:rPr>
        <w:noProof/>
      </w:rPr>
      <w:fldChar w:fldCharType="end"/>
    </w:r>
    <w:r>
      <w:rPr>
        <w:noProof/>
      </w:rPr>
      <w:t>-</w:t>
    </w:r>
  </w:p>
  <w:p w14:paraId="3A68625B" w14:textId="77777777" w:rsidR="00D21FC5" w:rsidRPr="00156648" w:rsidRDefault="00D21FC5" w:rsidP="001566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389D"/>
    <w:multiLevelType w:val="hybridMultilevel"/>
    <w:tmpl w:val="1B3E6BD0"/>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A1158EA"/>
    <w:multiLevelType w:val="multilevel"/>
    <w:tmpl w:val="551213C6"/>
    <w:lvl w:ilvl="0">
      <w:start w:val="1"/>
      <w:numFmt w:val="decimal"/>
      <w:lvlRestart w:val="0"/>
      <w:pStyle w:val="Heading1"/>
      <w:suff w:val="space"/>
      <w:lvlText w:val="Item %1 –"/>
      <w:lvlJc w:val="left"/>
      <w:pPr>
        <w:ind w:left="0" w:firstLine="0"/>
      </w:pPr>
      <w:rPr>
        <w:rFonts w:hint="default"/>
        <w:caps w:val="0"/>
      </w:rPr>
    </w:lvl>
    <w:lvl w:ilvl="1">
      <w:start w:val="1"/>
      <w:numFmt w:val="decimal"/>
      <w:pStyle w:val="Heading2"/>
      <w:lvlText w:val="%1.%2"/>
      <w:lvlJc w:val="left"/>
      <w:pPr>
        <w:tabs>
          <w:tab w:val="num" w:pos="720"/>
        </w:tabs>
        <w:ind w:left="720" w:hanging="720"/>
      </w:pPr>
      <w:rPr>
        <w:rFonts w:hint="default"/>
      </w:rPr>
    </w:lvl>
    <w:lvl w:ilvl="2">
      <w:start w:val="1"/>
      <w:numFmt w:val="lowerLetter"/>
      <w:pStyle w:val="Heading3"/>
      <w:lvlText w:val="(%3)"/>
      <w:lvlJc w:val="left"/>
      <w:pPr>
        <w:tabs>
          <w:tab w:val="num" w:pos="1440"/>
        </w:tabs>
        <w:ind w:left="1440" w:hanging="720"/>
      </w:pPr>
      <w:rPr>
        <w:rFonts w:hint="default"/>
      </w:rPr>
    </w:lvl>
    <w:lvl w:ilvl="3">
      <w:start w:val="1"/>
      <w:numFmt w:val="lowerRoman"/>
      <w:pStyle w:val="Heading4"/>
      <w:lvlText w:val="(%4)"/>
      <w:lvlJc w:val="left"/>
      <w:pPr>
        <w:tabs>
          <w:tab w:val="num" w:pos="1440"/>
        </w:tabs>
        <w:ind w:left="1440" w:hanging="720"/>
      </w:pPr>
      <w:rPr>
        <w:rFonts w:hint="default"/>
      </w:rPr>
    </w:lvl>
    <w:lvl w:ilvl="4">
      <w:start w:val="1"/>
      <w:numFmt w:val="upperLetter"/>
      <w:pStyle w:val="Heading5"/>
      <w:lvlText w:val="(%5)"/>
      <w:lvlJc w:val="left"/>
      <w:pPr>
        <w:tabs>
          <w:tab w:val="num" w:pos="3240"/>
        </w:tabs>
        <w:ind w:left="3240" w:hanging="720"/>
      </w:pPr>
      <w:rPr>
        <w:rFonts w:hint="default"/>
      </w:rPr>
    </w:lvl>
    <w:lvl w:ilvl="5">
      <w:start w:val="1"/>
      <w:numFmt w:val="upperRoman"/>
      <w:pStyle w:val="Heading6"/>
      <w:lvlText w:val="(%6)"/>
      <w:lvlJc w:val="left"/>
      <w:pPr>
        <w:tabs>
          <w:tab w:val="num" w:pos="3960"/>
        </w:tabs>
        <w:ind w:left="3960" w:hanging="720"/>
      </w:pPr>
      <w:rPr>
        <w:rFonts w:hint="default"/>
      </w:rPr>
    </w:lvl>
    <w:lvl w:ilvl="6">
      <w:start w:val="1"/>
      <w:numFmt w:val="lowerRoman"/>
      <w:pStyle w:val="Heading7"/>
      <w:lvlText w:val="(%7)"/>
      <w:lvlJc w:val="left"/>
      <w:pPr>
        <w:tabs>
          <w:tab w:val="num" w:pos="720"/>
        </w:tabs>
        <w:ind w:left="720" w:hanging="720"/>
      </w:pPr>
      <w:rPr>
        <w:rFonts w:hint="default"/>
      </w:rPr>
    </w:lvl>
    <w:lvl w:ilvl="7">
      <w:start w:val="1"/>
      <w:numFmt w:val="upperLetter"/>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2" w15:restartNumberingAfterBreak="0">
    <w:nsid w:val="0D5A7A18"/>
    <w:multiLevelType w:val="hybridMultilevel"/>
    <w:tmpl w:val="819A897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D872C3D"/>
    <w:multiLevelType w:val="hybridMultilevel"/>
    <w:tmpl w:val="D7D8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17539"/>
    <w:multiLevelType w:val="hybridMultilevel"/>
    <w:tmpl w:val="95BA82BE"/>
    <w:lvl w:ilvl="0" w:tplc="10090001">
      <w:start w:val="1"/>
      <w:numFmt w:val="bullet"/>
      <w:lvlText w:val=""/>
      <w:lvlJc w:val="left"/>
      <w:pPr>
        <w:ind w:left="1047" w:hanging="360"/>
      </w:pPr>
      <w:rPr>
        <w:rFonts w:ascii="Symbol" w:hAnsi="Symbol" w:hint="default"/>
      </w:rPr>
    </w:lvl>
    <w:lvl w:ilvl="1" w:tplc="10090003" w:tentative="1">
      <w:start w:val="1"/>
      <w:numFmt w:val="bullet"/>
      <w:lvlText w:val="o"/>
      <w:lvlJc w:val="left"/>
      <w:pPr>
        <w:ind w:left="1767" w:hanging="360"/>
      </w:pPr>
      <w:rPr>
        <w:rFonts w:ascii="Courier New" w:hAnsi="Courier New" w:cs="Courier New" w:hint="default"/>
      </w:rPr>
    </w:lvl>
    <w:lvl w:ilvl="2" w:tplc="10090005" w:tentative="1">
      <w:start w:val="1"/>
      <w:numFmt w:val="bullet"/>
      <w:lvlText w:val=""/>
      <w:lvlJc w:val="left"/>
      <w:pPr>
        <w:ind w:left="2487" w:hanging="360"/>
      </w:pPr>
      <w:rPr>
        <w:rFonts w:ascii="Wingdings" w:hAnsi="Wingdings" w:hint="default"/>
      </w:rPr>
    </w:lvl>
    <w:lvl w:ilvl="3" w:tplc="10090001" w:tentative="1">
      <w:start w:val="1"/>
      <w:numFmt w:val="bullet"/>
      <w:lvlText w:val=""/>
      <w:lvlJc w:val="left"/>
      <w:pPr>
        <w:ind w:left="3207" w:hanging="360"/>
      </w:pPr>
      <w:rPr>
        <w:rFonts w:ascii="Symbol" w:hAnsi="Symbol" w:hint="default"/>
      </w:rPr>
    </w:lvl>
    <w:lvl w:ilvl="4" w:tplc="10090003" w:tentative="1">
      <w:start w:val="1"/>
      <w:numFmt w:val="bullet"/>
      <w:lvlText w:val="o"/>
      <w:lvlJc w:val="left"/>
      <w:pPr>
        <w:ind w:left="3927" w:hanging="360"/>
      </w:pPr>
      <w:rPr>
        <w:rFonts w:ascii="Courier New" w:hAnsi="Courier New" w:cs="Courier New" w:hint="default"/>
      </w:rPr>
    </w:lvl>
    <w:lvl w:ilvl="5" w:tplc="10090005" w:tentative="1">
      <w:start w:val="1"/>
      <w:numFmt w:val="bullet"/>
      <w:lvlText w:val=""/>
      <w:lvlJc w:val="left"/>
      <w:pPr>
        <w:ind w:left="4647" w:hanging="360"/>
      </w:pPr>
      <w:rPr>
        <w:rFonts w:ascii="Wingdings" w:hAnsi="Wingdings" w:hint="default"/>
      </w:rPr>
    </w:lvl>
    <w:lvl w:ilvl="6" w:tplc="10090001" w:tentative="1">
      <w:start w:val="1"/>
      <w:numFmt w:val="bullet"/>
      <w:lvlText w:val=""/>
      <w:lvlJc w:val="left"/>
      <w:pPr>
        <w:ind w:left="5367" w:hanging="360"/>
      </w:pPr>
      <w:rPr>
        <w:rFonts w:ascii="Symbol" w:hAnsi="Symbol" w:hint="default"/>
      </w:rPr>
    </w:lvl>
    <w:lvl w:ilvl="7" w:tplc="10090003" w:tentative="1">
      <w:start w:val="1"/>
      <w:numFmt w:val="bullet"/>
      <w:lvlText w:val="o"/>
      <w:lvlJc w:val="left"/>
      <w:pPr>
        <w:ind w:left="6087" w:hanging="360"/>
      </w:pPr>
      <w:rPr>
        <w:rFonts w:ascii="Courier New" w:hAnsi="Courier New" w:cs="Courier New" w:hint="default"/>
      </w:rPr>
    </w:lvl>
    <w:lvl w:ilvl="8" w:tplc="10090005" w:tentative="1">
      <w:start w:val="1"/>
      <w:numFmt w:val="bullet"/>
      <w:lvlText w:val=""/>
      <w:lvlJc w:val="left"/>
      <w:pPr>
        <w:ind w:left="6807" w:hanging="360"/>
      </w:pPr>
      <w:rPr>
        <w:rFonts w:ascii="Wingdings" w:hAnsi="Wingdings" w:hint="default"/>
      </w:rPr>
    </w:lvl>
  </w:abstractNum>
  <w:abstractNum w:abstractNumId="5" w15:restartNumberingAfterBreak="0">
    <w:nsid w:val="0FCF2DD5"/>
    <w:multiLevelType w:val="hybridMultilevel"/>
    <w:tmpl w:val="99A2744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F26740"/>
    <w:multiLevelType w:val="hybridMultilevel"/>
    <w:tmpl w:val="A11EA332"/>
    <w:lvl w:ilvl="0" w:tplc="F26011A2">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3345FF1"/>
    <w:multiLevelType w:val="hybridMultilevel"/>
    <w:tmpl w:val="C248CB6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4E847CB"/>
    <w:multiLevelType w:val="hybridMultilevel"/>
    <w:tmpl w:val="3D5EC256"/>
    <w:lvl w:ilvl="0" w:tplc="E36AF4FE">
      <w:start w:val="1"/>
      <w:numFmt w:val="decimal"/>
      <w:lvlText w:val="%1."/>
      <w:lvlJc w:val="left"/>
      <w:pPr>
        <w:ind w:left="360" w:hanging="360"/>
      </w:pPr>
      <w:rPr>
        <w:rFonts w:ascii="Arial" w:hAnsi="Arial" w:cs="Arial" w:hint="default"/>
        <w:sz w:val="17"/>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67127C3"/>
    <w:multiLevelType w:val="hybridMultilevel"/>
    <w:tmpl w:val="430EC1FC"/>
    <w:lvl w:ilvl="0" w:tplc="ADBC8E6E">
      <w:start w:val="1"/>
      <w:numFmt w:val="bullet"/>
      <w:lvlText w:val=""/>
      <w:lvlJc w:val="left"/>
      <w:pPr>
        <w:ind w:left="360" w:hanging="360"/>
      </w:pPr>
      <w:rPr>
        <w:rFonts w:ascii="Symbol" w:hAnsi="Symbol" w:hint="default"/>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84D6792"/>
    <w:multiLevelType w:val="hybridMultilevel"/>
    <w:tmpl w:val="CA50E258"/>
    <w:lvl w:ilvl="0" w:tplc="ADBC8E6E">
      <w:start w:val="1"/>
      <w:numFmt w:val="bullet"/>
      <w:lvlText w:val=""/>
      <w:lvlJc w:val="left"/>
      <w:pPr>
        <w:ind w:left="360" w:hanging="360"/>
      </w:pPr>
      <w:rPr>
        <w:rFonts w:ascii="Symbol" w:hAnsi="Symbol" w:hint="default"/>
        <w:sz w:val="24"/>
        <w:szCs w:val="24"/>
      </w:rPr>
    </w:lvl>
    <w:lvl w:ilvl="1" w:tplc="10090003">
      <w:start w:val="1"/>
      <w:numFmt w:val="bullet"/>
      <w:lvlText w:val="o"/>
      <w:lvlJc w:val="left"/>
      <w:pPr>
        <w:ind w:left="786" w:hanging="360"/>
      </w:pPr>
      <w:rPr>
        <w:rFonts w:ascii="Courier New" w:hAnsi="Courier New" w:cs="Courier New" w:hint="default"/>
      </w:rPr>
    </w:lvl>
    <w:lvl w:ilvl="2" w:tplc="D0D04CDC">
      <w:start w:val="30"/>
      <w:numFmt w:val="bullet"/>
      <w:lvlText w:val="-"/>
      <w:lvlJc w:val="left"/>
      <w:pPr>
        <w:ind w:left="2160" w:hanging="360"/>
      </w:pPr>
      <w:rPr>
        <w:rFonts w:ascii="Times New Roman" w:eastAsiaTheme="minorHAnsi" w:hAnsi="Times New Roman" w:cs="Times New Roman"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8DF690F"/>
    <w:multiLevelType w:val="hybridMultilevel"/>
    <w:tmpl w:val="03F4FF70"/>
    <w:styleLink w:val="Standard"/>
    <w:lvl w:ilvl="0" w:tplc="1772E566">
      <w:start w:val="1"/>
      <w:numFmt w:val="decimal"/>
      <w:lvlRestart w:val="0"/>
      <w:lvlText w:val="%1."/>
      <w:lvlJc w:val="left"/>
      <w:pPr>
        <w:ind w:left="720" w:hanging="720"/>
      </w:pPr>
      <w:rPr>
        <w:rFonts w:hint="default"/>
      </w:rPr>
    </w:lvl>
    <w:lvl w:ilvl="1" w:tplc="122A3B10">
      <w:start w:val="1"/>
      <w:numFmt w:val="lowerLetter"/>
      <w:lvlText w:val="(%2)"/>
      <w:lvlJc w:val="left"/>
      <w:pPr>
        <w:tabs>
          <w:tab w:val="num" w:pos="1440"/>
        </w:tabs>
        <w:ind w:left="1440" w:hanging="720"/>
      </w:pPr>
      <w:rPr>
        <w:rFonts w:hint="default"/>
      </w:rPr>
    </w:lvl>
    <w:lvl w:ilvl="2" w:tplc="22324106">
      <w:start w:val="1"/>
      <w:numFmt w:val="lowerRoman"/>
      <w:lvlText w:val="(%3)"/>
      <w:lvlJc w:val="left"/>
      <w:pPr>
        <w:tabs>
          <w:tab w:val="num" w:pos="2160"/>
        </w:tabs>
        <w:ind w:left="2160" w:hanging="720"/>
      </w:pPr>
      <w:rPr>
        <w:rFonts w:hint="default"/>
      </w:rPr>
    </w:lvl>
    <w:lvl w:ilvl="3" w:tplc="0FF8DC7C">
      <w:start w:val="1"/>
      <w:numFmt w:val="upperLetter"/>
      <w:lvlText w:val="%4."/>
      <w:lvlJc w:val="left"/>
      <w:pPr>
        <w:tabs>
          <w:tab w:val="num" w:pos="2880"/>
        </w:tabs>
        <w:ind w:left="2880" w:hanging="720"/>
      </w:pPr>
      <w:rPr>
        <w:rFonts w:hint="default"/>
      </w:rPr>
    </w:lvl>
    <w:lvl w:ilvl="4" w:tplc="3490DB24">
      <w:start w:val="1"/>
      <w:numFmt w:val="decimal"/>
      <w:lvlText w:val="(%5)"/>
      <w:lvlJc w:val="left"/>
      <w:pPr>
        <w:tabs>
          <w:tab w:val="num" w:pos="3600"/>
        </w:tabs>
        <w:ind w:left="3600" w:hanging="720"/>
      </w:pPr>
      <w:rPr>
        <w:rFonts w:hint="default"/>
      </w:rPr>
    </w:lvl>
    <w:lvl w:ilvl="5" w:tplc="B684994E">
      <w:start w:val="1"/>
      <w:numFmt w:val="lowerLetter"/>
      <w:lvlText w:val="%6)"/>
      <w:lvlJc w:val="left"/>
      <w:pPr>
        <w:tabs>
          <w:tab w:val="num" w:pos="4320"/>
        </w:tabs>
        <w:ind w:left="4320" w:hanging="720"/>
      </w:pPr>
      <w:rPr>
        <w:rFonts w:hint="default"/>
      </w:rPr>
    </w:lvl>
    <w:lvl w:ilvl="6" w:tplc="BDF26CA4">
      <w:start w:val="1"/>
      <w:numFmt w:val="lowerRoman"/>
      <w:lvlText w:val="%7)"/>
      <w:lvlJc w:val="left"/>
      <w:pPr>
        <w:tabs>
          <w:tab w:val="num" w:pos="5040"/>
        </w:tabs>
        <w:ind w:left="5040" w:hanging="720"/>
      </w:pPr>
      <w:rPr>
        <w:rFonts w:hint="default"/>
      </w:rPr>
    </w:lvl>
    <w:lvl w:ilvl="7" w:tplc="60783B2C">
      <w:start w:val="1"/>
      <w:numFmt w:val="upperLetter"/>
      <w:lvlText w:val="(%8)"/>
      <w:lvlJc w:val="left"/>
      <w:pPr>
        <w:tabs>
          <w:tab w:val="num" w:pos="5760"/>
        </w:tabs>
        <w:ind w:left="5760" w:hanging="720"/>
      </w:pPr>
      <w:rPr>
        <w:rFonts w:hint="default"/>
      </w:rPr>
    </w:lvl>
    <w:lvl w:ilvl="8" w:tplc="5148880E">
      <w:start w:val="1"/>
      <w:numFmt w:val="decimal"/>
      <w:lvlText w:val="%9)"/>
      <w:lvlJc w:val="left"/>
      <w:pPr>
        <w:tabs>
          <w:tab w:val="num" w:pos="6480"/>
        </w:tabs>
        <w:ind w:left="6480" w:hanging="720"/>
      </w:pPr>
      <w:rPr>
        <w:rFonts w:hint="default"/>
      </w:rPr>
    </w:lvl>
  </w:abstractNum>
  <w:abstractNum w:abstractNumId="12" w15:restartNumberingAfterBreak="0">
    <w:nsid w:val="1BDF648D"/>
    <w:multiLevelType w:val="hybridMultilevel"/>
    <w:tmpl w:val="8B1AFBE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225F49D0"/>
    <w:multiLevelType w:val="hybridMultilevel"/>
    <w:tmpl w:val="97729E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257066EC"/>
    <w:multiLevelType w:val="hybridMultilevel"/>
    <w:tmpl w:val="882EC3B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27F640FE"/>
    <w:multiLevelType w:val="hybridMultilevel"/>
    <w:tmpl w:val="1E82AB38"/>
    <w:lvl w:ilvl="0" w:tplc="ADBC8E6E">
      <w:start w:val="1"/>
      <w:numFmt w:val="bullet"/>
      <w:lvlText w:val=""/>
      <w:lvlJc w:val="left"/>
      <w:pPr>
        <w:ind w:left="360" w:hanging="360"/>
      </w:pPr>
      <w:rPr>
        <w:rFonts w:ascii="Symbol" w:hAnsi="Symbol" w:hint="default"/>
        <w:sz w:val="24"/>
        <w:szCs w:val="24"/>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AE723B6"/>
    <w:multiLevelType w:val="hybridMultilevel"/>
    <w:tmpl w:val="ECA2C7F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FA50D47"/>
    <w:multiLevelType w:val="hybridMultilevel"/>
    <w:tmpl w:val="840AF33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31A0079C"/>
    <w:multiLevelType w:val="hybridMultilevel"/>
    <w:tmpl w:val="AD8200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31C170F9"/>
    <w:multiLevelType w:val="hybridMultilevel"/>
    <w:tmpl w:val="A2CE2FF6"/>
    <w:lvl w:ilvl="0" w:tplc="ADBC8E6E">
      <w:start w:val="1"/>
      <w:numFmt w:val="bullet"/>
      <w:lvlText w:val=""/>
      <w:lvlJc w:val="left"/>
      <w:pPr>
        <w:ind w:left="360" w:hanging="360"/>
      </w:pPr>
      <w:rPr>
        <w:rFonts w:ascii="Symbol" w:hAnsi="Symbol" w:hint="default"/>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691181E"/>
    <w:multiLevelType w:val="hybridMultilevel"/>
    <w:tmpl w:val="CE564CAC"/>
    <w:styleLink w:val="OSCPlainLanguage"/>
    <w:lvl w:ilvl="0" w:tplc="BA8E8A08">
      <w:start w:val="1"/>
      <w:numFmt w:val="decimal"/>
      <w:lvlText w:val="%1"/>
      <w:lvlJc w:val="left"/>
      <w:pPr>
        <w:tabs>
          <w:tab w:val="num" w:pos="720"/>
        </w:tabs>
        <w:ind w:left="720" w:hanging="720"/>
      </w:pPr>
      <w:rPr>
        <w:rFonts w:hint="default"/>
      </w:rPr>
    </w:lvl>
    <w:lvl w:ilvl="1" w:tplc="FE06ED6C">
      <w:start w:val="1"/>
      <w:numFmt w:val="lowerLetter"/>
      <w:lvlText w:val="(%2)"/>
      <w:lvlJc w:val="left"/>
      <w:pPr>
        <w:tabs>
          <w:tab w:val="num" w:pos="1440"/>
        </w:tabs>
        <w:ind w:left="1440" w:hanging="720"/>
      </w:pPr>
      <w:rPr>
        <w:rFonts w:hint="default"/>
      </w:rPr>
    </w:lvl>
    <w:lvl w:ilvl="2" w:tplc="E82CA662">
      <w:start w:val="1"/>
      <w:numFmt w:val="lowerRoman"/>
      <w:lvlText w:val="(%3)"/>
      <w:lvlJc w:val="left"/>
      <w:pPr>
        <w:tabs>
          <w:tab w:val="num" w:pos="2160"/>
        </w:tabs>
        <w:ind w:left="2160" w:hanging="720"/>
      </w:pPr>
      <w:rPr>
        <w:rFonts w:hint="default"/>
      </w:rPr>
    </w:lvl>
    <w:lvl w:ilvl="3" w:tplc="71BA75DC">
      <w:start w:val="1"/>
      <w:numFmt w:val="upperLetter"/>
      <w:lvlText w:val="(%4)"/>
      <w:lvlJc w:val="left"/>
      <w:pPr>
        <w:tabs>
          <w:tab w:val="num" w:pos="2880"/>
        </w:tabs>
        <w:ind w:left="2880" w:hanging="720"/>
      </w:pPr>
      <w:rPr>
        <w:rFonts w:hint="default"/>
      </w:rPr>
    </w:lvl>
    <w:lvl w:ilvl="4" w:tplc="DA56B414">
      <w:start w:val="1"/>
      <w:numFmt w:val="lowerLetter"/>
      <w:lvlText w:val="(%5)"/>
      <w:lvlJc w:val="left"/>
      <w:pPr>
        <w:tabs>
          <w:tab w:val="num" w:pos="3600"/>
        </w:tabs>
        <w:ind w:left="3600" w:hanging="720"/>
      </w:pPr>
      <w:rPr>
        <w:rFonts w:hint="default"/>
      </w:rPr>
    </w:lvl>
    <w:lvl w:ilvl="5" w:tplc="133EB866">
      <w:start w:val="1"/>
      <w:numFmt w:val="lowerRoman"/>
      <w:lvlText w:val="(%6)"/>
      <w:lvlJc w:val="left"/>
      <w:pPr>
        <w:tabs>
          <w:tab w:val="num" w:pos="4320"/>
        </w:tabs>
        <w:ind w:left="4320" w:hanging="720"/>
      </w:pPr>
      <w:rPr>
        <w:rFonts w:hint="default"/>
      </w:rPr>
    </w:lvl>
    <w:lvl w:ilvl="6" w:tplc="B87E3B42">
      <w:start w:val="1"/>
      <w:numFmt w:val="decimal"/>
      <w:lvlText w:val="%7."/>
      <w:lvlJc w:val="left"/>
      <w:pPr>
        <w:tabs>
          <w:tab w:val="num" w:pos="5040"/>
        </w:tabs>
        <w:ind w:left="5040" w:hanging="720"/>
      </w:pPr>
      <w:rPr>
        <w:rFonts w:hint="default"/>
      </w:rPr>
    </w:lvl>
    <w:lvl w:ilvl="7" w:tplc="AEC66598">
      <w:start w:val="1"/>
      <w:numFmt w:val="lowerLetter"/>
      <w:lvlText w:val="%8."/>
      <w:lvlJc w:val="left"/>
      <w:pPr>
        <w:tabs>
          <w:tab w:val="num" w:pos="5760"/>
        </w:tabs>
        <w:ind w:left="5760" w:hanging="720"/>
      </w:pPr>
      <w:rPr>
        <w:rFonts w:hint="default"/>
      </w:rPr>
    </w:lvl>
    <w:lvl w:ilvl="8" w:tplc="D01EA86C">
      <w:start w:val="1"/>
      <w:numFmt w:val="lowerRoman"/>
      <w:lvlText w:val="%9."/>
      <w:lvlJc w:val="left"/>
      <w:pPr>
        <w:tabs>
          <w:tab w:val="num" w:pos="6480"/>
        </w:tabs>
        <w:ind w:left="6480" w:hanging="720"/>
      </w:pPr>
      <w:rPr>
        <w:rFonts w:hint="default"/>
      </w:rPr>
    </w:lvl>
  </w:abstractNum>
  <w:abstractNum w:abstractNumId="21" w15:restartNumberingAfterBreak="0">
    <w:nsid w:val="37643452"/>
    <w:multiLevelType w:val="hybridMultilevel"/>
    <w:tmpl w:val="B28894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86B1322"/>
    <w:multiLevelType w:val="hybridMultilevel"/>
    <w:tmpl w:val="8BB08B7E"/>
    <w:lvl w:ilvl="0" w:tplc="703E688C">
      <w:start w:val="4"/>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080" w:hanging="360"/>
      </w:pPr>
      <w:rPr>
        <w:rFonts w:ascii="Symbol" w:hAnsi="Symbol"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3A284009"/>
    <w:multiLevelType w:val="hybridMultilevel"/>
    <w:tmpl w:val="90B02A0C"/>
    <w:lvl w:ilvl="0" w:tplc="703E688C">
      <w:start w:val="4"/>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40316066"/>
    <w:multiLevelType w:val="hybridMultilevel"/>
    <w:tmpl w:val="C8C81E18"/>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40A8396E"/>
    <w:multiLevelType w:val="hybridMultilevel"/>
    <w:tmpl w:val="FFB0883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423D5087"/>
    <w:multiLevelType w:val="hybridMultilevel"/>
    <w:tmpl w:val="C0E0D6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434D3209"/>
    <w:multiLevelType w:val="hybridMultilevel"/>
    <w:tmpl w:val="5B44BF3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43E84BB7"/>
    <w:multiLevelType w:val="hybridMultilevel"/>
    <w:tmpl w:val="ECA2C7F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484A71B9"/>
    <w:multiLevelType w:val="hybridMultilevel"/>
    <w:tmpl w:val="505C518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644"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487F62B4"/>
    <w:multiLevelType w:val="hybridMultilevel"/>
    <w:tmpl w:val="D95E69CC"/>
    <w:lvl w:ilvl="0" w:tplc="703E688C">
      <w:start w:val="4"/>
      <w:numFmt w:val="bullet"/>
      <w:lvlText w:val="•"/>
      <w:lvlJc w:val="left"/>
      <w:pPr>
        <w:ind w:left="720" w:hanging="360"/>
      </w:pPr>
      <w:rPr>
        <w:rFonts w:ascii="Calibri" w:eastAsiaTheme="minorHAnsi" w:hAnsi="Calibri" w:cs="Calibri" w:hint="default"/>
        <w:sz w:val="24"/>
        <w:szCs w:val="24"/>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C5D4A0C"/>
    <w:multiLevelType w:val="hybridMultilevel"/>
    <w:tmpl w:val="F772518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15:restartNumberingAfterBreak="0">
    <w:nsid w:val="4DB5536A"/>
    <w:multiLevelType w:val="hybridMultilevel"/>
    <w:tmpl w:val="9A54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8928F3"/>
    <w:multiLevelType w:val="hybridMultilevel"/>
    <w:tmpl w:val="593E1A4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51F56211"/>
    <w:multiLevelType w:val="hybridMultilevel"/>
    <w:tmpl w:val="0A3E5A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55A860C2"/>
    <w:multiLevelType w:val="hybridMultilevel"/>
    <w:tmpl w:val="786C427A"/>
    <w:lvl w:ilvl="0" w:tplc="ADBC8E6E">
      <w:start w:val="1"/>
      <w:numFmt w:val="bullet"/>
      <w:lvlText w:val=""/>
      <w:lvlJc w:val="left"/>
      <w:pPr>
        <w:ind w:left="360" w:hanging="360"/>
      </w:pPr>
      <w:rPr>
        <w:rFonts w:ascii="Symbol" w:hAnsi="Symbol" w:hint="default"/>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72E3E44"/>
    <w:multiLevelType w:val="hybridMultilevel"/>
    <w:tmpl w:val="CC265A6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15:restartNumberingAfterBreak="0">
    <w:nsid w:val="5966605B"/>
    <w:multiLevelType w:val="hybridMultilevel"/>
    <w:tmpl w:val="8BB08B7E"/>
    <w:lvl w:ilvl="0" w:tplc="703E688C">
      <w:start w:val="4"/>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080" w:hanging="360"/>
      </w:pPr>
      <w:rPr>
        <w:rFonts w:ascii="Symbol" w:hAnsi="Symbol"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5BFD4347"/>
    <w:multiLevelType w:val="hybridMultilevel"/>
    <w:tmpl w:val="EECCAB7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9" w15:restartNumberingAfterBreak="0">
    <w:nsid w:val="618D3436"/>
    <w:multiLevelType w:val="hybridMultilevel"/>
    <w:tmpl w:val="612C6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41832C4"/>
    <w:multiLevelType w:val="hybridMultilevel"/>
    <w:tmpl w:val="445A8F9E"/>
    <w:lvl w:ilvl="0" w:tplc="ADBC8E6E">
      <w:start w:val="1"/>
      <w:numFmt w:val="bullet"/>
      <w:lvlText w:val=""/>
      <w:lvlJc w:val="left"/>
      <w:pPr>
        <w:ind w:left="360" w:hanging="360"/>
      </w:pPr>
      <w:rPr>
        <w:rFonts w:ascii="Symbol" w:hAnsi="Symbol" w:hint="default"/>
        <w:sz w:val="24"/>
        <w:szCs w:val="24"/>
      </w:rPr>
    </w:lvl>
    <w:lvl w:ilvl="1" w:tplc="10090003">
      <w:start w:val="1"/>
      <w:numFmt w:val="bullet"/>
      <w:lvlText w:val="o"/>
      <w:lvlJc w:val="left"/>
      <w:pPr>
        <w:ind w:left="786"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6521D0E"/>
    <w:multiLevelType w:val="hybridMultilevel"/>
    <w:tmpl w:val="613E1A6C"/>
    <w:lvl w:ilvl="0" w:tplc="11B013CE">
      <w:start w:val="1"/>
      <w:numFmt w:val="bullet"/>
      <w:lvlText w:val=""/>
      <w:lvlJc w:val="left"/>
      <w:pPr>
        <w:ind w:left="360" w:hanging="360"/>
      </w:pPr>
      <w:rPr>
        <w:rFonts w:ascii="Symbol" w:hAnsi="Symbol" w:hint="default"/>
        <w:color w:val="auto"/>
        <w:sz w:val="24"/>
        <w:szCs w:val="24"/>
      </w:rPr>
    </w:lvl>
    <w:lvl w:ilvl="1" w:tplc="10090003">
      <w:start w:val="1"/>
      <w:numFmt w:val="bullet"/>
      <w:lvlText w:val="o"/>
      <w:lvlJc w:val="left"/>
      <w:pPr>
        <w:ind w:left="644"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76A1C4C"/>
    <w:multiLevelType w:val="hybridMultilevel"/>
    <w:tmpl w:val="97729E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3" w15:restartNumberingAfterBreak="0">
    <w:nsid w:val="677B2DB0"/>
    <w:multiLevelType w:val="hybridMultilevel"/>
    <w:tmpl w:val="9E9E87A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15:restartNumberingAfterBreak="0">
    <w:nsid w:val="68123DF6"/>
    <w:multiLevelType w:val="hybridMultilevel"/>
    <w:tmpl w:val="81BC7220"/>
    <w:lvl w:ilvl="0" w:tplc="ADBC8E6E">
      <w:start w:val="1"/>
      <w:numFmt w:val="bullet"/>
      <w:lvlText w:val=""/>
      <w:lvlJc w:val="left"/>
      <w:pPr>
        <w:ind w:left="360" w:hanging="360"/>
      </w:pPr>
      <w:rPr>
        <w:rFonts w:ascii="Symbol" w:hAnsi="Symbol" w:hint="default"/>
        <w:sz w:val="24"/>
        <w:szCs w:val="24"/>
      </w:rPr>
    </w:lvl>
    <w:lvl w:ilvl="1" w:tplc="10090003">
      <w:start w:val="1"/>
      <w:numFmt w:val="bullet"/>
      <w:lvlText w:val="o"/>
      <w:lvlJc w:val="left"/>
      <w:pPr>
        <w:ind w:left="785"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68303FA7"/>
    <w:multiLevelType w:val="hybridMultilevel"/>
    <w:tmpl w:val="656411BC"/>
    <w:lvl w:ilvl="0" w:tplc="B1C42CB6">
      <w:start w:val="1"/>
      <w:numFmt w:val="decimal"/>
      <w:pStyle w:val="Notes"/>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8763F6D"/>
    <w:multiLevelType w:val="hybridMultilevel"/>
    <w:tmpl w:val="DEB8E0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7" w15:restartNumberingAfterBreak="0">
    <w:nsid w:val="6F8E7234"/>
    <w:multiLevelType w:val="hybridMultilevel"/>
    <w:tmpl w:val="2F2E7744"/>
    <w:lvl w:ilvl="0" w:tplc="04090001">
      <w:start w:val="1"/>
      <w:numFmt w:val="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0A95D8F"/>
    <w:multiLevelType w:val="hybridMultilevel"/>
    <w:tmpl w:val="2CDECF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9" w15:restartNumberingAfterBreak="0">
    <w:nsid w:val="75A801EC"/>
    <w:multiLevelType w:val="multilevel"/>
    <w:tmpl w:val="BFDC09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0" w15:restartNumberingAfterBreak="0">
    <w:nsid w:val="76480074"/>
    <w:multiLevelType w:val="hybridMultilevel"/>
    <w:tmpl w:val="A3F6A38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767F48FC"/>
    <w:multiLevelType w:val="hybridMultilevel"/>
    <w:tmpl w:val="4A8C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7C51F28"/>
    <w:multiLevelType w:val="hybridMultilevel"/>
    <w:tmpl w:val="D59E9AA6"/>
    <w:lvl w:ilvl="0" w:tplc="F26011A2">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3" w15:restartNumberingAfterBreak="0">
    <w:nsid w:val="782B5042"/>
    <w:multiLevelType w:val="hybridMultilevel"/>
    <w:tmpl w:val="0EF2BB88"/>
    <w:lvl w:ilvl="0" w:tplc="ADBC8E6E">
      <w:start w:val="1"/>
      <w:numFmt w:val="bullet"/>
      <w:lvlText w:val=""/>
      <w:lvlJc w:val="left"/>
      <w:pPr>
        <w:ind w:left="360" w:hanging="360"/>
      </w:pPr>
      <w:rPr>
        <w:rFonts w:ascii="Symbol" w:hAnsi="Symbol" w:hint="default"/>
        <w:sz w:val="24"/>
        <w:szCs w:val="24"/>
      </w:rPr>
    </w:lvl>
    <w:lvl w:ilvl="1" w:tplc="10090003">
      <w:start w:val="1"/>
      <w:numFmt w:val="bullet"/>
      <w:lvlText w:val="o"/>
      <w:lvlJc w:val="left"/>
      <w:pPr>
        <w:ind w:left="786"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4" w15:restartNumberingAfterBreak="0">
    <w:nsid w:val="79092B4F"/>
    <w:multiLevelType w:val="hybridMultilevel"/>
    <w:tmpl w:val="6B5AE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79337705"/>
    <w:multiLevelType w:val="hybridMultilevel"/>
    <w:tmpl w:val="81D665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6" w15:restartNumberingAfterBreak="0">
    <w:nsid w:val="79A34438"/>
    <w:multiLevelType w:val="hybridMultilevel"/>
    <w:tmpl w:val="0EF2BB88"/>
    <w:lvl w:ilvl="0" w:tplc="ADBC8E6E">
      <w:start w:val="1"/>
      <w:numFmt w:val="bullet"/>
      <w:lvlText w:val=""/>
      <w:lvlJc w:val="left"/>
      <w:pPr>
        <w:ind w:left="360" w:hanging="360"/>
      </w:pPr>
      <w:rPr>
        <w:rFonts w:ascii="Symbol" w:hAnsi="Symbol" w:hint="default"/>
        <w:sz w:val="24"/>
        <w:szCs w:val="24"/>
      </w:rPr>
    </w:lvl>
    <w:lvl w:ilvl="1" w:tplc="10090003">
      <w:start w:val="1"/>
      <w:numFmt w:val="bullet"/>
      <w:lvlText w:val="o"/>
      <w:lvlJc w:val="left"/>
      <w:pPr>
        <w:ind w:left="786"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7" w15:restartNumberingAfterBreak="0">
    <w:nsid w:val="79AD35AC"/>
    <w:multiLevelType w:val="hybridMultilevel"/>
    <w:tmpl w:val="47AE64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45"/>
  </w:num>
  <w:num w:numId="4">
    <w:abstractNumId w:val="28"/>
  </w:num>
  <w:num w:numId="5">
    <w:abstractNumId w:val="20"/>
  </w:num>
  <w:num w:numId="6">
    <w:abstractNumId w:val="56"/>
  </w:num>
  <w:num w:numId="7">
    <w:abstractNumId w:val="10"/>
  </w:num>
  <w:num w:numId="8">
    <w:abstractNumId w:val="19"/>
  </w:num>
  <w:num w:numId="9">
    <w:abstractNumId w:val="9"/>
  </w:num>
  <w:num w:numId="10">
    <w:abstractNumId w:val="44"/>
  </w:num>
  <w:num w:numId="11">
    <w:abstractNumId w:val="41"/>
  </w:num>
  <w:num w:numId="12">
    <w:abstractNumId w:val="15"/>
  </w:num>
  <w:num w:numId="13">
    <w:abstractNumId w:val="30"/>
  </w:num>
  <w:num w:numId="14">
    <w:abstractNumId w:val="23"/>
  </w:num>
  <w:num w:numId="15">
    <w:abstractNumId w:val="7"/>
  </w:num>
  <w:num w:numId="16">
    <w:abstractNumId w:val="26"/>
  </w:num>
  <w:num w:numId="17">
    <w:abstractNumId w:val="38"/>
  </w:num>
  <w:num w:numId="18">
    <w:abstractNumId w:val="5"/>
  </w:num>
  <w:num w:numId="19">
    <w:abstractNumId w:val="12"/>
  </w:num>
  <w:num w:numId="20">
    <w:abstractNumId w:val="33"/>
  </w:num>
  <w:num w:numId="21">
    <w:abstractNumId w:val="46"/>
  </w:num>
  <w:num w:numId="22">
    <w:abstractNumId w:val="34"/>
  </w:num>
  <w:num w:numId="23">
    <w:abstractNumId w:val="27"/>
  </w:num>
  <w:num w:numId="24">
    <w:abstractNumId w:val="14"/>
  </w:num>
  <w:num w:numId="25">
    <w:abstractNumId w:val="18"/>
  </w:num>
  <w:num w:numId="26">
    <w:abstractNumId w:val="48"/>
  </w:num>
  <w:num w:numId="27">
    <w:abstractNumId w:val="55"/>
  </w:num>
  <w:num w:numId="28">
    <w:abstractNumId w:val="2"/>
  </w:num>
  <w:num w:numId="29">
    <w:abstractNumId w:val="43"/>
  </w:num>
  <w:num w:numId="30">
    <w:abstractNumId w:val="51"/>
  </w:num>
  <w:num w:numId="31">
    <w:abstractNumId w:val="22"/>
  </w:num>
  <w:num w:numId="32">
    <w:abstractNumId w:val="0"/>
  </w:num>
  <w:num w:numId="33">
    <w:abstractNumId w:val="24"/>
  </w:num>
  <w:num w:numId="34">
    <w:abstractNumId w:val="47"/>
  </w:num>
  <w:num w:numId="35">
    <w:abstractNumId w:val="32"/>
  </w:num>
  <w:num w:numId="36">
    <w:abstractNumId w:val="3"/>
  </w:num>
  <w:num w:numId="37">
    <w:abstractNumId w:val="52"/>
  </w:num>
  <w:num w:numId="38">
    <w:abstractNumId w:val="6"/>
  </w:num>
  <w:num w:numId="39">
    <w:abstractNumId w:val="8"/>
  </w:num>
  <w:num w:numId="40">
    <w:abstractNumId w:val="40"/>
  </w:num>
  <w:num w:numId="41">
    <w:abstractNumId w:val="35"/>
  </w:num>
  <w:num w:numId="42">
    <w:abstractNumId w:val="17"/>
  </w:num>
  <w:num w:numId="43">
    <w:abstractNumId w:val="42"/>
  </w:num>
  <w:num w:numId="44">
    <w:abstractNumId w:val="54"/>
  </w:num>
  <w:num w:numId="45">
    <w:abstractNumId w:val="57"/>
  </w:num>
  <w:num w:numId="46">
    <w:abstractNumId w:val="50"/>
  </w:num>
  <w:num w:numId="47">
    <w:abstractNumId w:val="13"/>
  </w:num>
  <w:num w:numId="48">
    <w:abstractNumId w:val="37"/>
  </w:num>
  <w:num w:numId="49">
    <w:abstractNumId w:val="25"/>
  </w:num>
  <w:num w:numId="50">
    <w:abstractNumId w:val="16"/>
  </w:num>
  <w:num w:numId="51">
    <w:abstractNumId w:val="53"/>
  </w:num>
  <w:num w:numId="52">
    <w:abstractNumId w:val="4"/>
  </w:num>
  <w:num w:numId="53">
    <w:abstractNumId w:val="29"/>
  </w:num>
  <w:num w:numId="54">
    <w:abstractNumId w:val="21"/>
  </w:num>
  <w:num w:numId="55">
    <w:abstractNumId w:val="31"/>
  </w:num>
  <w:num w:numId="56">
    <w:abstractNumId w:val="36"/>
  </w:num>
  <w:num w:numId="57">
    <w:abstractNumId w:val="39"/>
  </w:num>
  <w:num w:numId="58">
    <w:abstractNumId w:val="49"/>
  </w:num>
  <w:num w:numId="5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9"/>
  </w:num>
  <w:num w:numId="64">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038"/>
    <w:rsid w:val="0000048C"/>
    <w:rsid w:val="00000A20"/>
    <w:rsid w:val="00000BD6"/>
    <w:rsid w:val="00001179"/>
    <w:rsid w:val="0000182D"/>
    <w:rsid w:val="00001FF5"/>
    <w:rsid w:val="00002105"/>
    <w:rsid w:val="00003387"/>
    <w:rsid w:val="00003F6A"/>
    <w:rsid w:val="000041D7"/>
    <w:rsid w:val="00004D47"/>
    <w:rsid w:val="000067AB"/>
    <w:rsid w:val="000069F6"/>
    <w:rsid w:val="0000777E"/>
    <w:rsid w:val="00007A2E"/>
    <w:rsid w:val="000102A1"/>
    <w:rsid w:val="00010432"/>
    <w:rsid w:val="00010B3B"/>
    <w:rsid w:val="000112E1"/>
    <w:rsid w:val="00011EA4"/>
    <w:rsid w:val="000138E5"/>
    <w:rsid w:val="000138FC"/>
    <w:rsid w:val="00013A6F"/>
    <w:rsid w:val="00013B42"/>
    <w:rsid w:val="0001421E"/>
    <w:rsid w:val="00014396"/>
    <w:rsid w:val="0001469C"/>
    <w:rsid w:val="000147C7"/>
    <w:rsid w:val="00014869"/>
    <w:rsid w:val="00015030"/>
    <w:rsid w:val="00015171"/>
    <w:rsid w:val="00015727"/>
    <w:rsid w:val="00015E17"/>
    <w:rsid w:val="00016264"/>
    <w:rsid w:val="00016747"/>
    <w:rsid w:val="00016BCA"/>
    <w:rsid w:val="00016BDE"/>
    <w:rsid w:val="00017061"/>
    <w:rsid w:val="0001713C"/>
    <w:rsid w:val="000177E7"/>
    <w:rsid w:val="000208EA"/>
    <w:rsid w:val="00020C82"/>
    <w:rsid w:val="00021031"/>
    <w:rsid w:val="00021160"/>
    <w:rsid w:val="0002125F"/>
    <w:rsid w:val="000218E1"/>
    <w:rsid w:val="0002222A"/>
    <w:rsid w:val="0002224C"/>
    <w:rsid w:val="000222EE"/>
    <w:rsid w:val="0002265D"/>
    <w:rsid w:val="00022852"/>
    <w:rsid w:val="00022BCA"/>
    <w:rsid w:val="00022D6C"/>
    <w:rsid w:val="000230BE"/>
    <w:rsid w:val="000235F6"/>
    <w:rsid w:val="000249D6"/>
    <w:rsid w:val="000250CC"/>
    <w:rsid w:val="00026018"/>
    <w:rsid w:val="0002622C"/>
    <w:rsid w:val="00026535"/>
    <w:rsid w:val="0002666C"/>
    <w:rsid w:val="000266B4"/>
    <w:rsid w:val="00026CE1"/>
    <w:rsid w:val="00026EF6"/>
    <w:rsid w:val="00027201"/>
    <w:rsid w:val="000273CB"/>
    <w:rsid w:val="00030479"/>
    <w:rsid w:val="00030647"/>
    <w:rsid w:val="0003088B"/>
    <w:rsid w:val="000308AB"/>
    <w:rsid w:val="000309B3"/>
    <w:rsid w:val="00031191"/>
    <w:rsid w:val="000316D0"/>
    <w:rsid w:val="00031764"/>
    <w:rsid w:val="0003184C"/>
    <w:rsid w:val="000320AD"/>
    <w:rsid w:val="00032122"/>
    <w:rsid w:val="0003228F"/>
    <w:rsid w:val="00032563"/>
    <w:rsid w:val="0003257A"/>
    <w:rsid w:val="00032A7B"/>
    <w:rsid w:val="00033906"/>
    <w:rsid w:val="00033B19"/>
    <w:rsid w:val="000341C2"/>
    <w:rsid w:val="000345E0"/>
    <w:rsid w:val="000348AC"/>
    <w:rsid w:val="00034AB5"/>
    <w:rsid w:val="00034C21"/>
    <w:rsid w:val="0003569B"/>
    <w:rsid w:val="00035C26"/>
    <w:rsid w:val="000360B3"/>
    <w:rsid w:val="000376AD"/>
    <w:rsid w:val="0004048C"/>
    <w:rsid w:val="00040B0D"/>
    <w:rsid w:val="00040DA4"/>
    <w:rsid w:val="00040E61"/>
    <w:rsid w:val="00040EBC"/>
    <w:rsid w:val="00041BA7"/>
    <w:rsid w:val="00041C7F"/>
    <w:rsid w:val="00042480"/>
    <w:rsid w:val="00042899"/>
    <w:rsid w:val="00042AC1"/>
    <w:rsid w:val="000430BF"/>
    <w:rsid w:val="0004344E"/>
    <w:rsid w:val="000437C6"/>
    <w:rsid w:val="00043C27"/>
    <w:rsid w:val="00043EF6"/>
    <w:rsid w:val="00044254"/>
    <w:rsid w:val="00044568"/>
    <w:rsid w:val="00044DB0"/>
    <w:rsid w:val="00045BDE"/>
    <w:rsid w:val="0004609C"/>
    <w:rsid w:val="000463C5"/>
    <w:rsid w:val="000467C6"/>
    <w:rsid w:val="00046B2F"/>
    <w:rsid w:val="0004779C"/>
    <w:rsid w:val="00047F48"/>
    <w:rsid w:val="000503C8"/>
    <w:rsid w:val="000512B8"/>
    <w:rsid w:val="00051413"/>
    <w:rsid w:val="000520A7"/>
    <w:rsid w:val="000520AF"/>
    <w:rsid w:val="000522AA"/>
    <w:rsid w:val="000535BD"/>
    <w:rsid w:val="000536B0"/>
    <w:rsid w:val="00053A8C"/>
    <w:rsid w:val="000545E7"/>
    <w:rsid w:val="00054A50"/>
    <w:rsid w:val="0005521D"/>
    <w:rsid w:val="000553F2"/>
    <w:rsid w:val="000554FD"/>
    <w:rsid w:val="000555FB"/>
    <w:rsid w:val="00055A57"/>
    <w:rsid w:val="00055E23"/>
    <w:rsid w:val="00055FB6"/>
    <w:rsid w:val="00056057"/>
    <w:rsid w:val="00056A61"/>
    <w:rsid w:val="00057229"/>
    <w:rsid w:val="0005738C"/>
    <w:rsid w:val="000602C7"/>
    <w:rsid w:val="000602E0"/>
    <w:rsid w:val="00060923"/>
    <w:rsid w:val="00060A7E"/>
    <w:rsid w:val="00060A97"/>
    <w:rsid w:val="00061243"/>
    <w:rsid w:val="00061294"/>
    <w:rsid w:val="0006137F"/>
    <w:rsid w:val="000614B6"/>
    <w:rsid w:val="00061BF8"/>
    <w:rsid w:val="000621D1"/>
    <w:rsid w:val="000630A5"/>
    <w:rsid w:val="000631C3"/>
    <w:rsid w:val="00063916"/>
    <w:rsid w:val="00063C1A"/>
    <w:rsid w:val="00063CC8"/>
    <w:rsid w:val="00064B4C"/>
    <w:rsid w:val="000651DD"/>
    <w:rsid w:val="00065613"/>
    <w:rsid w:val="00065763"/>
    <w:rsid w:val="000662A7"/>
    <w:rsid w:val="00066DBF"/>
    <w:rsid w:val="00067432"/>
    <w:rsid w:val="00067657"/>
    <w:rsid w:val="000676C3"/>
    <w:rsid w:val="000678A3"/>
    <w:rsid w:val="000702BE"/>
    <w:rsid w:val="00070502"/>
    <w:rsid w:val="0007066D"/>
    <w:rsid w:val="00070B15"/>
    <w:rsid w:val="00070B1C"/>
    <w:rsid w:val="00071142"/>
    <w:rsid w:val="000711A4"/>
    <w:rsid w:val="000715B7"/>
    <w:rsid w:val="000717A1"/>
    <w:rsid w:val="00071861"/>
    <w:rsid w:val="00071894"/>
    <w:rsid w:val="00071DAC"/>
    <w:rsid w:val="00071FCA"/>
    <w:rsid w:val="00072239"/>
    <w:rsid w:val="00072A7B"/>
    <w:rsid w:val="00072BBC"/>
    <w:rsid w:val="00073105"/>
    <w:rsid w:val="00073170"/>
    <w:rsid w:val="000731E2"/>
    <w:rsid w:val="000733C4"/>
    <w:rsid w:val="000734C9"/>
    <w:rsid w:val="0007432C"/>
    <w:rsid w:val="000743BC"/>
    <w:rsid w:val="00074811"/>
    <w:rsid w:val="00074A95"/>
    <w:rsid w:val="00074E4E"/>
    <w:rsid w:val="00075DF4"/>
    <w:rsid w:val="00075F3B"/>
    <w:rsid w:val="00076ECF"/>
    <w:rsid w:val="0008039E"/>
    <w:rsid w:val="0008093C"/>
    <w:rsid w:val="00080E0D"/>
    <w:rsid w:val="00081218"/>
    <w:rsid w:val="000814EA"/>
    <w:rsid w:val="00081831"/>
    <w:rsid w:val="00081A40"/>
    <w:rsid w:val="0008200D"/>
    <w:rsid w:val="00082E2B"/>
    <w:rsid w:val="00083030"/>
    <w:rsid w:val="00083068"/>
    <w:rsid w:val="0008343A"/>
    <w:rsid w:val="000835EE"/>
    <w:rsid w:val="00083B67"/>
    <w:rsid w:val="00083CA0"/>
    <w:rsid w:val="00083DA9"/>
    <w:rsid w:val="000840CC"/>
    <w:rsid w:val="00084249"/>
    <w:rsid w:val="00084620"/>
    <w:rsid w:val="00084B39"/>
    <w:rsid w:val="00085166"/>
    <w:rsid w:val="000858FF"/>
    <w:rsid w:val="0008680F"/>
    <w:rsid w:val="000869FE"/>
    <w:rsid w:val="0008730E"/>
    <w:rsid w:val="00087DC7"/>
    <w:rsid w:val="00090341"/>
    <w:rsid w:val="00090647"/>
    <w:rsid w:val="00090694"/>
    <w:rsid w:val="000908EB"/>
    <w:rsid w:val="00090AA0"/>
    <w:rsid w:val="00090AC8"/>
    <w:rsid w:val="00091F0A"/>
    <w:rsid w:val="00092B02"/>
    <w:rsid w:val="00092E70"/>
    <w:rsid w:val="000931CC"/>
    <w:rsid w:val="00093377"/>
    <w:rsid w:val="000934A8"/>
    <w:rsid w:val="00093B57"/>
    <w:rsid w:val="00093C9C"/>
    <w:rsid w:val="00094401"/>
    <w:rsid w:val="00094CF6"/>
    <w:rsid w:val="00094E67"/>
    <w:rsid w:val="0009503C"/>
    <w:rsid w:val="000954B0"/>
    <w:rsid w:val="000957C3"/>
    <w:rsid w:val="000959EF"/>
    <w:rsid w:val="00095DDF"/>
    <w:rsid w:val="000963F6"/>
    <w:rsid w:val="00096577"/>
    <w:rsid w:val="000965F2"/>
    <w:rsid w:val="00097231"/>
    <w:rsid w:val="00097961"/>
    <w:rsid w:val="00097AD3"/>
    <w:rsid w:val="00097C2B"/>
    <w:rsid w:val="000A01E5"/>
    <w:rsid w:val="000A01F2"/>
    <w:rsid w:val="000A176F"/>
    <w:rsid w:val="000A1809"/>
    <w:rsid w:val="000A18EF"/>
    <w:rsid w:val="000A1B40"/>
    <w:rsid w:val="000A1EA4"/>
    <w:rsid w:val="000A2118"/>
    <w:rsid w:val="000A22BC"/>
    <w:rsid w:val="000A2597"/>
    <w:rsid w:val="000A2A8E"/>
    <w:rsid w:val="000A3118"/>
    <w:rsid w:val="000A3BE6"/>
    <w:rsid w:val="000A3C32"/>
    <w:rsid w:val="000A4097"/>
    <w:rsid w:val="000A42CA"/>
    <w:rsid w:val="000A4BE3"/>
    <w:rsid w:val="000A4FD5"/>
    <w:rsid w:val="000A57D6"/>
    <w:rsid w:val="000A59F3"/>
    <w:rsid w:val="000A5FE3"/>
    <w:rsid w:val="000A6B12"/>
    <w:rsid w:val="000A737A"/>
    <w:rsid w:val="000A7DCB"/>
    <w:rsid w:val="000B0257"/>
    <w:rsid w:val="000B0805"/>
    <w:rsid w:val="000B0816"/>
    <w:rsid w:val="000B0965"/>
    <w:rsid w:val="000B0A80"/>
    <w:rsid w:val="000B0BB6"/>
    <w:rsid w:val="000B19AC"/>
    <w:rsid w:val="000B1AEE"/>
    <w:rsid w:val="000B2011"/>
    <w:rsid w:val="000B34B1"/>
    <w:rsid w:val="000B3669"/>
    <w:rsid w:val="000B4CC0"/>
    <w:rsid w:val="000B5020"/>
    <w:rsid w:val="000B5926"/>
    <w:rsid w:val="000B5A7D"/>
    <w:rsid w:val="000B65AD"/>
    <w:rsid w:val="000B69CB"/>
    <w:rsid w:val="000B6C1A"/>
    <w:rsid w:val="000B7543"/>
    <w:rsid w:val="000B7690"/>
    <w:rsid w:val="000B78D3"/>
    <w:rsid w:val="000B79F1"/>
    <w:rsid w:val="000B7ACE"/>
    <w:rsid w:val="000B7FDC"/>
    <w:rsid w:val="000C0134"/>
    <w:rsid w:val="000C0311"/>
    <w:rsid w:val="000C04D1"/>
    <w:rsid w:val="000C0C08"/>
    <w:rsid w:val="000C114C"/>
    <w:rsid w:val="000C11E5"/>
    <w:rsid w:val="000C12BF"/>
    <w:rsid w:val="000C2302"/>
    <w:rsid w:val="000C27ED"/>
    <w:rsid w:val="000C2958"/>
    <w:rsid w:val="000C345D"/>
    <w:rsid w:val="000C41AF"/>
    <w:rsid w:val="000C427E"/>
    <w:rsid w:val="000C4993"/>
    <w:rsid w:val="000C4E40"/>
    <w:rsid w:val="000C50A1"/>
    <w:rsid w:val="000C5552"/>
    <w:rsid w:val="000C558A"/>
    <w:rsid w:val="000C5DAC"/>
    <w:rsid w:val="000C6236"/>
    <w:rsid w:val="000C649A"/>
    <w:rsid w:val="000C7086"/>
    <w:rsid w:val="000C7484"/>
    <w:rsid w:val="000C777C"/>
    <w:rsid w:val="000C7C97"/>
    <w:rsid w:val="000C7FBC"/>
    <w:rsid w:val="000D0190"/>
    <w:rsid w:val="000D0332"/>
    <w:rsid w:val="000D05CA"/>
    <w:rsid w:val="000D0B3D"/>
    <w:rsid w:val="000D0EF2"/>
    <w:rsid w:val="000D0F9A"/>
    <w:rsid w:val="000D1060"/>
    <w:rsid w:val="000D1551"/>
    <w:rsid w:val="000D1C54"/>
    <w:rsid w:val="000D1C72"/>
    <w:rsid w:val="000D1E84"/>
    <w:rsid w:val="000D239B"/>
    <w:rsid w:val="000D23F5"/>
    <w:rsid w:val="000D28BB"/>
    <w:rsid w:val="000D290A"/>
    <w:rsid w:val="000D318B"/>
    <w:rsid w:val="000D35FA"/>
    <w:rsid w:val="000D39B7"/>
    <w:rsid w:val="000D3ABE"/>
    <w:rsid w:val="000D3AFE"/>
    <w:rsid w:val="000D4BEC"/>
    <w:rsid w:val="000D52C2"/>
    <w:rsid w:val="000D5CC2"/>
    <w:rsid w:val="000D6C77"/>
    <w:rsid w:val="000D6FA5"/>
    <w:rsid w:val="000D7B58"/>
    <w:rsid w:val="000D7C7D"/>
    <w:rsid w:val="000D7D68"/>
    <w:rsid w:val="000E01F1"/>
    <w:rsid w:val="000E0563"/>
    <w:rsid w:val="000E0AF7"/>
    <w:rsid w:val="000E0B4C"/>
    <w:rsid w:val="000E0D6B"/>
    <w:rsid w:val="000E1620"/>
    <w:rsid w:val="000E1D95"/>
    <w:rsid w:val="000E1DD7"/>
    <w:rsid w:val="000E1EF3"/>
    <w:rsid w:val="000E2814"/>
    <w:rsid w:val="000E2EBF"/>
    <w:rsid w:val="000E3610"/>
    <w:rsid w:val="000E3799"/>
    <w:rsid w:val="000E45FA"/>
    <w:rsid w:val="000E4783"/>
    <w:rsid w:val="000E4E72"/>
    <w:rsid w:val="000E528C"/>
    <w:rsid w:val="000E6389"/>
    <w:rsid w:val="000E6F41"/>
    <w:rsid w:val="000E700E"/>
    <w:rsid w:val="000E7914"/>
    <w:rsid w:val="000E7996"/>
    <w:rsid w:val="000E7CA2"/>
    <w:rsid w:val="000F178C"/>
    <w:rsid w:val="000F18CC"/>
    <w:rsid w:val="000F19D8"/>
    <w:rsid w:val="000F1D47"/>
    <w:rsid w:val="000F1FEC"/>
    <w:rsid w:val="000F3073"/>
    <w:rsid w:val="000F3356"/>
    <w:rsid w:val="000F3682"/>
    <w:rsid w:val="000F4E95"/>
    <w:rsid w:val="000F58BD"/>
    <w:rsid w:val="000F5EC7"/>
    <w:rsid w:val="000F66AE"/>
    <w:rsid w:val="000F71D5"/>
    <w:rsid w:val="000F757A"/>
    <w:rsid w:val="000F7F8C"/>
    <w:rsid w:val="00100161"/>
    <w:rsid w:val="001002D7"/>
    <w:rsid w:val="00100DED"/>
    <w:rsid w:val="00100E52"/>
    <w:rsid w:val="001010BD"/>
    <w:rsid w:val="001020DF"/>
    <w:rsid w:val="001021A5"/>
    <w:rsid w:val="00102E1B"/>
    <w:rsid w:val="00102ED3"/>
    <w:rsid w:val="00102FF0"/>
    <w:rsid w:val="00104106"/>
    <w:rsid w:val="001043D6"/>
    <w:rsid w:val="00104826"/>
    <w:rsid w:val="001049CB"/>
    <w:rsid w:val="0010519B"/>
    <w:rsid w:val="001053EA"/>
    <w:rsid w:val="00105C19"/>
    <w:rsid w:val="00105CE9"/>
    <w:rsid w:val="00105EB7"/>
    <w:rsid w:val="00105EC1"/>
    <w:rsid w:val="00105ECC"/>
    <w:rsid w:val="00106089"/>
    <w:rsid w:val="0010685E"/>
    <w:rsid w:val="00106894"/>
    <w:rsid w:val="00106BC9"/>
    <w:rsid w:val="00107532"/>
    <w:rsid w:val="001076BE"/>
    <w:rsid w:val="00107A0A"/>
    <w:rsid w:val="001108AB"/>
    <w:rsid w:val="001108B5"/>
    <w:rsid w:val="00110B5B"/>
    <w:rsid w:val="00110C3F"/>
    <w:rsid w:val="00110C8D"/>
    <w:rsid w:val="0011114A"/>
    <w:rsid w:val="00111282"/>
    <w:rsid w:val="001113F7"/>
    <w:rsid w:val="001116F1"/>
    <w:rsid w:val="00111E4F"/>
    <w:rsid w:val="00112274"/>
    <w:rsid w:val="001127F6"/>
    <w:rsid w:val="00112916"/>
    <w:rsid w:val="00112DBB"/>
    <w:rsid w:val="00113186"/>
    <w:rsid w:val="00113C85"/>
    <w:rsid w:val="001156E1"/>
    <w:rsid w:val="0011575D"/>
    <w:rsid w:val="00115925"/>
    <w:rsid w:val="00115B21"/>
    <w:rsid w:val="00116433"/>
    <w:rsid w:val="0011655C"/>
    <w:rsid w:val="00116664"/>
    <w:rsid w:val="00117099"/>
    <w:rsid w:val="00117E3E"/>
    <w:rsid w:val="001209DF"/>
    <w:rsid w:val="00120DA5"/>
    <w:rsid w:val="00120E93"/>
    <w:rsid w:val="00121447"/>
    <w:rsid w:val="001217B7"/>
    <w:rsid w:val="001217DC"/>
    <w:rsid w:val="001218C8"/>
    <w:rsid w:val="00121D38"/>
    <w:rsid w:val="00121EC4"/>
    <w:rsid w:val="0012209B"/>
    <w:rsid w:val="001228A2"/>
    <w:rsid w:val="00123095"/>
    <w:rsid w:val="00123252"/>
    <w:rsid w:val="00123299"/>
    <w:rsid w:val="00124061"/>
    <w:rsid w:val="001248E7"/>
    <w:rsid w:val="00124FB5"/>
    <w:rsid w:val="0012508E"/>
    <w:rsid w:val="001250C7"/>
    <w:rsid w:val="001251F7"/>
    <w:rsid w:val="00125950"/>
    <w:rsid w:val="001270FA"/>
    <w:rsid w:val="00127253"/>
    <w:rsid w:val="00127CEE"/>
    <w:rsid w:val="00127CF9"/>
    <w:rsid w:val="00130161"/>
    <w:rsid w:val="001307EA"/>
    <w:rsid w:val="00131926"/>
    <w:rsid w:val="00131DEA"/>
    <w:rsid w:val="00131EBA"/>
    <w:rsid w:val="001322F7"/>
    <w:rsid w:val="00132975"/>
    <w:rsid w:val="00133065"/>
    <w:rsid w:val="00133BF7"/>
    <w:rsid w:val="00134481"/>
    <w:rsid w:val="0013497A"/>
    <w:rsid w:val="001351C5"/>
    <w:rsid w:val="0013527E"/>
    <w:rsid w:val="00136261"/>
    <w:rsid w:val="00136A7E"/>
    <w:rsid w:val="0013710B"/>
    <w:rsid w:val="00137284"/>
    <w:rsid w:val="001373A0"/>
    <w:rsid w:val="00137B42"/>
    <w:rsid w:val="00137B64"/>
    <w:rsid w:val="00137D30"/>
    <w:rsid w:val="001401FE"/>
    <w:rsid w:val="0014020D"/>
    <w:rsid w:val="0014029C"/>
    <w:rsid w:val="001405B6"/>
    <w:rsid w:val="001406E3"/>
    <w:rsid w:val="001413A0"/>
    <w:rsid w:val="0014193F"/>
    <w:rsid w:val="00141AA9"/>
    <w:rsid w:val="001423F9"/>
    <w:rsid w:val="00142A83"/>
    <w:rsid w:val="00142A8A"/>
    <w:rsid w:val="00143611"/>
    <w:rsid w:val="00143CEB"/>
    <w:rsid w:val="00144186"/>
    <w:rsid w:val="0014480E"/>
    <w:rsid w:val="00144AE1"/>
    <w:rsid w:val="00144AE5"/>
    <w:rsid w:val="00144E8F"/>
    <w:rsid w:val="00144F5E"/>
    <w:rsid w:val="001451AA"/>
    <w:rsid w:val="00145A66"/>
    <w:rsid w:val="00146562"/>
    <w:rsid w:val="00146E38"/>
    <w:rsid w:val="00146EAE"/>
    <w:rsid w:val="00147089"/>
    <w:rsid w:val="0014774E"/>
    <w:rsid w:val="001478F1"/>
    <w:rsid w:val="00147E96"/>
    <w:rsid w:val="00150B6E"/>
    <w:rsid w:val="0015230E"/>
    <w:rsid w:val="00152A3B"/>
    <w:rsid w:val="00153611"/>
    <w:rsid w:val="00153B80"/>
    <w:rsid w:val="00154374"/>
    <w:rsid w:val="0015443E"/>
    <w:rsid w:val="00154BEF"/>
    <w:rsid w:val="00154CE1"/>
    <w:rsid w:val="00154FE7"/>
    <w:rsid w:val="00155D3E"/>
    <w:rsid w:val="001564FD"/>
    <w:rsid w:val="001565F8"/>
    <w:rsid w:val="00156648"/>
    <w:rsid w:val="0015698A"/>
    <w:rsid w:val="00157A7C"/>
    <w:rsid w:val="00157ABE"/>
    <w:rsid w:val="00157E83"/>
    <w:rsid w:val="00157F37"/>
    <w:rsid w:val="0016031C"/>
    <w:rsid w:val="0016046F"/>
    <w:rsid w:val="001604EA"/>
    <w:rsid w:val="001613FD"/>
    <w:rsid w:val="001615E6"/>
    <w:rsid w:val="00161842"/>
    <w:rsid w:val="001618D9"/>
    <w:rsid w:val="00161ADC"/>
    <w:rsid w:val="00161C82"/>
    <w:rsid w:val="00161EC9"/>
    <w:rsid w:val="00161EE0"/>
    <w:rsid w:val="001620C6"/>
    <w:rsid w:val="00162B8C"/>
    <w:rsid w:val="00163867"/>
    <w:rsid w:val="0016413A"/>
    <w:rsid w:val="00164317"/>
    <w:rsid w:val="00164A40"/>
    <w:rsid w:val="00164D02"/>
    <w:rsid w:val="001650C1"/>
    <w:rsid w:val="00165437"/>
    <w:rsid w:val="001657C8"/>
    <w:rsid w:val="00165E25"/>
    <w:rsid w:val="001665EF"/>
    <w:rsid w:val="00166863"/>
    <w:rsid w:val="001669A3"/>
    <w:rsid w:val="00167275"/>
    <w:rsid w:val="001679AD"/>
    <w:rsid w:val="00167A80"/>
    <w:rsid w:val="001704A8"/>
    <w:rsid w:val="0017053D"/>
    <w:rsid w:val="001707E4"/>
    <w:rsid w:val="00170AAC"/>
    <w:rsid w:val="00171A58"/>
    <w:rsid w:val="00171AC5"/>
    <w:rsid w:val="00172C23"/>
    <w:rsid w:val="00172E3E"/>
    <w:rsid w:val="00174325"/>
    <w:rsid w:val="0017462D"/>
    <w:rsid w:val="00174B7B"/>
    <w:rsid w:val="00175807"/>
    <w:rsid w:val="00175AA3"/>
    <w:rsid w:val="00175E02"/>
    <w:rsid w:val="00176C70"/>
    <w:rsid w:val="001771F7"/>
    <w:rsid w:val="00177DF4"/>
    <w:rsid w:val="00180231"/>
    <w:rsid w:val="001803D2"/>
    <w:rsid w:val="001804BC"/>
    <w:rsid w:val="001804D2"/>
    <w:rsid w:val="00180E8B"/>
    <w:rsid w:val="0018222C"/>
    <w:rsid w:val="00183838"/>
    <w:rsid w:val="00183BB7"/>
    <w:rsid w:val="00183C4E"/>
    <w:rsid w:val="00183DD5"/>
    <w:rsid w:val="001843C2"/>
    <w:rsid w:val="001855E4"/>
    <w:rsid w:val="00186758"/>
    <w:rsid w:val="00186AF2"/>
    <w:rsid w:val="001873B7"/>
    <w:rsid w:val="00187BE1"/>
    <w:rsid w:val="001906C2"/>
    <w:rsid w:val="00190A56"/>
    <w:rsid w:val="00191F94"/>
    <w:rsid w:val="00192030"/>
    <w:rsid w:val="00192637"/>
    <w:rsid w:val="001928DF"/>
    <w:rsid w:val="00192CF6"/>
    <w:rsid w:val="00193697"/>
    <w:rsid w:val="00193D25"/>
    <w:rsid w:val="00193E71"/>
    <w:rsid w:val="00194EE7"/>
    <w:rsid w:val="00195396"/>
    <w:rsid w:val="00195969"/>
    <w:rsid w:val="00196483"/>
    <w:rsid w:val="0019659B"/>
    <w:rsid w:val="00196798"/>
    <w:rsid w:val="00196855"/>
    <w:rsid w:val="00196F9B"/>
    <w:rsid w:val="00197A3F"/>
    <w:rsid w:val="00197FE5"/>
    <w:rsid w:val="001A053D"/>
    <w:rsid w:val="001A0616"/>
    <w:rsid w:val="001A0A3B"/>
    <w:rsid w:val="001A199A"/>
    <w:rsid w:val="001A20E7"/>
    <w:rsid w:val="001A27F1"/>
    <w:rsid w:val="001A3EAD"/>
    <w:rsid w:val="001A3EDF"/>
    <w:rsid w:val="001A456C"/>
    <w:rsid w:val="001A485B"/>
    <w:rsid w:val="001A59FF"/>
    <w:rsid w:val="001A610E"/>
    <w:rsid w:val="001A700B"/>
    <w:rsid w:val="001A720D"/>
    <w:rsid w:val="001A788B"/>
    <w:rsid w:val="001A7956"/>
    <w:rsid w:val="001A7AD0"/>
    <w:rsid w:val="001B036C"/>
    <w:rsid w:val="001B037D"/>
    <w:rsid w:val="001B0558"/>
    <w:rsid w:val="001B0945"/>
    <w:rsid w:val="001B0A30"/>
    <w:rsid w:val="001B0C15"/>
    <w:rsid w:val="001B0F6E"/>
    <w:rsid w:val="001B1447"/>
    <w:rsid w:val="001B1540"/>
    <w:rsid w:val="001B1625"/>
    <w:rsid w:val="001B1639"/>
    <w:rsid w:val="001B17E5"/>
    <w:rsid w:val="001B2473"/>
    <w:rsid w:val="001B2B70"/>
    <w:rsid w:val="001B2DEB"/>
    <w:rsid w:val="001B2E4E"/>
    <w:rsid w:val="001B301C"/>
    <w:rsid w:val="001B3A44"/>
    <w:rsid w:val="001B3B98"/>
    <w:rsid w:val="001B5662"/>
    <w:rsid w:val="001B5E8F"/>
    <w:rsid w:val="001B6148"/>
    <w:rsid w:val="001B6235"/>
    <w:rsid w:val="001B6BCF"/>
    <w:rsid w:val="001B6C15"/>
    <w:rsid w:val="001B7032"/>
    <w:rsid w:val="001B73DE"/>
    <w:rsid w:val="001B785B"/>
    <w:rsid w:val="001B78C1"/>
    <w:rsid w:val="001B7DA0"/>
    <w:rsid w:val="001B7DA6"/>
    <w:rsid w:val="001B7FCC"/>
    <w:rsid w:val="001C00CA"/>
    <w:rsid w:val="001C0E2D"/>
    <w:rsid w:val="001C0F30"/>
    <w:rsid w:val="001C159F"/>
    <w:rsid w:val="001C1A10"/>
    <w:rsid w:val="001C1AB0"/>
    <w:rsid w:val="001C1C4D"/>
    <w:rsid w:val="001C1EAE"/>
    <w:rsid w:val="001C24C0"/>
    <w:rsid w:val="001C2927"/>
    <w:rsid w:val="001C2A27"/>
    <w:rsid w:val="001C2E5F"/>
    <w:rsid w:val="001C30DC"/>
    <w:rsid w:val="001C3118"/>
    <w:rsid w:val="001C3353"/>
    <w:rsid w:val="001C4092"/>
    <w:rsid w:val="001C42EC"/>
    <w:rsid w:val="001C4521"/>
    <w:rsid w:val="001C45B1"/>
    <w:rsid w:val="001C4E35"/>
    <w:rsid w:val="001C5325"/>
    <w:rsid w:val="001C53E4"/>
    <w:rsid w:val="001C5BF7"/>
    <w:rsid w:val="001C65CD"/>
    <w:rsid w:val="001C718F"/>
    <w:rsid w:val="001C7546"/>
    <w:rsid w:val="001C7652"/>
    <w:rsid w:val="001C77A2"/>
    <w:rsid w:val="001D01FC"/>
    <w:rsid w:val="001D02BB"/>
    <w:rsid w:val="001D0451"/>
    <w:rsid w:val="001D0519"/>
    <w:rsid w:val="001D0CA1"/>
    <w:rsid w:val="001D14FD"/>
    <w:rsid w:val="001D217A"/>
    <w:rsid w:val="001D21DA"/>
    <w:rsid w:val="001D236E"/>
    <w:rsid w:val="001D3626"/>
    <w:rsid w:val="001D39AD"/>
    <w:rsid w:val="001D3C3B"/>
    <w:rsid w:val="001D43F9"/>
    <w:rsid w:val="001D51A7"/>
    <w:rsid w:val="001D5A3C"/>
    <w:rsid w:val="001D644D"/>
    <w:rsid w:val="001D71E5"/>
    <w:rsid w:val="001D767F"/>
    <w:rsid w:val="001D7891"/>
    <w:rsid w:val="001D7E60"/>
    <w:rsid w:val="001E01C3"/>
    <w:rsid w:val="001E02AC"/>
    <w:rsid w:val="001E1444"/>
    <w:rsid w:val="001E1D2D"/>
    <w:rsid w:val="001E2205"/>
    <w:rsid w:val="001E2341"/>
    <w:rsid w:val="001E2845"/>
    <w:rsid w:val="001E2C4C"/>
    <w:rsid w:val="001E2E55"/>
    <w:rsid w:val="001E39A8"/>
    <w:rsid w:val="001E4060"/>
    <w:rsid w:val="001E42EB"/>
    <w:rsid w:val="001E4A60"/>
    <w:rsid w:val="001E4B42"/>
    <w:rsid w:val="001E502E"/>
    <w:rsid w:val="001E592A"/>
    <w:rsid w:val="001E5BA1"/>
    <w:rsid w:val="001E6399"/>
    <w:rsid w:val="001E6CE6"/>
    <w:rsid w:val="001E6E3D"/>
    <w:rsid w:val="001E6E46"/>
    <w:rsid w:val="001E6F38"/>
    <w:rsid w:val="001F023E"/>
    <w:rsid w:val="001F06BA"/>
    <w:rsid w:val="001F0757"/>
    <w:rsid w:val="001F0C82"/>
    <w:rsid w:val="001F10C6"/>
    <w:rsid w:val="001F12BC"/>
    <w:rsid w:val="001F1F91"/>
    <w:rsid w:val="001F22F2"/>
    <w:rsid w:val="001F2524"/>
    <w:rsid w:val="001F2999"/>
    <w:rsid w:val="001F2D33"/>
    <w:rsid w:val="001F33EB"/>
    <w:rsid w:val="001F3A1E"/>
    <w:rsid w:val="001F41DC"/>
    <w:rsid w:val="001F47E4"/>
    <w:rsid w:val="001F4B5C"/>
    <w:rsid w:val="001F4C34"/>
    <w:rsid w:val="001F50A2"/>
    <w:rsid w:val="001F5171"/>
    <w:rsid w:val="001F5814"/>
    <w:rsid w:val="001F58F3"/>
    <w:rsid w:val="001F5EB2"/>
    <w:rsid w:val="001F5F65"/>
    <w:rsid w:val="001F68EC"/>
    <w:rsid w:val="001F7223"/>
    <w:rsid w:val="00200858"/>
    <w:rsid w:val="00201660"/>
    <w:rsid w:val="00201FC7"/>
    <w:rsid w:val="00202161"/>
    <w:rsid w:val="002023EB"/>
    <w:rsid w:val="0020470D"/>
    <w:rsid w:val="002048BE"/>
    <w:rsid w:val="00204AA0"/>
    <w:rsid w:val="0020504C"/>
    <w:rsid w:val="00205092"/>
    <w:rsid w:val="00205C39"/>
    <w:rsid w:val="00205EC3"/>
    <w:rsid w:val="00205F30"/>
    <w:rsid w:val="00206366"/>
    <w:rsid w:val="00206ED0"/>
    <w:rsid w:val="0020762F"/>
    <w:rsid w:val="00210210"/>
    <w:rsid w:val="0021134C"/>
    <w:rsid w:val="002119C2"/>
    <w:rsid w:val="002122D5"/>
    <w:rsid w:val="00212B32"/>
    <w:rsid w:val="00212B80"/>
    <w:rsid w:val="002130C7"/>
    <w:rsid w:val="002131B6"/>
    <w:rsid w:val="0021326F"/>
    <w:rsid w:val="002145F4"/>
    <w:rsid w:val="00215854"/>
    <w:rsid w:val="002159E5"/>
    <w:rsid w:val="00215D38"/>
    <w:rsid w:val="00215DBE"/>
    <w:rsid w:val="00216D70"/>
    <w:rsid w:val="00216DF9"/>
    <w:rsid w:val="002171C7"/>
    <w:rsid w:val="00217816"/>
    <w:rsid w:val="00217E8F"/>
    <w:rsid w:val="00220734"/>
    <w:rsid w:val="00220868"/>
    <w:rsid w:val="002210E9"/>
    <w:rsid w:val="002214C5"/>
    <w:rsid w:val="00221B1F"/>
    <w:rsid w:val="00222788"/>
    <w:rsid w:val="00223721"/>
    <w:rsid w:val="00223A99"/>
    <w:rsid w:val="00223EB9"/>
    <w:rsid w:val="00224D6D"/>
    <w:rsid w:val="002251E0"/>
    <w:rsid w:val="00225B19"/>
    <w:rsid w:val="00226193"/>
    <w:rsid w:val="00230268"/>
    <w:rsid w:val="0023041F"/>
    <w:rsid w:val="00230512"/>
    <w:rsid w:val="0023084E"/>
    <w:rsid w:val="00230D67"/>
    <w:rsid w:val="00232052"/>
    <w:rsid w:val="00232430"/>
    <w:rsid w:val="002348BA"/>
    <w:rsid w:val="00235C32"/>
    <w:rsid w:val="00235FB6"/>
    <w:rsid w:val="002362A0"/>
    <w:rsid w:val="002366D3"/>
    <w:rsid w:val="002368CE"/>
    <w:rsid w:val="00236FBC"/>
    <w:rsid w:val="00237851"/>
    <w:rsid w:val="00237860"/>
    <w:rsid w:val="00240091"/>
    <w:rsid w:val="002417E9"/>
    <w:rsid w:val="0024189B"/>
    <w:rsid w:val="00241956"/>
    <w:rsid w:val="00241E15"/>
    <w:rsid w:val="00242A12"/>
    <w:rsid w:val="00242B9B"/>
    <w:rsid w:val="00242C03"/>
    <w:rsid w:val="00243279"/>
    <w:rsid w:val="00243BB6"/>
    <w:rsid w:val="00244061"/>
    <w:rsid w:val="00244ABB"/>
    <w:rsid w:val="00244ECC"/>
    <w:rsid w:val="00245317"/>
    <w:rsid w:val="0024550E"/>
    <w:rsid w:val="00245992"/>
    <w:rsid w:val="00245F99"/>
    <w:rsid w:val="002463D8"/>
    <w:rsid w:val="00246AFD"/>
    <w:rsid w:val="002473BF"/>
    <w:rsid w:val="002475A5"/>
    <w:rsid w:val="00250A15"/>
    <w:rsid w:val="002510CD"/>
    <w:rsid w:val="00251874"/>
    <w:rsid w:val="00251B2A"/>
    <w:rsid w:val="00251E58"/>
    <w:rsid w:val="00251FFE"/>
    <w:rsid w:val="00252522"/>
    <w:rsid w:val="00253609"/>
    <w:rsid w:val="00253660"/>
    <w:rsid w:val="0025386C"/>
    <w:rsid w:val="00253C9C"/>
    <w:rsid w:val="002549C5"/>
    <w:rsid w:val="00254ADD"/>
    <w:rsid w:val="00254AEF"/>
    <w:rsid w:val="00255DA1"/>
    <w:rsid w:val="002563A8"/>
    <w:rsid w:val="00256710"/>
    <w:rsid w:val="00256993"/>
    <w:rsid w:val="002569A7"/>
    <w:rsid w:val="00257710"/>
    <w:rsid w:val="0025774B"/>
    <w:rsid w:val="00257781"/>
    <w:rsid w:val="00257ED9"/>
    <w:rsid w:val="00257FA6"/>
    <w:rsid w:val="0026092F"/>
    <w:rsid w:val="002617E3"/>
    <w:rsid w:val="00261EC7"/>
    <w:rsid w:val="002620F8"/>
    <w:rsid w:val="00262591"/>
    <w:rsid w:val="00263399"/>
    <w:rsid w:val="002636A8"/>
    <w:rsid w:val="002637B8"/>
    <w:rsid w:val="00263E55"/>
    <w:rsid w:val="00264FB4"/>
    <w:rsid w:val="002656F8"/>
    <w:rsid w:val="002658E8"/>
    <w:rsid w:val="002663BC"/>
    <w:rsid w:val="002666C6"/>
    <w:rsid w:val="0026775E"/>
    <w:rsid w:val="0026777E"/>
    <w:rsid w:val="00267914"/>
    <w:rsid w:val="002708CE"/>
    <w:rsid w:val="00271415"/>
    <w:rsid w:val="002717D9"/>
    <w:rsid w:val="00271817"/>
    <w:rsid w:val="00272A4A"/>
    <w:rsid w:val="00272BA8"/>
    <w:rsid w:val="00272D7D"/>
    <w:rsid w:val="00272D8A"/>
    <w:rsid w:val="00272FD4"/>
    <w:rsid w:val="00273017"/>
    <w:rsid w:val="00273763"/>
    <w:rsid w:val="00273A71"/>
    <w:rsid w:val="00273F8D"/>
    <w:rsid w:val="00274537"/>
    <w:rsid w:val="00274B97"/>
    <w:rsid w:val="00274CDE"/>
    <w:rsid w:val="002753DF"/>
    <w:rsid w:val="0027589F"/>
    <w:rsid w:val="00275D8A"/>
    <w:rsid w:val="00275E98"/>
    <w:rsid w:val="00276295"/>
    <w:rsid w:val="00276CC0"/>
    <w:rsid w:val="00276EA8"/>
    <w:rsid w:val="00277F82"/>
    <w:rsid w:val="002805E6"/>
    <w:rsid w:val="00281279"/>
    <w:rsid w:val="0028223B"/>
    <w:rsid w:val="002822D2"/>
    <w:rsid w:val="002823A4"/>
    <w:rsid w:val="00282589"/>
    <w:rsid w:val="00283406"/>
    <w:rsid w:val="00283511"/>
    <w:rsid w:val="002836B3"/>
    <w:rsid w:val="00283D48"/>
    <w:rsid w:val="00283D94"/>
    <w:rsid w:val="00283E63"/>
    <w:rsid w:val="00284A68"/>
    <w:rsid w:val="00284DA6"/>
    <w:rsid w:val="0028513D"/>
    <w:rsid w:val="0028597E"/>
    <w:rsid w:val="002863B4"/>
    <w:rsid w:val="002865B5"/>
    <w:rsid w:val="00286E83"/>
    <w:rsid w:val="00290651"/>
    <w:rsid w:val="00290788"/>
    <w:rsid w:val="0029087F"/>
    <w:rsid w:val="00290B8F"/>
    <w:rsid w:val="0029164B"/>
    <w:rsid w:val="00291F59"/>
    <w:rsid w:val="00292538"/>
    <w:rsid w:val="00292C14"/>
    <w:rsid w:val="00292CDE"/>
    <w:rsid w:val="00292E8D"/>
    <w:rsid w:val="00293391"/>
    <w:rsid w:val="00293932"/>
    <w:rsid w:val="00293A10"/>
    <w:rsid w:val="00293EF2"/>
    <w:rsid w:val="00293FB0"/>
    <w:rsid w:val="0029453B"/>
    <w:rsid w:val="002946FE"/>
    <w:rsid w:val="00294DDB"/>
    <w:rsid w:val="00295199"/>
    <w:rsid w:val="00295467"/>
    <w:rsid w:val="00295660"/>
    <w:rsid w:val="00295A0F"/>
    <w:rsid w:val="00296157"/>
    <w:rsid w:val="00296BC7"/>
    <w:rsid w:val="00297091"/>
    <w:rsid w:val="002974C9"/>
    <w:rsid w:val="002A007C"/>
    <w:rsid w:val="002A017D"/>
    <w:rsid w:val="002A075E"/>
    <w:rsid w:val="002A0C65"/>
    <w:rsid w:val="002A0C6F"/>
    <w:rsid w:val="002A0FCE"/>
    <w:rsid w:val="002A1456"/>
    <w:rsid w:val="002A16EA"/>
    <w:rsid w:val="002A17E0"/>
    <w:rsid w:val="002A1A36"/>
    <w:rsid w:val="002A1E64"/>
    <w:rsid w:val="002A216F"/>
    <w:rsid w:val="002A2690"/>
    <w:rsid w:val="002A281A"/>
    <w:rsid w:val="002A2A7B"/>
    <w:rsid w:val="002A32D1"/>
    <w:rsid w:val="002A35C8"/>
    <w:rsid w:val="002A3A17"/>
    <w:rsid w:val="002A3ABE"/>
    <w:rsid w:val="002A3C78"/>
    <w:rsid w:val="002A4AF7"/>
    <w:rsid w:val="002A4F2D"/>
    <w:rsid w:val="002A5196"/>
    <w:rsid w:val="002A53F3"/>
    <w:rsid w:val="002A5418"/>
    <w:rsid w:val="002A5574"/>
    <w:rsid w:val="002A5A11"/>
    <w:rsid w:val="002A625D"/>
    <w:rsid w:val="002A6F62"/>
    <w:rsid w:val="002A77C5"/>
    <w:rsid w:val="002A7D28"/>
    <w:rsid w:val="002A7D3B"/>
    <w:rsid w:val="002B09E9"/>
    <w:rsid w:val="002B0D32"/>
    <w:rsid w:val="002B1225"/>
    <w:rsid w:val="002B137C"/>
    <w:rsid w:val="002B168B"/>
    <w:rsid w:val="002B2164"/>
    <w:rsid w:val="002B2483"/>
    <w:rsid w:val="002B2B35"/>
    <w:rsid w:val="002B3008"/>
    <w:rsid w:val="002B3323"/>
    <w:rsid w:val="002B3651"/>
    <w:rsid w:val="002B37E8"/>
    <w:rsid w:val="002B3B47"/>
    <w:rsid w:val="002B3B71"/>
    <w:rsid w:val="002B3D2E"/>
    <w:rsid w:val="002B3F3E"/>
    <w:rsid w:val="002B4AA2"/>
    <w:rsid w:val="002B50F8"/>
    <w:rsid w:val="002B5414"/>
    <w:rsid w:val="002B5608"/>
    <w:rsid w:val="002B59A9"/>
    <w:rsid w:val="002B5F89"/>
    <w:rsid w:val="002B6789"/>
    <w:rsid w:val="002B6E85"/>
    <w:rsid w:val="002C07C1"/>
    <w:rsid w:val="002C0B41"/>
    <w:rsid w:val="002C0DE0"/>
    <w:rsid w:val="002C12E7"/>
    <w:rsid w:val="002C1323"/>
    <w:rsid w:val="002C1970"/>
    <w:rsid w:val="002C1A29"/>
    <w:rsid w:val="002C1BBE"/>
    <w:rsid w:val="002C3D05"/>
    <w:rsid w:val="002C4378"/>
    <w:rsid w:val="002C451A"/>
    <w:rsid w:val="002C4578"/>
    <w:rsid w:val="002C4B86"/>
    <w:rsid w:val="002C4C7F"/>
    <w:rsid w:val="002C5270"/>
    <w:rsid w:val="002C567C"/>
    <w:rsid w:val="002C688F"/>
    <w:rsid w:val="002C6955"/>
    <w:rsid w:val="002C6DBC"/>
    <w:rsid w:val="002C7172"/>
    <w:rsid w:val="002C7931"/>
    <w:rsid w:val="002C79DB"/>
    <w:rsid w:val="002D0722"/>
    <w:rsid w:val="002D0DB3"/>
    <w:rsid w:val="002D0F82"/>
    <w:rsid w:val="002D1910"/>
    <w:rsid w:val="002D191F"/>
    <w:rsid w:val="002D1F7F"/>
    <w:rsid w:val="002D22EE"/>
    <w:rsid w:val="002D284F"/>
    <w:rsid w:val="002D298E"/>
    <w:rsid w:val="002D2A1C"/>
    <w:rsid w:val="002D2E96"/>
    <w:rsid w:val="002D40F4"/>
    <w:rsid w:val="002D4546"/>
    <w:rsid w:val="002D4DD2"/>
    <w:rsid w:val="002D5D38"/>
    <w:rsid w:val="002D5E44"/>
    <w:rsid w:val="002D6ADF"/>
    <w:rsid w:val="002D735F"/>
    <w:rsid w:val="002D77FE"/>
    <w:rsid w:val="002D7CCC"/>
    <w:rsid w:val="002D7CE9"/>
    <w:rsid w:val="002E00E0"/>
    <w:rsid w:val="002E0461"/>
    <w:rsid w:val="002E05C5"/>
    <w:rsid w:val="002E10D3"/>
    <w:rsid w:val="002E10E4"/>
    <w:rsid w:val="002E11B1"/>
    <w:rsid w:val="002E1B0B"/>
    <w:rsid w:val="002E2458"/>
    <w:rsid w:val="002E25E5"/>
    <w:rsid w:val="002E2A74"/>
    <w:rsid w:val="002E2BE2"/>
    <w:rsid w:val="002E32CB"/>
    <w:rsid w:val="002E34CD"/>
    <w:rsid w:val="002E38AA"/>
    <w:rsid w:val="002E482B"/>
    <w:rsid w:val="002E4B13"/>
    <w:rsid w:val="002E51EF"/>
    <w:rsid w:val="002E5649"/>
    <w:rsid w:val="002E5940"/>
    <w:rsid w:val="002E598B"/>
    <w:rsid w:val="002E5E84"/>
    <w:rsid w:val="002E622F"/>
    <w:rsid w:val="002E625A"/>
    <w:rsid w:val="002E6523"/>
    <w:rsid w:val="002E6FBA"/>
    <w:rsid w:val="002E7829"/>
    <w:rsid w:val="002E7C3D"/>
    <w:rsid w:val="002E7DC5"/>
    <w:rsid w:val="002F08D4"/>
    <w:rsid w:val="002F0CC3"/>
    <w:rsid w:val="002F197A"/>
    <w:rsid w:val="002F1C99"/>
    <w:rsid w:val="002F1F3C"/>
    <w:rsid w:val="002F24B2"/>
    <w:rsid w:val="002F2E7F"/>
    <w:rsid w:val="002F30F0"/>
    <w:rsid w:val="002F3A62"/>
    <w:rsid w:val="002F4241"/>
    <w:rsid w:val="002F4287"/>
    <w:rsid w:val="002F4D06"/>
    <w:rsid w:val="002F53C7"/>
    <w:rsid w:val="002F543F"/>
    <w:rsid w:val="002F572E"/>
    <w:rsid w:val="002F5B40"/>
    <w:rsid w:val="002F5EB0"/>
    <w:rsid w:val="002F6A6E"/>
    <w:rsid w:val="002F6ADF"/>
    <w:rsid w:val="002F6CDE"/>
    <w:rsid w:val="0030022C"/>
    <w:rsid w:val="00300580"/>
    <w:rsid w:val="00300940"/>
    <w:rsid w:val="00301016"/>
    <w:rsid w:val="00301081"/>
    <w:rsid w:val="00301326"/>
    <w:rsid w:val="0030167A"/>
    <w:rsid w:val="003017BE"/>
    <w:rsid w:val="003020CC"/>
    <w:rsid w:val="003025E6"/>
    <w:rsid w:val="00302E5C"/>
    <w:rsid w:val="0030338E"/>
    <w:rsid w:val="00303559"/>
    <w:rsid w:val="00303674"/>
    <w:rsid w:val="00303848"/>
    <w:rsid w:val="00303A39"/>
    <w:rsid w:val="00303B94"/>
    <w:rsid w:val="00303D9A"/>
    <w:rsid w:val="00303E44"/>
    <w:rsid w:val="003041C7"/>
    <w:rsid w:val="00304A1E"/>
    <w:rsid w:val="0030501C"/>
    <w:rsid w:val="00305AFE"/>
    <w:rsid w:val="00305FB2"/>
    <w:rsid w:val="00306586"/>
    <w:rsid w:val="00306777"/>
    <w:rsid w:val="003068A9"/>
    <w:rsid w:val="00306BB7"/>
    <w:rsid w:val="003071B0"/>
    <w:rsid w:val="0030733E"/>
    <w:rsid w:val="00307D1D"/>
    <w:rsid w:val="00310669"/>
    <w:rsid w:val="00310D5E"/>
    <w:rsid w:val="003116CB"/>
    <w:rsid w:val="0031195C"/>
    <w:rsid w:val="00312241"/>
    <w:rsid w:val="003123E3"/>
    <w:rsid w:val="0031291F"/>
    <w:rsid w:val="00312B3A"/>
    <w:rsid w:val="00312E81"/>
    <w:rsid w:val="00314C9A"/>
    <w:rsid w:val="00314E75"/>
    <w:rsid w:val="00315321"/>
    <w:rsid w:val="0031582A"/>
    <w:rsid w:val="0031616E"/>
    <w:rsid w:val="003169EE"/>
    <w:rsid w:val="00316C98"/>
    <w:rsid w:val="003179ED"/>
    <w:rsid w:val="00317CAD"/>
    <w:rsid w:val="003205BD"/>
    <w:rsid w:val="00320F78"/>
    <w:rsid w:val="00321103"/>
    <w:rsid w:val="0032117F"/>
    <w:rsid w:val="003218BB"/>
    <w:rsid w:val="00322F7A"/>
    <w:rsid w:val="00323586"/>
    <w:rsid w:val="00323A9E"/>
    <w:rsid w:val="003240A4"/>
    <w:rsid w:val="0032418F"/>
    <w:rsid w:val="00324D61"/>
    <w:rsid w:val="00324F5F"/>
    <w:rsid w:val="00325242"/>
    <w:rsid w:val="003253F2"/>
    <w:rsid w:val="003266EC"/>
    <w:rsid w:val="00326B65"/>
    <w:rsid w:val="003273DB"/>
    <w:rsid w:val="00327F6F"/>
    <w:rsid w:val="00330D51"/>
    <w:rsid w:val="00331AFE"/>
    <w:rsid w:val="00331C7F"/>
    <w:rsid w:val="00333069"/>
    <w:rsid w:val="00333DB1"/>
    <w:rsid w:val="0033429B"/>
    <w:rsid w:val="00335D57"/>
    <w:rsid w:val="003371AD"/>
    <w:rsid w:val="003376E1"/>
    <w:rsid w:val="00337818"/>
    <w:rsid w:val="0034099F"/>
    <w:rsid w:val="00340AFF"/>
    <w:rsid w:val="00340CD8"/>
    <w:rsid w:val="00340E40"/>
    <w:rsid w:val="00340EAD"/>
    <w:rsid w:val="00341D9A"/>
    <w:rsid w:val="003423AC"/>
    <w:rsid w:val="0034279E"/>
    <w:rsid w:val="00342B7A"/>
    <w:rsid w:val="003433F4"/>
    <w:rsid w:val="00343927"/>
    <w:rsid w:val="00343B7A"/>
    <w:rsid w:val="00344270"/>
    <w:rsid w:val="0034444E"/>
    <w:rsid w:val="003444E5"/>
    <w:rsid w:val="00344D4E"/>
    <w:rsid w:val="00345C44"/>
    <w:rsid w:val="00346EDB"/>
    <w:rsid w:val="003477A4"/>
    <w:rsid w:val="00347A03"/>
    <w:rsid w:val="00347A47"/>
    <w:rsid w:val="0035034E"/>
    <w:rsid w:val="00350476"/>
    <w:rsid w:val="0035057D"/>
    <w:rsid w:val="003505E9"/>
    <w:rsid w:val="00350EAC"/>
    <w:rsid w:val="00351284"/>
    <w:rsid w:val="00351BDE"/>
    <w:rsid w:val="00351BE8"/>
    <w:rsid w:val="00351D20"/>
    <w:rsid w:val="00352214"/>
    <w:rsid w:val="00352459"/>
    <w:rsid w:val="00352DC1"/>
    <w:rsid w:val="00354030"/>
    <w:rsid w:val="003546A3"/>
    <w:rsid w:val="0035476D"/>
    <w:rsid w:val="003549C5"/>
    <w:rsid w:val="0035595C"/>
    <w:rsid w:val="00357890"/>
    <w:rsid w:val="00357CCA"/>
    <w:rsid w:val="003605DF"/>
    <w:rsid w:val="0036098F"/>
    <w:rsid w:val="00360AE9"/>
    <w:rsid w:val="00360D7E"/>
    <w:rsid w:val="003610B0"/>
    <w:rsid w:val="00361B30"/>
    <w:rsid w:val="00361BB3"/>
    <w:rsid w:val="00361C16"/>
    <w:rsid w:val="00361DCA"/>
    <w:rsid w:val="00361F2A"/>
    <w:rsid w:val="00362D39"/>
    <w:rsid w:val="00363503"/>
    <w:rsid w:val="003635AC"/>
    <w:rsid w:val="00363ED9"/>
    <w:rsid w:val="003640B8"/>
    <w:rsid w:val="0036496A"/>
    <w:rsid w:val="00365F36"/>
    <w:rsid w:val="00366514"/>
    <w:rsid w:val="00366686"/>
    <w:rsid w:val="0036758E"/>
    <w:rsid w:val="00367B28"/>
    <w:rsid w:val="00370091"/>
    <w:rsid w:val="003702E1"/>
    <w:rsid w:val="00370373"/>
    <w:rsid w:val="00370D16"/>
    <w:rsid w:val="003710C8"/>
    <w:rsid w:val="0037175E"/>
    <w:rsid w:val="00371AF8"/>
    <w:rsid w:val="00372696"/>
    <w:rsid w:val="00372FF5"/>
    <w:rsid w:val="00373479"/>
    <w:rsid w:val="00373FAB"/>
    <w:rsid w:val="003743B1"/>
    <w:rsid w:val="003744CD"/>
    <w:rsid w:val="003744F4"/>
    <w:rsid w:val="0037518C"/>
    <w:rsid w:val="0037521A"/>
    <w:rsid w:val="0037560C"/>
    <w:rsid w:val="00376071"/>
    <w:rsid w:val="0037676E"/>
    <w:rsid w:val="00376806"/>
    <w:rsid w:val="003768F4"/>
    <w:rsid w:val="00376906"/>
    <w:rsid w:val="00376999"/>
    <w:rsid w:val="00376B21"/>
    <w:rsid w:val="00376DC0"/>
    <w:rsid w:val="00376EB3"/>
    <w:rsid w:val="00376EDA"/>
    <w:rsid w:val="00377A33"/>
    <w:rsid w:val="00377D16"/>
    <w:rsid w:val="00380551"/>
    <w:rsid w:val="0038138F"/>
    <w:rsid w:val="00381C40"/>
    <w:rsid w:val="00381C64"/>
    <w:rsid w:val="0038208B"/>
    <w:rsid w:val="0038233A"/>
    <w:rsid w:val="003825DA"/>
    <w:rsid w:val="00382994"/>
    <w:rsid w:val="00383099"/>
    <w:rsid w:val="00383AF8"/>
    <w:rsid w:val="00383C5B"/>
    <w:rsid w:val="00383E99"/>
    <w:rsid w:val="00383FDD"/>
    <w:rsid w:val="00384454"/>
    <w:rsid w:val="00384F36"/>
    <w:rsid w:val="00385A34"/>
    <w:rsid w:val="00386440"/>
    <w:rsid w:val="00386476"/>
    <w:rsid w:val="00386A0D"/>
    <w:rsid w:val="00386AEB"/>
    <w:rsid w:val="003871E1"/>
    <w:rsid w:val="00387D8A"/>
    <w:rsid w:val="00390A69"/>
    <w:rsid w:val="00390E0D"/>
    <w:rsid w:val="00391B47"/>
    <w:rsid w:val="00391D84"/>
    <w:rsid w:val="00391EFF"/>
    <w:rsid w:val="00392A13"/>
    <w:rsid w:val="00393127"/>
    <w:rsid w:val="00393889"/>
    <w:rsid w:val="00394183"/>
    <w:rsid w:val="003942D7"/>
    <w:rsid w:val="00394CAA"/>
    <w:rsid w:val="003959D2"/>
    <w:rsid w:val="00397010"/>
    <w:rsid w:val="0039716A"/>
    <w:rsid w:val="003A073D"/>
    <w:rsid w:val="003A07C2"/>
    <w:rsid w:val="003A0D75"/>
    <w:rsid w:val="003A2079"/>
    <w:rsid w:val="003A261F"/>
    <w:rsid w:val="003A2C8A"/>
    <w:rsid w:val="003A2DDC"/>
    <w:rsid w:val="003A3BE9"/>
    <w:rsid w:val="003A3D83"/>
    <w:rsid w:val="003A4109"/>
    <w:rsid w:val="003A5734"/>
    <w:rsid w:val="003A5F6D"/>
    <w:rsid w:val="003A6B60"/>
    <w:rsid w:val="003A6C53"/>
    <w:rsid w:val="003A7292"/>
    <w:rsid w:val="003A7B58"/>
    <w:rsid w:val="003B0097"/>
    <w:rsid w:val="003B14D7"/>
    <w:rsid w:val="003B1558"/>
    <w:rsid w:val="003B1925"/>
    <w:rsid w:val="003B196E"/>
    <w:rsid w:val="003B19CF"/>
    <w:rsid w:val="003B27AF"/>
    <w:rsid w:val="003B2BFE"/>
    <w:rsid w:val="003B2DAF"/>
    <w:rsid w:val="003B3A61"/>
    <w:rsid w:val="003B3A8F"/>
    <w:rsid w:val="003B3AAF"/>
    <w:rsid w:val="003B4815"/>
    <w:rsid w:val="003B4973"/>
    <w:rsid w:val="003B4BB8"/>
    <w:rsid w:val="003B4F06"/>
    <w:rsid w:val="003B61AC"/>
    <w:rsid w:val="003B65CB"/>
    <w:rsid w:val="003B66C4"/>
    <w:rsid w:val="003B6DBF"/>
    <w:rsid w:val="003B7656"/>
    <w:rsid w:val="003B7FBA"/>
    <w:rsid w:val="003C0312"/>
    <w:rsid w:val="003C0CF7"/>
    <w:rsid w:val="003C141C"/>
    <w:rsid w:val="003C1CCD"/>
    <w:rsid w:val="003C20AE"/>
    <w:rsid w:val="003C22AB"/>
    <w:rsid w:val="003C28DD"/>
    <w:rsid w:val="003C29C9"/>
    <w:rsid w:val="003C36FA"/>
    <w:rsid w:val="003C59AC"/>
    <w:rsid w:val="003C6279"/>
    <w:rsid w:val="003C6EDE"/>
    <w:rsid w:val="003C74E2"/>
    <w:rsid w:val="003C7C0D"/>
    <w:rsid w:val="003D0467"/>
    <w:rsid w:val="003D0A6F"/>
    <w:rsid w:val="003D0B65"/>
    <w:rsid w:val="003D0E02"/>
    <w:rsid w:val="003D1245"/>
    <w:rsid w:val="003D125A"/>
    <w:rsid w:val="003D1534"/>
    <w:rsid w:val="003D312F"/>
    <w:rsid w:val="003D358E"/>
    <w:rsid w:val="003D3B2F"/>
    <w:rsid w:val="003D3B76"/>
    <w:rsid w:val="003D46AE"/>
    <w:rsid w:val="003D48C5"/>
    <w:rsid w:val="003D48E6"/>
    <w:rsid w:val="003D490A"/>
    <w:rsid w:val="003D4A52"/>
    <w:rsid w:val="003D4D12"/>
    <w:rsid w:val="003E0DA6"/>
    <w:rsid w:val="003E22B7"/>
    <w:rsid w:val="003E2C10"/>
    <w:rsid w:val="003E2EEC"/>
    <w:rsid w:val="003E3751"/>
    <w:rsid w:val="003E3CDD"/>
    <w:rsid w:val="003E4652"/>
    <w:rsid w:val="003E52A7"/>
    <w:rsid w:val="003E5A82"/>
    <w:rsid w:val="003E5BDE"/>
    <w:rsid w:val="003E5F0E"/>
    <w:rsid w:val="003E6176"/>
    <w:rsid w:val="003E6516"/>
    <w:rsid w:val="003E6695"/>
    <w:rsid w:val="003E7511"/>
    <w:rsid w:val="003E7B3A"/>
    <w:rsid w:val="003F0075"/>
    <w:rsid w:val="003F03CC"/>
    <w:rsid w:val="003F185C"/>
    <w:rsid w:val="003F1BBF"/>
    <w:rsid w:val="003F1E52"/>
    <w:rsid w:val="003F23A3"/>
    <w:rsid w:val="003F271F"/>
    <w:rsid w:val="003F319B"/>
    <w:rsid w:val="003F32A3"/>
    <w:rsid w:val="003F40AF"/>
    <w:rsid w:val="003F4590"/>
    <w:rsid w:val="003F4F57"/>
    <w:rsid w:val="003F5478"/>
    <w:rsid w:val="003F5492"/>
    <w:rsid w:val="003F5931"/>
    <w:rsid w:val="003F638B"/>
    <w:rsid w:val="003F6723"/>
    <w:rsid w:val="003F67B2"/>
    <w:rsid w:val="003F6B5B"/>
    <w:rsid w:val="003F6F6F"/>
    <w:rsid w:val="003F7411"/>
    <w:rsid w:val="003F7C1E"/>
    <w:rsid w:val="0040028C"/>
    <w:rsid w:val="00400407"/>
    <w:rsid w:val="00400C04"/>
    <w:rsid w:val="00401072"/>
    <w:rsid w:val="00401EDD"/>
    <w:rsid w:val="004021AD"/>
    <w:rsid w:val="00402611"/>
    <w:rsid w:val="00402D06"/>
    <w:rsid w:val="0040352F"/>
    <w:rsid w:val="004038F9"/>
    <w:rsid w:val="00404221"/>
    <w:rsid w:val="0040568D"/>
    <w:rsid w:val="00406823"/>
    <w:rsid w:val="00406C7C"/>
    <w:rsid w:val="004078F9"/>
    <w:rsid w:val="004118B5"/>
    <w:rsid w:val="00412A15"/>
    <w:rsid w:val="004133BD"/>
    <w:rsid w:val="0041351B"/>
    <w:rsid w:val="004137E7"/>
    <w:rsid w:val="004138A7"/>
    <w:rsid w:val="00413995"/>
    <w:rsid w:val="00413A2B"/>
    <w:rsid w:val="0041441A"/>
    <w:rsid w:val="00414672"/>
    <w:rsid w:val="0041476D"/>
    <w:rsid w:val="00415216"/>
    <w:rsid w:val="004152E7"/>
    <w:rsid w:val="004156A0"/>
    <w:rsid w:val="00415969"/>
    <w:rsid w:val="00415B88"/>
    <w:rsid w:val="00415E0A"/>
    <w:rsid w:val="00416224"/>
    <w:rsid w:val="00416479"/>
    <w:rsid w:val="0041677D"/>
    <w:rsid w:val="00416CD2"/>
    <w:rsid w:val="004176C1"/>
    <w:rsid w:val="004176E0"/>
    <w:rsid w:val="00417708"/>
    <w:rsid w:val="0041780A"/>
    <w:rsid w:val="00417B7A"/>
    <w:rsid w:val="004204DE"/>
    <w:rsid w:val="0042069C"/>
    <w:rsid w:val="004207D1"/>
    <w:rsid w:val="00421CA2"/>
    <w:rsid w:val="0042201A"/>
    <w:rsid w:val="00422982"/>
    <w:rsid w:val="00422DBA"/>
    <w:rsid w:val="004231A4"/>
    <w:rsid w:val="00423AD6"/>
    <w:rsid w:val="00423DD3"/>
    <w:rsid w:val="0042414A"/>
    <w:rsid w:val="004242F0"/>
    <w:rsid w:val="004252EE"/>
    <w:rsid w:val="004255D8"/>
    <w:rsid w:val="0042573F"/>
    <w:rsid w:val="00426851"/>
    <w:rsid w:val="00426CCE"/>
    <w:rsid w:val="00427432"/>
    <w:rsid w:val="004274A2"/>
    <w:rsid w:val="00427BA1"/>
    <w:rsid w:val="004303E7"/>
    <w:rsid w:val="00431A1F"/>
    <w:rsid w:val="0043230E"/>
    <w:rsid w:val="00432424"/>
    <w:rsid w:val="00432452"/>
    <w:rsid w:val="0043259D"/>
    <w:rsid w:val="00432F13"/>
    <w:rsid w:val="0043339F"/>
    <w:rsid w:val="004335DE"/>
    <w:rsid w:val="004338BC"/>
    <w:rsid w:val="00433E6F"/>
    <w:rsid w:val="00434A68"/>
    <w:rsid w:val="00435B5E"/>
    <w:rsid w:val="00435F41"/>
    <w:rsid w:val="00436048"/>
    <w:rsid w:val="00436C09"/>
    <w:rsid w:val="00436C54"/>
    <w:rsid w:val="00437179"/>
    <w:rsid w:val="00437644"/>
    <w:rsid w:val="004402FA"/>
    <w:rsid w:val="00440BE6"/>
    <w:rsid w:val="00440E56"/>
    <w:rsid w:val="004412B3"/>
    <w:rsid w:val="00441FF2"/>
    <w:rsid w:val="00442B1C"/>
    <w:rsid w:val="00442BD0"/>
    <w:rsid w:val="00443A44"/>
    <w:rsid w:val="00443B03"/>
    <w:rsid w:val="00443BE3"/>
    <w:rsid w:val="00443CEE"/>
    <w:rsid w:val="00443E2D"/>
    <w:rsid w:val="00445B02"/>
    <w:rsid w:val="00445B33"/>
    <w:rsid w:val="00445D88"/>
    <w:rsid w:val="00446971"/>
    <w:rsid w:val="00447954"/>
    <w:rsid w:val="004502BE"/>
    <w:rsid w:val="004502C4"/>
    <w:rsid w:val="004502E4"/>
    <w:rsid w:val="00450791"/>
    <w:rsid w:val="004507ED"/>
    <w:rsid w:val="0045098B"/>
    <w:rsid w:val="00450CCB"/>
    <w:rsid w:val="00451863"/>
    <w:rsid w:val="004521ED"/>
    <w:rsid w:val="00452799"/>
    <w:rsid w:val="004527E1"/>
    <w:rsid w:val="00452AD0"/>
    <w:rsid w:val="00452BBC"/>
    <w:rsid w:val="00452C52"/>
    <w:rsid w:val="00452CC3"/>
    <w:rsid w:val="00452DD7"/>
    <w:rsid w:val="00453020"/>
    <w:rsid w:val="0045324E"/>
    <w:rsid w:val="00453964"/>
    <w:rsid w:val="00453C34"/>
    <w:rsid w:val="00454DFD"/>
    <w:rsid w:val="00455020"/>
    <w:rsid w:val="004553CE"/>
    <w:rsid w:val="004558B3"/>
    <w:rsid w:val="004559A0"/>
    <w:rsid w:val="004559C2"/>
    <w:rsid w:val="00455C7F"/>
    <w:rsid w:val="00456144"/>
    <w:rsid w:val="004568CA"/>
    <w:rsid w:val="00456999"/>
    <w:rsid w:val="00456A74"/>
    <w:rsid w:val="00456F11"/>
    <w:rsid w:val="0045754C"/>
    <w:rsid w:val="00457700"/>
    <w:rsid w:val="00457CF5"/>
    <w:rsid w:val="0046024B"/>
    <w:rsid w:val="00460422"/>
    <w:rsid w:val="0046187F"/>
    <w:rsid w:val="00461EAC"/>
    <w:rsid w:val="00462137"/>
    <w:rsid w:val="0046234E"/>
    <w:rsid w:val="004638E6"/>
    <w:rsid w:val="00463998"/>
    <w:rsid w:val="00464ECE"/>
    <w:rsid w:val="004657DC"/>
    <w:rsid w:val="00465999"/>
    <w:rsid w:val="00465E65"/>
    <w:rsid w:val="004662EF"/>
    <w:rsid w:val="0046662E"/>
    <w:rsid w:val="004671D9"/>
    <w:rsid w:val="00467B83"/>
    <w:rsid w:val="00470102"/>
    <w:rsid w:val="004701B8"/>
    <w:rsid w:val="004701BF"/>
    <w:rsid w:val="00470BB2"/>
    <w:rsid w:val="0047116A"/>
    <w:rsid w:val="0047116F"/>
    <w:rsid w:val="0047124B"/>
    <w:rsid w:val="00471D22"/>
    <w:rsid w:val="00472722"/>
    <w:rsid w:val="00472A37"/>
    <w:rsid w:val="00472BAC"/>
    <w:rsid w:val="004738E0"/>
    <w:rsid w:val="00474446"/>
    <w:rsid w:val="0047572D"/>
    <w:rsid w:val="00475BB8"/>
    <w:rsid w:val="0047634B"/>
    <w:rsid w:val="00476871"/>
    <w:rsid w:val="00476DE8"/>
    <w:rsid w:val="0047703F"/>
    <w:rsid w:val="00480454"/>
    <w:rsid w:val="00480AD4"/>
    <w:rsid w:val="00480B3E"/>
    <w:rsid w:val="00480FA0"/>
    <w:rsid w:val="00481DCA"/>
    <w:rsid w:val="0048218B"/>
    <w:rsid w:val="0048220E"/>
    <w:rsid w:val="00483428"/>
    <w:rsid w:val="0048406C"/>
    <w:rsid w:val="00484389"/>
    <w:rsid w:val="00484981"/>
    <w:rsid w:val="00484EC2"/>
    <w:rsid w:val="00485889"/>
    <w:rsid w:val="00485D31"/>
    <w:rsid w:val="00486877"/>
    <w:rsid w:val="00486926"/>
    <w:rsid w:val="00486936"/>
    <w:rsid w:val="00487FBF"/>
    <w:rsid w:val="00490537"/>
    <w:rsid w:val="00490F5A"/>
    <w:rsid w:val="00491812"/>
    <w:rsid w:val="00491B6C"/>
    <w:rsid w:val="00491BAC"/>
    <w:rsid w:val="00493E74"/>
    <w:rsid w:val="00493EF2"/>
    <w:rsid w:val="00494736"/>
    <w:rsid w:val="004948FF"/>
    <w:rsid w:val="00494E62"/>
    <w:rsid w:val="0049502D"/>
    <w:rsid w:val="00496680"/>
    <w:rsid w:val="004967F2"/>
    <w:rsid w:val="004969B1"/>
    <w:rsid w:val="00496B1C"/>
    <w:rsid w:val="00497034"/>
    <w:rsid w:val="004970BE"/>
    <w:rsid w:val="00497D26"/>
    <w:rsid w:val="004A24CA"/>
    <w:rsid w:val="004A2559"/>
    <w:rsid w:val="004A29AD"/>
    <w:rsid w:val="004A4B97"/>
    <w:rsid w:val="004A58CA"/>
    <w:rsid w:val="004A5C9D"/>
    <w:rsid w:val="004A5F40"/>
    <w:rsid w:val="004A60E9"/>
    <w:rsid w:val="004A68DD"/>
    <w:rsid w:val="004A6A30"/>
    <w:rsid w:val="004A6B8C"/>
    <w:rsid w:val="004A6D83"/>
    <w:rsid w:val="004A72C5"/>
    <w:rsid w:val="004A7396"/>
    <w:rsid w:val="004A7E72"/>
    <w:rsid w:val="004A7ED7"/>
    <w:rsid w:val="004B0A07"/>
    <w:rsid w:val="004B0E23"/>
    <w:rsid w:val="004B1396"/>
    <w:rsid w:val="004B16B1"/>
    <w:rsid w:val="004B16CB"/>
    <w:rsid w:val="004B1809"/>
    <w:rsid w:val="004B1F5A"/>
    <w:rsid w:val="004B1F67"/>
    <w:rsid w:val="004B2140"/>
    <w:rsid w:val="004B2221"/>
    <w:rsid w:val="004B2831"/>
    <w:rsid w:val="004B2F26"/>
    <w:rsid w:val="004B3292"/>
    <w:rsid w:val="004B33CF"/>
    <w:rsid w:val="004B3987"/>
    <w:rsid w:val="004B3A7A"/>
    <w:rsid w:val="004B3D64"/>
    <w:rsid w:val="004B3DDB"/>
    <w:rsid w:val="004B4005"/>
    <w:rsid w:val="004B473D"/>
    <w:rsid w:val="004B476B"/>
    <w:rsid w:val="004B4B73"/>
    <w:rsid w:val="004B4E71"/>
    <w:rsid w:val="004B5521"/>
    <w:rsid w:val="004B60D0"/>
    <w:rsid w:val="004B67EB"/>
    <w:rsid w:val="004B6E5D"/>
    <w:rsid w:val="004B7805"/>
    <w:rsid w:val="004B787A"/>
    <w:rsid w:val="004B7C7D"/>
    <w:rsid w:val="004C06D3"/>
    <w:rsid w:val="004C07F5"/>
    <w:rsid w:val="004C1127"/>
    <w:rsid w:val="004C182F"/>
    <w:rsid w:val="004C1C96"/>
    <w:rsid w:val="004C203E"/>
    <w:rsid w:val="004C224F"/>
    <w:rsid w:val="004C240D"/>
    <w:rsid w:val="004C2F77"/>
    <w:rsid w:val="004C3293"/>
    <w:rsid w:val="004C3CD0"/>
    <w:rsid w:val="004C3DDE"/>
    <w:rsid w:val="004C4FA8"/>
    <w:rsid w:val="004C5000"/>
    <w:rsid w:val="004C538A"/>
    <w:rsid w:val="004C5B3E"/>
    <w:rsid w:val="004C5D28"/>
    <w:rsid w:val="004C6C83"/>
    <w:rsid w:val="004C6E12"/>
    <w:rsid w:val="004C74FD"/>
    <w:rsid w:val="004C7B28"/>
    <w:rsid w:val="004C7E9F"/>
    <w:rsid w:val="004D0221"/>
    <w:rsid w:val="004D03BF"/>
    <w:rsid w:val="004D0635"/>
    <w:rsid w:val="004D0967"/>
    <w:rsid w:val="004D0B59"/>
    <w:rsid w:val="004D0DE2"/>
    <w:rsid w:val="004D169D"/>
    <w:rsid w:val="004D3147"/>
    <w:rsid w:val="004D345F"/>
    <w:rsid w:val="004D4226"/>
    <w:rsid w:val="004D5535"/>
    <w:rsid w:val="004D5642"/>
    <w:rsid w:val="004D57CC"/>
    <w:rsid w:val="004D57E8"/>
    <w:rsid w:val="004D5803"/>
    <w:rsid w:val="004D6C5B"/>
    <w:rsid w:val="004D6D4F"/>
    <w:rsid w:val="004D6DCA"/>
    <w:rsid w:val="004D736E"/>
    <w:rsid w:val="004D791F"/>
    <w:rsid w:val="004D7B51"/>
    <w:rsid w:val="004E0869"/>
    <w:rsid w:val="004E0959"/>
    <w:rsid w:val="004E0B2E"/>
    <w:rsid w:val="004E193E"/>
    <w:rsid w:val="004E1C9A"/>
    <w:rsid w:val="004E2160"/>
    <w:rsid w:val="004E2323"/>
    <w:rsid w:val="004E247C"/>
    <w:rsid w:val="004E278A"/>
    <w:rsid w:val="004E2A3A"/>
    <w:rsid w:val="004E2EDA"/>
    <w:rsid w:val="004E31B2"/>
    <w:rsid w:val="004E32F0"/>
    <w:rsid w:val="004E3714"/>
    <w:rsid w:val="004E3A47"/>
    <w:rsid w:val="004E401E"/>
    <w:rsid w:val="004E5231"/>
    <w:rsid w:val="004E5A36"/>
    <w:rsid w:val="004E5B54"/>
    <w:rsid w:val="004E660D"/>
    <w:rsid w:val="004E66E3"/>
    <w:rsid w:val="004E6B07"/>
    <w:rsid w:val="004E7309"/>
    <w:rsid w:val="004E741B"/>
    <w:rsid w:val="004F0570"/>
    <w:rsid w:val="004F05DA"/>
    <w:rsid w:val="004F08FA"/>
    <w:rsid w:val="004F09BD"/>
    <w:rsid w:val="004F0E41"/>
    <w:rsid w:val="004F0FF0"/>
    <w:rsid w:val="004F1497"/>
    <w:rsid w:val="004F19CF"/>
    <w:rsid w:val="004F1CBF"/>
    <w:rsid w:val="004F22CA"/>
    <w:rsid w:val="004F2F4F"/>
    <w:rsid w:val="004F342F"/>
    <w:rsid w:val="004F3552"/>
    <w:rsid w:val="004F3B0E"/>
    <w:rsid w:val="004F40C8"/>
    <w:rsid w:val="004F42CF"/>
    <w:rsid w:val="004F4684"/>
    <w:rsid w:val="004F4ADA"/>
    <w:rsid w:val="004F4BF0"/>
    <w:rsid w:val="004F5001"/>
    <w:rsid w:val="004F55B9"/>
    <w:rsid w:val="004F5648"/>
    <w:rsid w:val="004F58F8"/>
    <w:rsid w:val="004F6434"/>
    <w:rsid w:val="004F7B2F"/>
    <w:rsid w:val="004F7B82"/>
    <w:rsid w:val="004F7EE3"/>
    <w:rsid w:val="004F7FFE"/>
    <w:rsid w:val="00500738"/>
    <w:rsid w:val="005009C8"/>
    <w:rsid w:val="005009D6"/>
    <w:rsid w:val="0050182B"/>
    <w:rsid w:val="00501A3D"/>
    <w:rsid w:val="00501B63"/>
    <w:rsid w:val="00501FB0"/>
    <w:rsid w:val="0050227E"/>
    <w:rsid w:val="0050307D"/>
    <w:rsid w:val="00503485"/>
    <w:rsid w:val="00503749"/>
    <w:rsid w:val="005038AC"/>
    <w:rsid w:val="00503B43"/>
    <w:rsid w:val="005043F7"/>
    <w:rsid w:val="00504ECD"/>
    <w:rsid w:val="005051FB"/>
    <w:rsid w:val="00506EAC"/>
    <w:rsid w:val="005077A9"/>
    <w:rsid w:val="0051037A"/>
    <w:rsid w:val="00510767"/>
    <w:rsid w:val="00510B3A"/>
    <w:rsid w:val="00510D55"/>
    <w:rsid w:val="0051121E"/>
    <w:rsid w:val="00511428"/>
    <w:rsid w:val="00511B5D"/>
    <w:rsid w:val="0051208B"/>
    <w:rsid w:val="005134E4"/>
    <w:rsid w:val="00514327"/>
    <w:rsid w:val="00514531"/>
    <w:rsid w:val="00514C6D"/>
    <w:rsid w:val="00514D0A"/>
    <w:rsid w:val="0051521C"/>
    <w:rsid w:val="005154CE"/>
    <w:rsid w:val="00515BE9"/>
    <w:rsid w:val="005161B8"/>
    <w:rsid w:val="005165E9"/>
    <w:rsid w:val="00516F6E"/>
    <w:rsid w:val="0051789E"/>
    <w:rsid w:val="00517EFF"/>
    <w:rsid w:val="0052032D"/>
    <w:rsid w:val="005205BA"/>
    <w:rsid w:val="0052081A"/>
    <w:rsid w:val="00521428"/>
    <w:rsid w:val="00521896"/>
    <w:rsid w:val="00521D5F"/>
    <w:rsid w:val="00521F7B"/>
    <w:rsid w:val="00522210"/>
    <w:rsid w:val="00522AA1"/>
    <w:rsid w:val="005237F9"/>
    <w:rsid w:val="0052466F"/>
    <w:rsid w:val="00524B46"/>
    <w:rsid w:val="005253AB"/>
    <w:rsid w:val="00527ADD"/>
    <w:rsid w:val="00527DDE"/>
    <w:rsid w:val="00527E83"/>
    <w:rsid w:val="00527E8F"/>
    <w:rsid w:val="00527EFE"/>
    <w:rsid w:val="00527FE0"/>
    <w:rsid w:val="0053068D"/>
    <w:rsid w:val="00530D82"/>
    <w:rsid w:val="00531496"/>
    <w:rsid w:val="00532688"/>
    <w:rsid w:val="0053296F"/>
    <w:rsid w:val="0053348A"/>
    <w:rsid w:val="005335CF"/>
    <w:rsid w:val="00533A1C"/>
    <w:rsid w:val="00533DC0"/>
    <w:rsid w:val="00534126"/>
    <w:rsid w:val="00535061"/>
    <w:rsid w:val="00535091"/>
    <w:rsid w:val="00535695"/>
    <w:rsid w:val="005361A1"/>
    <w:rsid w:val="005362AC"/>
    <w:rsid w:val="005362CD"/>
    <w:rsid w:val="00536B91"/>
    <w:rsid w:val="00536E79"/>
    <w:rsid w:val="00537698"/>
    <w:rsid w:val="00537863"/>
    <w:rsid w:val="005402F1"/>
    <w:rsid w:val="00540F8B"/>
    <w:rsid w:val="005412E9"/>
    <w:rsid w:val="005413C5"/>
    <w:rsid w:val="00541D56"/>
    <w:rsid w:val="005421A0"/>
    <w:rsid w:val="005429E6"/>
    <w:rsid w:val="00543008"/>
    <w:rsid w:val="005433D3"/>
    <w:rsid w:val="005434B1"/>
    <w:rsid w:val="005435D9"/>
    <w:rsid w:val="005438C5"/>
    <w:rsid w:val="00543DA5"/>
    <w:rsid w:val="00543EB1"/>
    <w:rsid w:val="00543F78"/>
    <w:rsid w:val="0054455F"/>
    <w:rsid w:val="00545231"/>
    <w:rsid w:val="005452CB"/>
    <w:rsid w:val="00545D2E"/>
    <w:rsid w:val="005461E7"/>
    <w:rsid w:val="00546A80"/>
    <w:rsid w:val="00547509"/>
    <w:rsid w:val="00547698"/>
    <w:rsid w:val="00547825"/>
    <w:rsid w:val="00547C38"/>
    <w:rsid w:val="005502AC"/>
    <w:rsid w:val="005507FC"/>
    <w:rsid w:val="00550853"/>
    <w:rsid w:val="00551F8C"/>
    <w:rsid w:val="0055216E"/>
    <w:rsid w:val="0055223C"/>
    <w:rsid w:val="00552984"/>
    <w:rsid w:val="00552A15"/>
    <w:rsid w:val="00552B33"/>
    <w:rsid w:val="00552CC5"/>
    <w:rsid w:val="005531AC"/>
    <w:rsid w:val="00553385"/>
    <w:rsid w:val="005534B8"/>
    <w:rsid w:val="00554384"/>
    <w:rsid w:val="005546AB"/>
    <w:rsid w:val="0055532C"/>
    <w:rsid w:val="00555399"/>
    <w:rsid w:val="005555CA"/>
    <w:rsid w:val="00555B98"/>
    <w:rsid w:val="00555F41"/>
    <w:rsid w:val="005563F6"/>
    <w:rsid w:val="0055669B"/>
    <w:rsid w:val="00556B51"/>
    <w:rsid w:val="00556FA2"/>
    <w:rsid w:val="005571F3"/>
    <w:rsid w:val="00557BA5"/>
    <w:rsid w:val="00560440"/>
    <w:rsid w:val="0056056A"/>
    <w:rsid w:val="00560695"/>
    <w:rsid w:val="0056124A"/>
    <w:rsid w:val="0056138D"/>
    <w:rsid w:val="005614DC"/>
    <w:rsid w:val="005623BE"/>
    <w:rsid w:val="00562D47"/>
    <w:rsid w:val="005630F3"/>
    <w:rsid w:val="005635AC"/>
    <w:rsid w:val="00563A10"/>
    <w:rsid w:val="00563B60"/>
    <w:rsid w:val="005641A8"/>
    <w:rsid w:val="005645F6"/>
    <w:rsid w:val="0056557A"/>
    <w:rsid w:val="00566AE4"/>
    <w:rsid w:val="005672DA"/>
    <w:rsid w:val="00570148"/>
    <w:rsid w:val="00570C5F"/>
    <w:rsid w:val="00570E66"/>
    <w:rsid w:val="00570ECB"/>
    <w:rsid w:val="00571476"/>
    <w:rsid w:val="0057180A"/>
    <w:rsid w:val="00571A46"/>
    <w:rsid w:val="00572270"/>
    <w:rsid w:val="005727EB"/>
    <w:rsid w:val="00572939"/>
    <w:rsid w:val="00572EEB"/>
    <w:rsid w:val="005730BF"/>
    <w:rsid w:val="00573DDD"/>
    <w:rsid w:val="0057474A"/>
    <w:rsid w:val="00574E06"/>
    <w:rsid w:val="00575529"/>
    <w:rsid w:val="00577181"/>
    <w:rsid w:val="005771DB"/>
    <w:rsid w:val="005776D9"/>
    <w:rsid w:val="00577983"/>
    <w:rsid w:val="00577992"/>
    <w:rsid w:val="00577C33"/>
    <w:rsid w:val="00580772"/>
    <w:rsid w:val="005807D7"/>
    <w:rsid w:val="005809C2"/>
    <w:rsid w:val="00580BC0"/>
    <w:rsid w:val="00580D51"/>
    <w:rsid w:val="00581515"/>
    <w:rsid w:val="00582238"/>
    <w:rsid w:val="0058280C"/>
    <w:rsid w:val="00582A26"/>
    <w:rsid w:val="00582AE6"/>
    <w:rsid w:val="00582DDA"/>
    <w:rsid w:val="0058327F"/>
    <w:rsid w:val="005835D6"/>
    <w:rsid w:val="00583EB0"/>
    <w:rsid w:val="0058449E"/>
    <w:rsid w:val="00584974"/>
    <w:rsid w:val="005849F1"/>
    <w:rsid w:val="00584B46"/>
    <w:rsid w:val="00585640"/>
    <w:rsid w:val="00585B49"/>
    <w:rsid w:val="00587607"/>
    <w:rsid w:val="00590055"/>
    <w:rsid w:val="0059039D"/>
    <w:rsid w:val="005907EB"/>
    <w:rsid w:val="00590A1E"/>
    <w:rsid w:val="00590DA9"/>
    <w:rsid w:val="00590F77"/>
    <w:rsid w:val="0059140D"/>
    <w:rsid w:val="005916F6"/>
    <w:rsid w:val="00591D50"/>
    <w:rsid w:val="00593418"/>
    <w:rsid w:val="00593625"/>
    <w:rsid w:val="00593657"/>
    <w:rsid w:val="00593CB6"/>
    <w:rsid w:val="00593FD4"/>
    <w:rsid w:val="005942F1"/>
    <w:rsid w:val="0059448C"/>
    <w:rsid w:val="005947D0"/>
    <w:rsid w:val="00594878"/>
    <w:rsid w:val="00594BD5"/>
    <w:rsid w:val="005952B8"/>
    <w:rsid w:val="00595A1A"/>
    <w:rsid w:val="00595CBF"/>
    <w:rsid w:val="00595E2A"/>
    <w:rsid w:val="00596163"/>
    <w:rsid w:val="00596A71"/>
    <w:rsid w:val="00596BB0"/>
    <w:rsid w:val="005970F4"/>
    <w:rsid w:val="0059714F"/>
    <w:rsid w:val="0059781B"/>
    <w:rsid w:val="00597FA2"/>
    <w:rsid w:val="005A0914"/>
    <w:rsid w:val="005A0AF2"/>
    <w:rsid w:val="005A12DE"/>
    <w:rsid w:val="005A16FA"/>
    <w:rsid w:val="005A170A"/>
    <w:rsid w:val="005A181D"/>
    <w:rsid w:val="005A1DC6"/>
    <w:rsid w:val="005A28A3"/>
    <w:rsid w:val="005A2B8D"/>
    <w:rsid w:val="005A2E3A"/>
    <w:rsid w:val="005A2EAE"/>
    <w:rsid w:val="005A3A20"/>
    <w:rsid w:val="005A3C6A"/>
    <w:rsid w:val="005A3D20"/>
    <w:rsid w:val="005A3F8C"/>
    <w:rsid w:val="005A415D"/>
    <w:rsid w:val="005A4428"/>
    <w:rsid w:val="005A59B0"/>
    <w:rsid w:val="005A5BE8"/>
    <w:rsid w:val="005A5DD9"/>
    <w:rsid w:val="005A5FE3"/>
    <w:rsid w:val="005A6097"/>
    <w:rsid w:val="005A635A"/>
    <w:rsid w:val="005A6CA3"/>
    <w:rsid w:val="005A70A8"/>
    <w:rsid w:val="005A70D0"/>
    <w:rsid w:val="005A73A0"/>
    <w:rsid w:val="005A747E"/>
    <w:rsid w:val="005A7FE0"/>
    <w:rsid w:val="005B0849"/>
    <w:rsid w:val="005B0C97"/>
    <w:rsid w:val="005B113C"/>
    <w:rsid w:val="005B113D"/>
    <w:rsid w:val="005B140A"/>
    <w:rsid w:val="005B170E"/>
    <w:rsid w:val="005B19A4"/>
    <w:rsid w:val="005B2351"/>
    <w:rsid w:val="005B27DA"/>
    <w:rsid w:val="005B302E"/>
    <w:rsid w:val="005B30CD"/>
    <w:rsid w:val="005B3608"/>
    <w:rsid w:val="005B3981"/>
    <w:rsid w:val="005B3CD0"/>
    <w:rsid w:val="005B3EB4"/>
    <w:rsid w:val="005B4674"/>
    <w:rsid w:val="005B4926"/>
    <w:rsid w:val="005B522F"/>
    <w:rsid w:val="005B5896"/>
    <w:rsid w:val="005B616D"/>
    <w:rsid w:val="005B6558"/>
    <w:rsid w:val="005B6D44"/>
    <w:rsid w:val="005B6DE1"/>
    <w:rsid w:val="005B733C"/>
    <w:rsid w:val="005B7C24"/>
    <w:rsid w:val="005C0765"/>
    <w:rsid w:val="005C0CAD"/>
    <w:rsid w:val="005C16B5"/>
    <w:rsid w:val="005C1C9B"/>
    <w:rsid w:val="005C228C"/>
    <w:rsid w:val="005C3220"/>
    <w:rsid w:val="005C36E9"/>
    <w:rsid w:val="005C3721"/>
    <w:rsid w:val="005C393F"/>
    <w:rsid w:val="005C3DF3"/>
    <w:rsid w:val="005C4291"/>
    <w:rsid w:val="005C433F"/>
    <w:rsid w:val="005C47F8"/>
    <w:rsid w:val="005C47F9"/>
    <w:rsid w:val="005C4BC7"/>
    <w:rsid w:val="005C4E53"/>
    <w:rsid w:val="005C5007"/>
    <w:rsid w:val="005C52C0"/>
    <w:rsid w:val="005C5E86"/>
    <w:rsid w:val="005C64A8"/>
    <w:rsid w:val="005C6D81"/>
    <w:rsid w:val="005C77F5"/>
    <w:rsid w:val="005C78E0"/>
    <w:rsid w:val="005C79DF"/>
    <w:rsid w:val="005C7CDF"/>
    <w:rsid w:val="005D0DA6"/>
    <w:rsid w:val="005D0DC9"/>
    <w:rsid w:val="005D0F5B"/>
    <w:rsid w:val="005D1533"/>
    <w:rsid w:val="005D179A"/>
    <w:rsid w:val="005D1BE1"/>
    <w:rsid w:val="005D1EFA"/>
    <w:rsid w:val="005D242B"/>
    <w:rsid w:val="005D2511"/>
    <w:rsid w:val="005D264F"/>
    <w:rsid w:val="005D2955"/>
    <w:rsid w:val="005D2B39"/>
    <w:rsid w:val="005D2F19"/>
    <w:rsid w:val="005D418E"/>
    <w:rsid w:val="005D535C"/>
    <w:rsid w:val="005D5D27"/>
    <w:rsid w:val="005D5FE1"/>
    <w:rsid w:val="005D61DC"/>
    <w:rsid w:val="005D63B7"/>
    <w:rsid w:val="005D6490"/>
    <w:rsid w:val="005D6A59"/>
    <w:rsid w:val="005D7778"/>
    <w:rsid w:val="005D7977"/>
    <w:rsid w:val="005E0C79"/>
    <w:rsid w:val="005E17E8"/>
    <w:rsid w:val="005E26FF"/>
    <w:rsid w:val="005E2F1F"/>
    <w:rsid w:val="005E32CC"/>
    <w:rsid w:val="005E34B8"/>
    <w:rsid w:val="005E35F2"/>
    <w:rsid w:val="005E3CAF"/>
    <w:rsid w:val="005E3DD3"/>
    <w:rsid w:val="005E45E8"/>
    <w:rsid w:val="005E4959"/>
    <w:rsid w:val="005E4C7E"/>
    <w:rsid w:val="005E5A43"/>
    <w:rsid w:val="005E6302"/>
    <w:rsid w:val="005E63A1"/>
    <w:rsid w:val="005E6C13"/>
    <w:rsid w:val="005E6DF0"/>
    <w:rsid w:val="005E7245"/>
    <w:rsid w:val="005E72B4"/>
    <w:rsid w:val="005E72F5"/>
    <w:rsid w:val="005E73A4"/>
    <w:rsid w:val="005E7626"/>
    <w:rsid w:val="005F0610"/>
    <w:rsid w:val="005F0B85"/>
    <w:rsid w:val="005F0FDC"/>
    <w:rsid w:val="005F19BD"/>
    <w:rsid w:val="005F1AB5"/>
    <w:rsid w:val="005F201E"/>
    <w:rsid w:val="005F2030"/>
    <w:rsid w:val="005F2206"/>
    <w:rsid w:val="005F22E3"/>
    <w:rsid w:val="005F2855"/>
    <w:rsid w:val="005F3667"/>
    <w:rsid w:val="005F3BFD"/>
    <w:rsid w:val="005F3F44"/>
    <w:rsid w:val="005F5341"/>
    <w:rsid w:val="005F5E46"/>
    <w:rsid w:val="005F6450"/>
    <w:rsid w:val="005F7160"/>
    <w:rsid w:val="005F7304"/>
    <w:rsid w:val="00600273"/>
    <w:rsid w:val="0060035E"/>
    <w:rsid w:val="006006A4"/>
    <w:rsid w:val="0060143A"/>
    <w:rsid w:val="00601678"/>
    <w:rsid w:val="006016AE"/>
    <w:rsid w:val="00601B5A"/>
    <w:rsid w:val="00601C85"/>
    <w:rsid w:val="00601DF5"/>
    <w:rsid w:val="00603158"/>
    <w:rsid w:val="006034D0"/>
    <w:rsid w:val="00603659"/>
    <w:rsid w:val="0060397C"/>
    <w:rsid w:val="006047EB"/>
    <w:rsid w:val="00604C24"/>
    <w:rsid w:val="00604F43"/>
    <w:rsid w:val="006050E7"/>
    <w:rsid w:val="006052A2"/>
    <w:rsid w:val="00605F1B"/>
    <w:rsid w:val="006069B3"/>
    <w:rsid w:val="00607E01"/>
    <w:rsid w:val="0061034B"/>
    <w:rsid w:val="00610CA4"/>
    <w:rsid w:val="00611056"/>
    <w:rsid w:val="0061187B"/>
    <w:rsid w:val="00611B5F"/>
    <w:rsid w:val="0061302A"/>
    <w:rsid w:val="00613990"/>
    <w:rsid w:val="00613BD2"/>
    <w:rsid w:val="00613D2B"/>
    <w:rsid w:val="006144FF"/>
    <w:rsid w:val="006145DE"/>
    <w:rsid w:val="00614E3E"/>
    <w:rsid w:val="006156E1"/>
    <w:rsid w:val="006161A3"/>
    <w:rsid w:val="0061624F"/>
    <w:rsid w:val="0061670E"/>
    <w:rsid w:val="00616E34"/>
    <w:rsid w:val="00616F10"/>
    <w:rsid w:val="006170EF"/>
    <w:rsid w:val="00617B8E"/>
    <w:rsid w:val="00617F99"/>
    <w:rsid w:val="0062009D"/>
    <w:rsid w:val="006205E8"/>
    <w:rsid w:val="006208F7"/>
    <w:rsid w:val="00620B15"/>
    <w:rsid w:val="0062153C"/>
    <w:rsid w:val="006221EC"/>
    <w:rsid w:val="00623287"/>
    <w:rsid w:val="00623311"/>
    <w:rsid w:val="0062431F"/>
    <w:rsid w:val="00624B0E"/>
    <w:rsid w:val="00624F01"/>
    <w:rsid w:val="00625A43"/>
    <w:rsid w:val="00626326"/>
    <w:rsid w:val="00626A8E"/>
    <w:rsid w:val="00626D21"/>
    <w:rsid w:val="006273C6"/>
    <w:rsid w:val="00627B0D"/>
    <w:rsid w:val="006302DC"/>
    <w:rsid w:val="006303BC"/>
    <w:rsid w:val="00630B36"/>
    <w:rsid w:val="00631246"/>
    <w:rsid w:val="006312DB"/>
    <w:rsid w:val="00631796"/>
    <w:rsid w:val="00631982"/>
    <w:rsid w:val="00631B36"/>
    <w:rsid w:val="00631BD9"/>
    <w:rsid w:val="00631D55"/>
    <w:rsid w:val="00631EE5"/>
    <w:rsid w:val="006325FF"/>
    <w:rsid w:val="00632636"/>
    <w:rsid w:val="00632A5E"/>
    <w:rsid w:val="00633830"/>
    <w:rsid w:val="00633FCF"/>
    <w:rsid w:val="00634368"/>
    <w:rsid w:val="00634B86"/>
    <w:rsid w:val="00634B8B"/>
    <w:rsid w:val="0063510F"/>
    <w:rsid w:val="006355FB"/>
    <w:rsid w:val="006358BF"/>
    <w:rsid w:val="00635B82"/>
    <w:rsid w:val="00635ED3"/>
    <w:rsid w:val="006363C9"/>
    <w:rsid w:val="0063674A"/>
    <w:rsid w:val="00636AA4"/>
    <w:rsid w:val="00636C62"/>
    <w:rsid w:val="00637EFC"/>
    <w:rsid w:val="00637F8D"/>
    <w:rsid w:val="0064010A"/>
    <w:rsid w:val="006401FD"/>
    <w:rsid w:val="006402EC"/>
    <w:rsid w:val="006404A3"/>
    <w:rsid w:val="00640686"/>
    <w:rsid w:val="006408A1"/>
    <w:rsid w:val="00640B67"/>
    <w:rsid w:val="00641EF7"/>
    <w:rsid w:val="00642666"/>
    <w:rsid w:val="00642671"/>
    <w:rsid w:val="006426D7"/>
    <w:rsid w:val="00642AA5"/>
    <w:rsid w:val="00642ABD"/>
    <w:rsid w:val="006433B1"/>
    <w:rsid w:val="00643DFB"/>
    <w:rsid w:val="006445D3"/>
    <w:rsid w:val="00644B3B"/>
    <w:rsid w:val="006450FB"/>
    <w:rsid w:val="0064564F"/>
    <w:rsid w:val="00645C70"/>
    <w:rsid w:val="006468C0"/>
    <w:rsid w:val="006469B9"/>
    <w:rsid w:val="00646EE2"/>
    <w:rsid w:val="00646FE1"/>
    <w:rsid w:val="00647C89"/>
    <w:rsid w:val="00650138"/>
    <w:rsid w:val="006502A9"/>
    <w:rsid w:val="006510A1"/>
    <w:rsid w:val="00651BD3"/>
    <w:rsid w:val="006528C1"/>
    <w:rsid w:val="00652E13"/>
    <w:rsid w:val="0065364C"/>
    <w:rsid w:val="006543EE"/>
    <w:rsid w:val="006545EE"/>
    <w:rsid w:val="00654C63"/>
    <w:rsid w:val="00654ED6"/>
    <w:rsid w:val="00655769"/>
    <w:rsid w:val="006558A5"/>
    <w:rsid w:val="00655B66"/>
    <w:rsid w:val="00655E1E"/>
    <w:rsid w:val="00655E28"/>
    <w:rsid w:val="00655F39"/>
    <w:rsid w:val="00656738"/>
    <w:rsid w:val="006567EE"/>
    <w:rsid w:val="00657021"/>
    <w:rsid w:val="00657349"/>
    <w:rsid w:val="0066090C"/>
    <w:rsid w:val="00660F3A"/>
    <w:rsid w:val="00661ED3"/>
    <w:rsid w:val="00662078"/>
    <w:rsid w:val="00662216"/>
    <w:rsid w:val="00662936"/>
    <w:rsid w:val="00662D5B"/>
    <w:rsid w:val="00663352"/>
    <w:rsid w:val="00664639"/>
    <w:rsid w:val="00664903"/>
    <w:rsid w:val="00664C55"/>
    <w:rsid w:val="00665EEE"/>
    <w:rsid w:val="00666D85"/>
    <w:rsid w:val="00667057"/>
    <w:rsid w:val="0066722B"/>
    <w:rsid w:val="006676E3"/>
    <w:rsid w:val="0066778B"/>
    <w:rsid w:val="00670B40"/>
    <w:rsid w:val="00670BFA"/>
    <w:rsid w:val="00670FE6"/>
    <w:rsid w:val="00671951"/>
    <w:rsid w:val="00671BF3"/>
    <w:rsid w:val="006726AE"/>
    <w:rsid w:val="0067285E"/>
    <w:rsid w:val="00673344"/>
    <w:rsid w:val="00673760"/>
    <w:rsid w:val="006746F4"/>
    <w:rsid w:val="00674BA3"/>
    <w:rsid w:val="00674CB5"/>
    <w:rsid w:val="00675449"/>
    <w:rsid w:val="00675823"/>
    <w:rsid w:val="00675827"/>
    <w:rsid w:val="00675D39"/>
    <w:rsid w:val="00676071"/>
    <w:rsid w:val="00676A0C"/>
    <w:rsid w:val="00676A54"/>
    <w:rsid w:val="00676D31"/>
    <w:rsid w:val="00676EE0"/>
    <w:rsid w:val="006772B0"/>
    <w:rsid w:val="00677838"/>
    <w:rsid w:val="00677945"/>
    <w:rsid w:val="0068025C"/>
    <w:rsid w:val="00680397"/>
    <w:rsid w:val="00680681"/>
    <w:rsid w:val="006807DC"/>
    <w:rsid w:val="0068124B"/>
    <w:rsid w:val="00681DB3"/>
    <w:rsid w:val="00681F93"/>
    <w:rsid w:val="006824A2"/>
    <w:rsid w:val="00682950"/>
    <w:rsid w:val="00682A09"/>
    <w:rsid w:val="00682E79"/>
    <w:rsid w:val="00683061"/>
    <w:rsid w:val="00683D6F"/>
    <w:rsid w:val="00683E4E"/>
    <w:rsid w:val="00683F72"/>
    <w:rsid w:val="006842F9"/>
    <w:rsid w:val="00684E7F"/>
    <w:rsid w:val="00685430"/>
    <w:rsid w:val="00685904"/>
    <w:rsid w:val="00686933"/>
    <w:rsid w:val="006871F2"/>
    <w:rsid w:val="0068772E"/>
    <w:rsid w:val="0068774F"/>
    <w:rsid w:val="006909F3"/>
    <w:rsid w:val="00690EBF"/>
    <w:rsid w:val="00690ED2"/>
    <w:rsid w:val="006915D5"/>
    <w:rsid w:val="00691A32"/>
    <w:rsid w:val="00692BA6"/>
    <w:rsid w:val="0069320F"/>
    <w:rsid w:val="0069369C"/>
    <w:rsid w:val="00693887"/>
    <w:rsid w:val="006940B4"/>
    <w:rsid w:val="0069410C"/>
    <w:rsid w:val="00694C6B"/>
    <w:rsid w:val="00694E19"/>
    <w:rsid w:val="00695057"/>
    <w:rsid w:val="006952BB"/>
    <w:rsid w:val="00695727"/>
    <w:rsid w:val="00695D9D"/>
    <w:rsid w:val="0069642D"/>
    <w:rsid w:val="0069647D"/>
    <w:rsid w:val="00696ED8"/>
    <w:rsid w:val="00697695"/>
    <w:rsid w:val="00697764"/>
    <w:rsid w:val="00697956"/>
    <w:rsid w:val="00697A08"/>
    <w:rsid w:val="006A0028"/>
    <w:rsid w:val="006A0167"/>
    <w:rsid w:val="006A0596"/>
    <w:rsid w:val="006A0764"/>
    <w:rsid w:val="006A136E"/>
    <w:rsid w:val="006A1784"/>
    <w:rsid w:val="006A1F29"/>
    <w:rsid w:val="006A2690"/>
    <w:rsid w:val="006A290B"/>
    <w:rsid w:val="006A358C"/>
    <w:rsid w:val="006A3975"/>
    <w:rsid w:val="006A49F1"/>
    <w:rsid w:val="006A4D3F"/>
    <w:rsid w:val="006A5569"/>
    <w:rsid w:val="006A580C"/>
    <w:rsid w:val="006A581E"/>
    <w:rsid w:val="006A5BBC"/>
    <w:rsid w:val="006A5D73"/>
    <w:rsid w:val="006A65C8"/>
    <w:rsid w:val="006A69DE"/>
    <w:rsid w:val="006A6A70"/>
    <w:rsid w:val="006A74A1"/>
    <w:rsid w:val="006A7D96"/>
    <w:rsid w:val="006A7F2B"/>
    <w:rsid w:val="006B04A8"/>
    <w:rsid w:val="006B065C"/>
    <w:rsid w:val="006B09D2"/>
    <w:rsid w:val="006B0EBA"/>
    <w:rsid w:val="006B0EEF"/>
    <w:rsid w:val="006B190D"/>
    <w:rsid w:val="006B237F"/>
    <w:rsid w:val="006B2473"/>
    <w:rsid w:val="006B3156"/>
    <w:rsid w:val="006B3498"/>
    <w:rsid w:val="006B4A93"/>
    <w:rsid w:val="006B4D13"/>
    <w:rsid w:val="006B525C"/>
    <w:rsid w:val="006B556F"/>
    <w:rsid w:val="006B55B2"/>
    <w:rsid w:val="006B5A4A"/>
    <w:rsid w:val="006B5A58"/>
    <w:rsid w:val="006B5B32"/>
    <w:rsid w:val="006B5C04"/>
    <w:rsid w:val="006B787D"/>
    <w:rsid w:val="006B7C97"/>
    <w:rsid w:val="006C083C"/>
    <w:rsid w:val="006C0EC6"/>
    <w:rsid w:val="006C0F01"/>
    <w:rsid w:val="006C1699"/>
    <w:rsid w:val="006C1FC9"/>
    <w:rsid w:val="006C2F63"/>
    <w:rsid w:val="006C307F"/>
    <w:rsid w:val="006C3200"/>
    <w:rsid w:val="006C331B"/>
    <w:rsid w:val="006C4373"/>
    <w:rsid w:val="006C4625"/>
    <w:rsid w:val="006C46D5"/>
    <w:rsid w:val="006C4A8A"/>
    <w:rsid w:val="006C5066"/>
    <w:rsid w:val="006C5099"/>
    <w:rsid w:val="006C54C2"/>
    <w:rsid w:val="006C5594"/>
    <w:rsid w:val="006C5D81"/>
    <w:rsid w:val="006C6299"/>
    <w:rsid w:val="006C68E9"/>
    <w:rsid w:val="006C6DEA"/>
    <w:rsid w:val="006C6E16"/>
    <w:rsid w:val="006C7321"/>
    <w:rsid w:val="006C7567"/>
    <w:rsid w:val="006C78CE"/>
    <w:rsid w:val="006C7932"/>
    <w:rsid w:val="006D00C6"/>
    <w:rsid w:val="006D0990"/>
    <w:rsid w:val="006D0B76"/>
    <w:rsid w:val="006D0D0A"/>
    <w:rsid w:val="006D0FD1"/>
    <w:rsid w:val="006D166B"/>
    <w:rsid w:val="006D22AA"/>
    <w:rsid w:val="006D22B9"/>
    <w:rsid w:val="006D241E"/>
    <w:rsid w:val="006D296D"/>
    <w:rsid w:val="006D3A0B"/>
    <w:rsid w:val="006D3C02"/>
    <w:rsid w:val="006D3E07"/>
    <w:rsid w:val="006D3F4E"/>
    <w:rsid w:val="006D4450"/>
    <w:rsid w:val="006D4706"/>
    <w:rsid w:val="006D521C"/>
    <w:rsid w:val="006D5438"/>
    <w:rsid w:val="006D5A09"/>
    <w:rsid w:val="006D5FCA"/>
    <w:rsid w:val="006D6021"/>
    <w:rsid w:val="006D639B"/>
    <w:rsid w:val="006D67C0"/>
    <w:rsid w:val="006D6BAC"/>
    <w:rsid w:val="006D7220"/>
    <w:rsid w:val="006D7760"/>
    <w:rsid w:val="006D7869"/>
    <w:rsid w:val="006D7939"/>
    <w:rsid w:val="006D7C7D"/>
    <w:rsid w:val="006E01C9"/>
    <w:rsid w:val="006E0BB3"/>
    <w:rsid w:val="006E0D60"/>
    <w:rsid w:val="006E1A77"/>
    <w:rsid w:val="006E2371"/>
    <w:rsid w:val="006E2538"/>
    <w:rsid w:val="006E25A8"/>
    <w:rsid w:val="006E25D2"/>
    <w:rsid w:val="006E26F8"/>
    <w:rsid w:val="006E27B7"/>
    <w:rsid w:val="006E28D8"/>
    <w:rsid w:val="006E2A02"/>
    <w:rsid w:val="006E2D18"/>
    <w:rsid w:val="006E31F7"/>
    <w:rsid w:val="006E3270"/>
    <w:rsid w:val="006E4603"/>
    <w:rsid w:val="006E4B02"/>
    <w:rsid w:val="006E568A"/>
    <w:rsid w:val="006E5869"/>
    <w:rsid w:val="006E5D61"/>
    <w:rsid w:val="006E67CB"/>
    <w:rsid w:val="006E6B62"/>
    <w:rsid w:val="006E6BD3"/>
    <w:rsid w:val="006E72AA"/>
    <w:rsid w:val="006E7492"/>
    <w:rsid w:val="006E79B4"/>
    <w:rsid w:val="006E7BC7"/>
    <w:rsid w:val="006F150C"/>
    <w:rsid w:val="006F1F9B"/>
    <w:rsid w:val="006F2480"/>
    <w:rsid w:val="006F2794"/>
    <w:rsid w:val="006F2DF4"/>
    <w:rsid w:val="006F33D0"/>
    <w:rsid w:val="006F34D7"/>
    <w:rsid w:val="006F38F9"/>
    <w:rsid w:val="006F3B29"/>
    <w:rsid w:val="006F3C6C"/>
    <w:rsid w:val="006F4010"/>
    <w:rsid w:val="006F404C"/>
    <w:rsid w:val="006F4A31"/>
    <w:rsid w:val="006F4B21"/>
    <w:rsid w:val="006F502D"/>
    <w:rsid w:val="006F52F6"/>
    <w:rsid w:val="006F564A"/>
    <w:rsid w:val="006F6BF2"/>
    <w:rsid w:val="0070063D"/>
    <w:rsid w:val="00700956"/>
    <w:rsid w:val="007009C2"/>
    <w:rsid w:val="00700B5A"/>
    <w:rsid w:val="00701038"/>
    <w:rsid w:val="00701809"/>
    <w:rsid w:val="0070186B"/>
    <w:rsid w:val="00701A3B"/>
    <w:rsid w:val="00701C71"/>
    <w:rsid w:val="00702751"/>
    <w:rsid w:val="00702F1A"/>
    <w:rsid w:val="007033AF"/>
    <w:rsid w:val="00703602"/>
    <w:rsid w:val="00703618"/>
    <w:rsid w:val="007042BF"/>
    <w:rsid w:val="007048ED"/>
    <w:rsid w:val="0070499F"/>
    <w:rsid w:val="00705279"/>
    <w:rsid w:val="0070532F"/>
    <w:rsid w:val="00705445"/>
    <w:rsid w:val="00705552"/>
    <w:rsid w:val="0070671B"/>
    <w:rsid w:val="007067E2"/>
    <w:rsid w:val="00706F26"/>
    <w:rsid w:val="00707BB5"/>
    <w:rsid w:val="0071026A"/>
    <w:rsid w:val="00710684"/>
    <w:rsid w:val="00710EF6"/>
    <w:rsid w:val="00711804"/>
    <w:rsid w:val="00711B10"/>
    <w:rsid w:val="00712549"/>
    <w:rsid w:val="007128DE"/>
    <w:rsid w:val="007129A2"/>
    <w:rsid w:val="0071300A"/>
    <w:rsid w:val="007131E1"/>
    <w:rsid w:val="00713717"/>
    <w:rsid w:val="00713C53"/>
    <w:rsid w:val="00714031"/>
    <w:rsid w:val="0071407A"/>
    <w:rsid w:val="00714F36"/>
    <w:rsid w:val="00714FC1"/>
    <w:rsid w:val="00715063"/>
    <w:rsid w:val="00715320"/>
    <w:rsid w:val="00715BAE"/>
    <w:rsid w:val="007161DB"/>
    <w:rsid w:val="00716391"/>
    <w:rsid w:val="007169E8"/>
    <w:rsid w:val="00716AF5"/>
    <w:rsid w:val="00716BD5"/>
    <w:rsid w:val="00717119"/>
    <w:rsid w:val="00717558"/>
    <w:rsid w:val="00717DB0"/>
    <w:rsid w:val="007201C7"/>
    <w:rsid w:val="00720242"/>
    <w:rsid w:val="00720777"/>
    <w:rsid w:val="00720B2A"/>
    <w:rsid w:val="00721687"/>
    <w:rsid w:val="00721FCC"/>
    <w:rsid w:val="007220E8"/>
    <w:rsid w:val="00722215"/>
    <w:rsid w:val="0072261B"/>
    <w:rsid w:val="00722715"/>
    <w:rsid w:val="00722B72"/>
    <w:rsid w:val="00722D4F"/>
    <w:rsid w:val="00723268"/>
    <w:rsid w:val="0072361C"/>
    <w:rsid w:val="0072367A"/>
    <w:rsid w:val="00723A77"/>
    <w:rsid w:val="00723B50"/>
    <w:rsid w:val="00724600"/>
    <w:rsid w:val="00724DCB"/>
    <w:rsid w:val="00725055"/>
    <w:rsid w:val="007255FA"/>
    <w:rsid w:val="00725BB4"/>
    <w:rsid w:val="007266C3"/>
    <w:rsid w:val="00726C94"/>
    <w:rsid w:val="00726CB9"/>
    <w:rsid w:val="0072726B"/>
    <w:rsid w:val="007273C1"/>
    <w:rsid w:val="00727A3B"/>
    <w:rsid w:val="00727ACF"/>
    <w:rsid w:val="00727C30"/>
    <w:rsid w:val="00727F1C"/>
    <w:rsid w:val="00730576"/>
    <w:rsid w:val="007312EA"/>
    <w:rsid w:val="00731382"/>
    <w:rsid w:val="00731927"/>
    <w:rsid w:val="00732319"/>
    <w:rsid w:val="007323A2"/>
    <w:rsid w:val="00732575"/>
    <w:rsid w:val="00732BD8"/>
    <w:rsid w:val="00732FAF"/>
    <w:rsid w:val="0073300F"/>
    <w:rsid w:val="007330F2"/>
    <w:rsid w:val="00733285"/>
    <w:rsid w:val="00734737"/>
    <w:rsid w:val="00734A74"/>
    <w:rsid w:val="007357A2"/>
    <w:rsid w:val="00735DD6"/>
    <w:rsid w:val="00735DF0"/>
    <w:rsid w:val="00736099"/>
    <w:rsid w:val="0073686F"/>
    <w:rsid w:val="00736926"/>
    <w:rsid w:val="00736B10"/>
    <w:rsid w:val="00736C53"/>
    <w:rsid w:val="00736D4E"/>
    <w:rsid w:val="00736D82"/>
    <w:rsid w:val="00737082"/>
    <w:rsid w:val="00737441"/>
    <w:rsid w:val="00737D16"/>
    <w:rsid w:val="00737DD2"/>
    <w:rsid w:val="00737EC7"/>
    <w:rsid w:val="0074023F"/>
    <w:rsid w:val="007409A9"/>
    <w:rsid w:val="00740C0E"/>
    <w:rsid w:val="00740F09"/>
    <w:rsid w:val="00741425"/>
    <w:rsid w:val="0074193D"/>
    <w:rsid w:val="00741A69"/>
    <w:rsid w:val="0074216E"/>
    <w:rsid w:val="00742494"/>
    <w:rsid w:val="00742C02"/>
    <w:rsid w:val="007430C0"/>
    <w:rsid w:val="007432E0"/>
    <w:rsid w:val="00744274"/>
    <w:rsid w:val="0074561B"/>
    <w:rsid w:val="00745867"/>
    <w:rsid w:val="00745F4C"/>
    <w:rsid w:val="00746117"/>
    <w:rsid w:val="00746954"/>
    <w:rsid w:val="00746F59"/>
    <w:rsid w:val="00746F7D"/>
    <w:rsid w:val="00746FA1"/>
    <w:rsid w:val="0074745E"/>
    <w:rsid w:val="00747827"/>
    <w:rsid w:val="00747B0E"/>
    <w:rsid w:val="00747C7E"/>
    <w:rsid w:val="0075039D"/>
    <w:rsid w:val="007516B9"/>
    <w:rsid w:val="00751E12"/>
    <w:rsid w:val="00751E93"/>
    <w:rsid w:val="00752294"/>
    <w:rsid w:val="007523D5"/>
    <w:rsid w:val="00752957"/>
    <w:rsid w:val="00752A9E"/>
    <w:rsid w:val="00752AD4"/>
    <w:rsid w:val="0075318C"/>
    <w:rsid w:val="007542AC"/>
    <w:rsid w:val="007546F5"/>
    <w:rsid w:val="0075492E"/>
    <w:rsid w:val="007551EE"/>
    <w:rsid w:val="00755326"/>
    <w:rsid w:val="0075540A"/>
    <w:rsid w:val="00755AF9"/>
    <w:rsid w:val="00760248"/>
    <w:rsid w:val="00760F99"/>
    <w:rsid w:val="00761000"/>
    <w:rsid w:val="00761773"/>
    <w:rsid w:val="00761919"/>
    <w:rsid w:val="00761B17"/>
    <w:rsid w:val="00761BD8"/>
    <w:rsid w:val="00761E3D"/>
    <w:rsid w:val="0076234E"/>
    <w:rsid w:val="0076293C"/>
    <w:rsid w:val="00762A30"/>
    <w:rsid w:val="00762DE6"/>
    <w:rsid w:val="00762E16"/>
    <w:rsid w:val="00764E80"/>
    <w:rsid w:val="00765771"/>
    <w:rsid w:val="0076605D"/>
    <w:rsid w:val="00766225"/>
    <w:rsid w:val="00766F38"/>
    <w:rsid w:val="00767CC7"/>
    <w:rsid w:val="00767D22"/>
    <w:rsid w:val="00767FB0"/>
    <w:rsid w:val="00770850"/>
    <w:rsid w:val="00770BFE"/>
    <w:rsid w:val="00770DAA"/>
    <w:rsid w:val="0077102A"/>
    <w:rsid w:val="007713B9"/>
    <w:rsid w:val="0077146D"/>
    <w:rsid w:val="0077183D"/>
    <w:rsid w:val="00771BFE"/>
    <w:rsid w:val="00772475"/>
    <w:rsid w:val="00773188"/>
    <w:rsid w:val="00773AD9"/>
    <w:rsid w:val="00773F57"/>
    <w:rsid w:val="007740BB"/>
    <w:rsid w:val="0077450B"/>
    <w:rsid w:val="00774B08"/>
    <w:rsid w:val="00774DE7"/>
    <w:rsid w:val="007751E5"/>
    <w:rsid w:val="00775254"/>
    <w:rsid w:val="007756C7"/>
    <w:rsid w:val="00776C87"/>
    <w:rsid w:val="0077785C"/>
    <w:rsid w:val="00777947"/>
    <w:rsid w:val="00777F7B"/>
    <w:rsid w:val="00777FEE"/>
    <w:rsid w:val="0078034B"/>
    <w:rsid w:val="00780666"/>
    <w:rsid w:val="00780955"/>
    <w:rsid w:val="00781C7B"/>
    <w:rsid w:val="00781DC9"/>
    <w:rsid w:val="0078241A"/>
    <w:rsid w:val="00782D95"/>
    <w:rsid w:val="00782F9F"/>
    <w:rsid w:val="00783647"/>
    <w:rsid w:val="0078366F"/>
    <w:rsid w:val="007846D6"/>
    <w:rsid w:val="00784B69"/>
    <w:rsid w:val="00784BBA"/>
    <w:rsid w:val="00784F6E"/>
    <w:rsid w:val="007857BF"/>
    <w:rsid w:val="0078581F"/>
    <w:rsid w:val="00785AFC"/>
    <w:rsid w:val="00786609"/>
    <w:rsid w:val="007867D5"/>
    <w:rsid w:val="00786ADA"/>
    <w:rsid w:val="00786D92"/>
    <w:rsid w:val="007873F1"/>
    <w:rsid w:val="00787794"/>
    <w:rsid w:val="0079037A"/>
    <w:rsid w:val="00790479"/>
    <w:rsid w:val="007926E9"/>
    <w:rsid w:val="00793822"/>
    <w:rsid w:val="00793998"/>
    <w:rsid w:val="00794A92"/>
    <w:rsid w:val="0079594D"/>
    <w:rsid w:val="00795CC2"/>
    <w:rsid w:val="00796203"/>
    <w:rsid w:val="007967A0"/>
    <w:rsid w:val="00796C3C"/>
    <w:rsid w:val="007970BF"/>
    <w:rsid w:val="007970D4"/>
    <w:rsid w:val="0079789C"/>
    <w:rsid w:val="00797F0F"/>
    <w:rsid w:val="007A04A0"/>
    <w:rsid w:val="007A04CF"/>
    <w:rsid w:val="007A052D"/>
    <w:rsid w:val="007A054E"/>
    <w:rsid w:val="007A0E9E"/>
    <w:rsid w:val="007A18B2"/>
    <w:rsid w:val="007A30EA"/>
    <w:rsid w:val="007A3896"/>
    <w:rsid w:val="007A3BD7"/>
    <w:rsid w:val="007A3DD3"/>
    <w:rsid w:val="007A3FEF"/>
    <w:rsid w:val="007A4E50"/>
    <w:rsid w:val="007A6077"/>
    <w:rsid w:val="007A6605"/>
    <w:rsid w:val="007A667D"/>
    <w:rsid w:val="007A678E"/>
    <w:rsid w:val="007A70B6"/>
    <w:rsid w:val="007A7906"/>
    <w:rsid w:val="007A7D6A"/>
    <w:rsid w:val="007B03AA"/>
    <w:rsid w:val="007B12C5"/>
    <w:rsid w:val="007B170C"/>
    <w:rsid w:val="007B21D1"/>
    <w:rsid w:val="007B2A51"/>
    <w:rsid w:val="007B2BCE"/>
    <w:rsid w:val="007B2CDF"/>
    <w:rsid w:val="007B2F60"/>
    <w:rsid w:val="007B3434"/>
    <w:rsid w:val="007B350E"/>
    <w:rsid w:val="007B3624"/>
    <w:rsid w:val="007B3ED9"/>
    <w:rsid w:val="007B412F"/>
    <w:rsid w:val="007B4175"/>
    <w:rsid w:val="007B4455"/>
    <w:rsid w:val="007B4886"/>
    <w:rsid w:val="007B517C"/>
    <w:rsid w:val="007B545E"/>
    <w:rsid w:val="007B5BF1"/>
    <w:rsid w:val="007B6483"/>
    <w:rsid w:val="007B64E1"/>
    <w:rsid w:val="007B678F"/>
    <w:rsid w:val="007C02E4"/>
    <w:rsid w:val="007C068C"/>
    <w:rsid w:val="007C0A51"/>
    <w:rsid w:val="007C0D1F"/>
    <w:rsid w:val="007C0D74"/>
    <w:rsid w:val="007C0E2E"/>
    <w:rsid w:val="007C1584"/>
    <w:rsid w:val="007C1635"/>
    <w:rsid w:val="007C21D4"/>
    <w:rsid w:val="007C2490"/>
    <w:rsid w:val="007C2C20"/>
    <w:rsid w:val="007C30D1"/>
    <w:rsid w:val="007C3439"/>
    <w:rsid w:val="007C3559"/>
    <w:rsid w:val="007C3840"/>
    <w:rsid w:val="007C3F7B"/>
    <w:rsid w:val="007C40E1"/>
    <w:rsid w:val="007C452D"/>
    <w:rsid w:val="007C46DB"/>
    <w:rsid w:val="007C4A0E"/>
    <w:rsid w:val="007C5A99"/>
    <w:rsid w:val="007C6565"/>
    <w:rsid w:val="007C73B1"/>
    <w:rsid w:val="007C75DB"/>
    <w:rsid w:val="007C763C"/>
    <w:rsid w:val="007C7D0E"/>
    <w:rsid w:val="007C7FC0"/>
    <w:rsid w:val="007D043F"/>
    <w:rsid w:val="007D051A"/>
    <w:rsid w:val="007D09C8"/>
    <w:rsid w:val="007D0F9D"/>
    <w:rsid w:val="007D1321"/>
    <w:rsid w:val="007D160A"/>
    <w:rsid w:val="007D19A4"/>
    <w:rsid w:val="007D19CB"/>
    <w:rsid w:val="007D1B04"/>
    <w:rsid w:val="007D25C4"/>
    <w:rsid w:val="007D34F2"/>
    <w:rsid w:val="007D36BC"/>
    <w:rsid w:val="007D3C46"/>
    <w:rsid w:val="007D41DA"/>
    <w:rsid w:val="007D4375"/>
    <w:rsid w:val="007D43D8"/>
    <w:rsid w:val="007D48C3"/>
    <w:rsid w:val="007D4F4A"/>
    <w:rsid w:val="007D59A1"/>
    <w:rsid w:val="007D59E9"/>
    <w:rsid w:val="007D59EF"/>
    <w:rsid w:val="007D6213"/>
    <w:rsid w:val="007D6792"/>
    <w:rsid w:val="007D6CA2"/>
    <w:rsid w:val="007D7019"/>
    <w:rsid w:val="007D7562"/>
    <w:rsid w:val="007E0A73"/>
    <w:rsid w:val="007E1387"/>
    <w:rsid w:val="007E1FF6"/>
    <w:rsid w:val="007E235E"/>
    <w:rsid w:val="007E2E94"/>
    <w:rsid w:val="007E3042"/>
    <w:rsid w:val="007E31E3"/>
    <w:rsid w:val="007E3A66"/>
    <w:rsid w:val="007E421C"/>
    <w:rsid w:val="007E4CF0"/>
    <w:rsid w:val="007E51FF"/>
    <w:rsid w:val="007E5831"/>
    <w:rsid w:val="007E59BF"/>
    <w:rsid w:val="007E5D79"/>
    <w:rsid w:val="007E5EE6"/>
    <w:rsid w:val="007E668D"/>
    <w:rsid w:val="007E6C55"/>
    <w:rsid w:val="007E6F8A"/>
    <w:rsid w:val="007E7E7F"/>
    <w:rsid w:val="007F1B57"/>
    <w:rsid w:val="007F204B"/>
    <w:rsid w:val="007F24DC"/>
    <w:rsid w:val="007F2555"/>
    <w:rsid w:val="007F3122"/>
    <w:rsid w:val="007F4146"/>
    <w:rsid w:val="007F476D"/>
    <w:rsid w:val="007F47C0"/>
    <w:rsid w:val="007F4C67"/>
    <w:rsid w:val="007F592E"/>
    <w:rsid w:val="007F5E10"/>
    <w:rsid w:val="007F6220"/>
    <w:rsid w:val="007F62C0"/>
    <w:rsid w:val="007F6A09"/>
    <w:rsid w:val="007F6AE1"/>
    <w:rsid w:val="007F7827"/>
    <w:rsid w:val="00800C51"/>
    <w:rsid w:val="008014B2"/>
    <w:rsid w:val="00801D29"/>
    <w:rsid w:val="0080285B"/>
    <w:rsid w:val="00802D27"/>
    <w:rsid w:val="00802F65"/>
    <w:rsid w:val="00803413"/>
    <w:rsid w:val="00804300"/>
    <w:rsid w:val="00804DF5"/>
    <w:rsid w:val="00804EB2"/>
    <w:rsid w:val="00805165"/>
    <w:rsid w:val="008077F1"/>
    <w:rsid w:val="008079DC"/>
    <w:rsid w:val="0081016B"/>
    <w:rsid w:val="008114A0"/>
    <w:rsid w:val="008115C9"/>
    <w:rsid w:val="00811B1B"/>
    <w:rsid w:val="00812A29"/>
    <w:rsid w:val="008135DE"/>
    <w:rsid w:val="00813D29"/>
    <w:rsid w:val="00813E98"/>
    <w:rsid w:val="00813FF3"/>
    <w:rsid w:val="0081430A"/>
    <w:rsid w:val="00814C01"/>
    <w:rsid w:val="008152D8"/>
    <w:rsid w:val="0081533F"/>
    <w:rsid w:val="00815437"/>
    <w:rsid w:val="00815722"/>
    <w:rsid w:val="00815950"/>
    <w:rsid w:val="00815C76"/>
    <w:rsid w:val="00816051"/>
    <w:rsid w:val="0081718A"/>
    <w:rsid w:val="0081795D"/>
    <w:rsid w:val="00820D84"/>
    <w:rsid w:val="00821721"/>
    <w:rsid w:val="00821745"/>
    <w:rsid w:val="00821C31"/>
    <w:rsid w:val="00821CDF"/>
    <w:rsid w:val="00821DC3"/>
    <w:rsid w:val="00821F52"/>
    <w:rsid w:val="00822120"/>
    <w:rsid w:val="00822C48"/>
    <w:rsid w:val="00823F38"/>
    <w:rsid w:val="008240EA"/>
    <w:rsid w:val="00824B3A"/>
    <w:rsid w:val="008250DB"/>
    <w:rsid w:val="008254D5"/>
    <w:rsid w:val="00825A46"/>
    <w:rsid w:val="00825F59"/>
    <w:rsid w:val="00826294"/>
    <w:rsid w:val="00826860"/>
    <w:rsid w:val="00826AC4"/>
    <w:rsid w:val="00826D93"/>
    <w:rsid w:val="0082705D"/>
    <w:rsid w:val="0082750C"/>
    <w:rsid w:val="0082794C"/>
    <w:rsid w:val="00827A9A"/>
    <w:rsid w:val="00827F4C"/>
    <w:rsid w:val="00830032"/>
    <w:rsid w:val="00830218"/>
    <w:rsid w:val="0083031C"/>
    <w:rsid w:val="00830573"/>
    <w:rsid w:val="00830953"/>
    <w:rsid w:val="00830B9D"/>
    <w:rsid w:val="0083113A"/>
    <w:rsid w:val="00831548"/>
    <w:rsid w:val="00831780"/>
    <w:rsid w:val="00831A2D"/>
    <w:rsid w:val="00831D7D"/>
    <w:rsid w:val="008321C8"/>
    <w:rsid w:val="008326F9"/>
    <w:rsid w:val="008329B0"/>
    <w:rsid w:val="008335F1"/>
    <w:rsid w:val="00834995"/>
    <w:rsid w:val="00834F6C"/>
    <w:rsid w:val="008355CD"/>
    <w:rsid w:val="00835A7D"/>
    <w:rsid w:val="00835F8D"/>
    <w:rsid w:val="0083623C"/>
    <w:rsid w:val="008369B8"/>
    <w:rsid w:val="00836FF7"/>
    <w:rsid w:val="0083720F"/>
    <w:rsid w:val="008377BD"/>
    <w:rsid w:val="00837849"/>
    <w:rsid w:val="008379F4"/>
    <w:rsid w:val="00837FDB"/>
    <w:rsid w:val="0083BDC9"/>
    <w:rsid w:val="0084020F"/>
    <w:rsid w:val="00840318"/>
    <w:rsid w:val="008405D0"/>
    <w:rsid w:val="008406E8"/>
    <w:rsid w:val="00840837"/>
    <w:rsid w:val="00840944"/>
    <w:rsid w:val="00840AA4"/>
    <w:rsid w:val="008410C0"/>
    <w:rsid w:val="00841298"/>
    <w:rsid w:val="008414C5"/>
    <w:rsid w:val="00842637"/>
    <w:rsid w:val="00842CF4"/>
    <w:rsid w:val="00843795"/>
    <w:rsid w:val="008452CB"/>
    <w:rsid w:val="008453CB"/>
    <w:rsid w:val="008464CE"/>
    <w:rsid w:val="00846510"/>
    <w:rsid w:val="00846850"/>
    <w:rsid w:val="00846A63"/>
    <w:rsid w:val="008470FC"/>
    <w:rsid w:val="008471B7"/>
    <w:rsid w:val="00847342"/>
    <w:rsid w:val="008473D0"/>
    <w:rsid w:val="00847BE1"/>
    <w:rsid w:val="0085016A"/>
    <w:rsid w:val="0085022B"/>
    <w:rsid w:val="00850732"/>
    <w:rsid w:val="00850A09"/>
    <w:rsid w:val="00850B45"/>
    <w:rsid w:val="00851010"/>
    <w:rsid w:val="00851066"/>
    <w:rsid w:val="00851331"/>
    <w:rsid w:val="00852720"/>
    <w:rsid w:val="008527D9"/>
    <w:rsid w:val="00852BB3"/>
    <w:rsid w:val="00852BC0"/>
    <w:rsid w:val="00852E19"/>
    <w:rsid w:val="00852ECA"/>
    <w:rsid w:val="00853D41"/>
    <w:rsid w:val="00853E3B"/>
    <w:rsid w:val="00853EAB"/>
    <w:rsid w:val="008546EE"/>
    <w:rsid w:val="00854774"/>
    <w:rsid w:val="00854A76"/>
    <w:rsid w:val="00855F7F"/>
    <w:rsid w:val="00856D8E"/>
    <w:rsid w:val="008570BF"/>
    <w:rsid w:val="0085752B"/>
    <w:rsid w:val="008575A3"/>
    <w:rsid w:val="00857808"/>
    <w:rsid w:val="00857C21"/>
    <w:rsid w:val="00860352"/>
    <w:rsid w:val="00860601"/>
    <w:rsid w:val="00860B49"/>
    <w:rsid w:val="00860DF4"/>
    <w:rsid w:val="00861178"/>
    <w:rsid w:val="00861B39"/>
    <w:rsid w:val="00861C7B"/>
    <w:rsid w:val="00861C81"/>
    <w:rsid w:val="00862427"/>
    <w:rsid w:val="0086249A"/>
    <w:rsid w:val="0086261C"/>
    <w:rsid w:val="00862816"/>
    <w:rsid w:val="00862DCB"/>
    <w:rsid w:val="00863737"/>
    <w:rsid w:val="00864286"/>
    <w:rsid w:val="008643D9"/>
    <w:rsid w:val="008643F3"/>
    <w:rsid w:val="0086481F"/>
    <w:rsid w:val="00864C75"/>
    <w:rsid w:val="0086576B"/>
    <w:rsid w:val="00865F83"/>
    <w:rsid w:val="008663A2"/>
    <w:rsid w:val="008664EA"/>
    <w:rsid w:val="008666C4"/>
    <w:rsid w:val="00866D74"/>
    <w:rsid w:val="00866E16"/>
    <w:rsid w:val="00866ED7"/>
    <w:rsid w:val="00867C23"/>
    <w:rsid w:val="00870450"/>
    <w:rsid w:val="00870D57"/>
    <w:rsid w:val="00870F98"/>
    <w:rsid w:val="00871408"/>
    <w:rsid w:val="00871CE9"/>
    <w:rsid w:val="00871DB8"/>
    <w:rsid w:val="00872B36"/>
    <w:rsid w:val="00872D96"/>
    <w:rsid w:val="0087344F"/>
    <w:rsid w:val="0087371E"/>
    <w:rsid w:val="0087397D"/>
    <w:rsid w:val="00873FD6"/>
    <w:rsid w:val="008741AD"/>
    <w:rsid w:val="0087425A"/>
    <w:rsid w:val="00875046"/>
    <w:rsid w:val="00875A36"/>
    <w:rsid w:val="00875B1D"/>
    <w:rsid w:val="008763A1"/>
    <w:rsid w:val="00876724"/>
    <w:rsid w:val="00876B5F"/>
    <w:rsid w:val="00876DA2"/>
    <w:rsid w:val="00876E96"/>
    <w:rsid w:val="00877061"/>
    <w:rsid w:val="0087785F"/>
    <w:rsid w:val="008778D7"/>
    <w:rsid w:val="0088035E"/>
    <w:rsid w:val="008808F7"/>
    <w:rsid w:val="00881563"/>
    <w:rsid w:val="00881C44"/>
    <w:rsid w:val="00881D4F"/>
    <w:rsid w:val="0088229F"/>
    <w:rsid w:val="00882AAE"/>
    <w:rsid w:val="00882B4F"/>
    <w:rsid w:val="00882C9F"/>
    <w:rsid w:val="00882F2E"/>
    <w:rsid w:val="008832BF"/>
    <w:rsid w:val="0088391A"/>
    <w:rsid w:val="008839BC"/>
    <w:rsid w:val="00883B45"/>
    <w:rsid w:val="00883DFC"/>
    <w:rsid w:val="008844BC"/>
    <w:rsid w:val="008844C5"/>
    <w:rsid w:val="00884626"/>
    <w:rsid w:val="0088465B"/>
    <w:rsid w:val="00884889"/>
    <w:rsid w:val="00885B11"/>
    <w:rsid w:val="00885D57"/>
    <w:rsid w:val="00885D69"/>
    <w:rsid w:val="0088600D"/>
    <w:rsid w:val="0088617B"/>
    <w:rsid w:val="008867FE"/>
    <w:rsid w:val="00886ABF"/>
    <w:rsid w:val="00886E42"/>
    <w:rsid w:val="00886EF4"/>
    <w:rsid w:val="0088701D"/>
    <w:rsid w:val="00887D4D"/>
    <w:rsid w:val="00887F1E"/>
    <w:rsid w:val="00890874"/>
    <w:rsid w:val="00890B6B"/>
    <w:rsid w:val="00890C3D"/>
    <w:rsid w:val="00890FE6"/>
    <w:rsid w:val="008918E6"/>
    <w:rsid w:val="00891F2D"/>
    <w:rsid w:val="008928B1"/>
    <w:rsid w:val="00892AA9"/>
    <w:rsid w:val="00892FE8"/>
    <w:rsid w:val="008930D8"/>
    <w:rsid w:val="00893239"/>
    <w:rsid w:val="0089387A"/>
    <w:rsid w:val="00893AE1"/>
    <w:rsid w:val="00893FA8"/>
    <w:rsid w:val="0089589C"/>
    <w:rsid w:val="008958AC"/>
    <w:rsid w:val="00896442"/>
    <w:rsid w:val="00896655"/>
    <w:rsid w:val="00897F38"/>
    <w:rsid w:val="008A03C2"/>
    <w:rsid w:val="008A0E4A"/>
    <w:rsid w:val="008A162A"/>
    <w:rsid w:val="008A1DDF"/>
    <w:rsid w:val="008A1FCF"/>
    <w:rsid w:val="008A2017"/>
    <w:rsid w:val="008A37CD"/>
    <w:rsid w:val="008A3B46"/>
    <w:rsid w:val="008A3ED2"/>
    <w:rsid w:val="008A3FF7"/>
    <w:rsid w:val="008A4192"/>
    <w:rsid w:val="008A4287"/>
    <w:rsid w:val="008A47E5"/>
    <w:rsid w:val="008A48D1"/>
    <w:rsid w:val="008A4DFC"/>
    <w:rsid w:val="008A51D6"/>
    <w:rsid w:val="008A5269"/>
    <w:rsid w:val="008A59BB"/>
    <w:rsid w:val="008A5CAE"/>
    <w:rsid w:val="008A5F38"/>
    <w:rsid w:val="008A6308"/>
    <w:rsid w:val="008A655C"/>
    <w:rsid w:val="008B0A13"/>
    <w:rsid w:val="008B10A2"/>
    <w:rsid w:val="008B1D7C"/>
    <w:rsid w:val="008B26B2"/>
    <w:rsid w:val="008B2B3B"/>
    <w:rsid w:val="008B2B73"/>
    <w:rsid w:val="008B2BF1"/>
    <w:rsid w:val="008B3933"/>
    <w:rsid w:val="008B43A9"/>
    <w:rsid w:val="008B4BB0"/>
    <w:rsid w:val="008B4F4D"/>
    <w:rsid w:val="008B5044"/>
    <w:rsid w:val="008B6159"/>
    <w:rsid w:val="008B61DB"/>
    <w:rsid w:val="008B61F3"/>
    <w:rsid w:val="008B68E6"/>
    <w:rsid w:val="008B6A1F"/>
    <w:rsid w:val="008B6A96"/>
    <w:rsid w:val="008B6C72"/>
    <w:rsid w:val="008B6F3A"/>
    <w:rsid w:val="008B70FF"/>
    <w:rsid w:val="008B7904"/>
    <w:rsid w:val="008B7C81"/>
    <w:rsid w:val="008C00C7"/>
    <w:rsid w:val="008C0232"/>
    <w:rsid w:val="008C0394"/>
    <w:rsid w:val="008C0774"/>
    <w:rsid w:val="008C08E3"/>
    <w:rsid w:val="008C15ED"/>
    <w:rsid w:val="008C2A2A"/>
    <w:rsid w:val="008C2CEC"/>
    <w:rsid w:val="008C35B2"/>
    <w:rsid w:val="008C4386"/>
    <w:rsid w:val="008C55A3"/>
    <w:rsid w:val="008C5949"/>
    <w:rsid w:val="008C5FB0"/>
    <w:rsid w:val="008C66F1"/>
    <w:rsid w:val="008C6C86"/>
    <w:rsid w:val="008C6E36"/>
    <w:rsid w:val="008C71CC"/>
    <w:rsid w:val="008C72D2"/>
    <w:rsid w:val="008C75DD"/>
    <w:rsid w:val="008C7AE4"/>
    <w:rsid w:val="008C7D44"/>
    <w:rsid w:val="008C7D9D"/>
    <w:rsid w:val="008D031C"/>
    <w:rsid w:val="008D0666"/>
    <w:rsid w:val="008D2A22"/>
    <w:rsid w:val="008D2A7A"/>
    <w:rsid w:val="008D2CE0"/>
    <w:rsid w:val="008D3012"/>
    <w:rsid w:val="008D36B5"/>
    <w:rsid w:val="008D436B"/>
    <w:rsid w:val="008D4623"/>
    <w:rsid w:val="008D48E7"/>
    <w:rsid w:val="008D4A95"/>
    <w:rsid w:val="008D4E5D"/>
    <w:rsid w:val="008D50F1"/>
    <w:rsid w:val="008D5729"/>
    <w:rsid w:val="008D57B7"/>
    <w:rsid w:val="008D58B1"/>
    <w:rsid w:val="008D5EC4"/>
    <w:rsid w:val="008D6206"/>
    <w:rsid w:val="008D7DC0"/>
    <w:rsid w:val="008E0B64"/>
    <w:rsid w:val="008E137E"/>
    <w:rsid w:val="008E1615"/>
    <w:rsid w:val="008E171E"/>
    <w:rsid w:val="008E1758"/>
    <w:rsid w:val="008E176D"/>
    <w:rsid w:val="008E1B00"/>
    <w:rsid w:val="008E1D31"/>
    <w:rsid w:val="008E21BA"/>
    <w:rsid w:val="008E2280"/>
    <w:rsid w:val="008E251A"/>
    <w:rsid w:val="008E2944"/>
    <w:rsid w:val="008E2B1F"/>
    <w:rsid w:val="008E2B63"/>
    <w:rsid w:val="008E3244"/>
    <w:rsid w:val="008E50FE"/>
    <w:rsid w:val="008E5598"/>
    <w:rsid w:val="008E588D"/>
    <w:rsid w:val="008E5C45"/>
    <w:rsid w:val="008E5ED8"/>
    <w:rsid w:val="008E61DB"/>
    <w:rsid w:val="008E67C6"/>
    <w:rsid w:val="008E6E66"/>
    <w:rsid w:val="008E6FDC"/>
    <w:rsid w:val="008E7534"/>
    <w:rsid w:val="008E7577"/>
    <w:rsid w:val="008E7855"/>
    <w:rsid w:val="008F002B"/>
    <w:rsid w:val="008F0EC5"/>
    <w:rsid w:val="008F1561"/>
    <w:rsid w:val="008F2594"/>
    <w:rsid w:val="008F2EEF"/>
    <w:rsid w:val="008F3133"/>
    <w:rsid w:val="008F397C"/>
    <w:rsid w:val="008F438A"/>
    <w:rsid w:val="008F4758"/>
    <w:rsid w:val="008F477C"/>
    <w:rsid w:val="008F534F"/>
    <w:rsid w:val="008F5FC5"/>
    <w:rsid w:val="008F6038"/>
    <w:rsid w:val="008F62A8"/>
    <w:rsid w:val="008F63A4"/>
    <w:rsid w:val="008F6922"/>
    <w:rsid w:val="008F6F6F"/>
    <w:rsid w:val="008F7316"/>
    <w:rsid w:val="008F7531"/>
    <w:rsid w:val="009000DC"/>
    <w:rsid w:val="0090017D"/>
    <w:rsid w:val="00900A27"/>
    <w:rsid w:val="00900BF9"/>
    <w:rsid w:val="00900E53"/>
    <w:rsid w:val="00901A75"/>
    <w:rsid w:val="0090257A"/>
    <w:rsid w:val="00902C10"/>
    <w:rsid w:val="00903100"/>
    <w:rsid w:val="009035FC"/>
    <w:rsid w:val="00904082"/>
    <w:rsid w:val="00904EDC"/>
    <w:rsid w:val="00905018"/>
    <w:rsid w:val="0090509B"/>
    <w:rsid w:val="00905BB7"/>
    <w:rsid w:val="009063CE"/>
    <w:rsid w:val="00906816"/>
    <w:rsid w:val="00906B56"/>
    <w:rsid w:val="00906F89"/>
    <w:rsid w:val="009072B5"/>
    <w:rsid w:val="009078E3"/>
    <w:rsid w:val="00907B1D"/>
    <w:rsid w:val="00907B5F"/>
    <w:rsid w:val="00907C21"/>
    <w:rsid w:val="00910054"/>
    <w:rsid w:val="009108DE"/>
    <w:rsid w:val="00910DD8"/>
    <w:rsid w:val="00911027"/>
    <w:rsid w:val="00911066"/>
    <w:rsid w:val="009113B1"/>
    <w:rsid w:val="00911BC4"/>
    <w:rsid w:val="00911CBD"/>
    <w:rsid w:val="00912390"/>
    <w:rsid w:val="00912C02"/>
    <w:rsid w:val="00912C35"/>
    <w:rsid w:val="009137EB"/>
    <w:rsid w:val="00914370"/>
    <w:rsid w:val="009143D4"/>
    <w:rsid w:val="0091490C"/>
    <w:rsid w:val="0091520C"/>
    <w:rsid w:val="0091608E"/>
    <w:rsid w:val="00916696"/>
    <w:rsid w:val="0091700F"/>
    <w:rsid w:val="00917AFA"/>
    <w:rsid w:val="00917E32"/>
    <w:rsid w:val="00920E1E"/>
    <w:rsid w:val="009210B8"/>
    <w:rsid w:val="00921553"/>
    <w:rsid w:val="00922059"/>
    <w:rsid w:val="00922085"/>
    <w:rsid w:val="0092218E"/>
    <w:rsid w:val="00922A5C"/>
    <w:rsid w:val="00922E60"/>
    <w:rsid w:val="00922F7E"/>
    <w:rsid w:val="0092307A"/>
    <w:rsid w:val="00923BC8"/>
    <w:rsid w:val="0092442C"/>
    <w:rsid w:val="0092447E"/>
    <w:rsid w:val="0092474F"/>
    <w:rsid w:val="009252B4"/>
    <w:rsid w:val="0092611C"/>
    <w:rsid w:val="00926926"/>
    <w:rsid w:val="0092717C"/>
    <w:rsid w:val="00927815"/>
    <w:rsid w:val="00927EFF"/>
    <w:rsid w:val="009303A8"/>
    <w:rsid w:val="00930915"/>
    <w:rsid w:val="009319C9"/>
    <w:rsid w:val="00931B6B"/>
    <w:rsid w:val="00931C7D"/>
    <w:rsid w:val="0093290D"/>
    <w:rsid w:val="00932D49"/>
    <w:rsid w:val="009330C5"/>
    <w:rsid w:val="00933488"/>
    <w:rsid w:val="00933FFF"/>
    <w:rsid w:val="009342DE"/>
    <w:rsid w:val="009344C5"/>
    <w:rsid w:val="00934F0C"/>
    <w:rsid w:val="0093581E"/>
    <w:rsid w:val="00935848"/>
    <w:rsid w:val="00935CE3"/>
    <w:rsid w:val="009367A0"/>
    <w:rsid w:val="00936AC0"/>
    <w:rsid w:val="009373B2"/>
    <w:rsid w:val="0093772A"/>
    <w:rsid w:val="00937943"/>
    <w:rsid w:val="00937BE0"/>
    <w:rsid w:val="00941412"/>
    <w:rsid w:val="00941BDD"/>
    <w:rsid w:val="0094255C"/>
    <w:rsid w:val="0094278D"/>
    <w:rsid w:val="00942D60"/>
    <w:rsid w:val="009437F2"/>
    <w:rsid w:val="00943D70"/>
    <w:rsid w:val="0094424B"/>
    <w:rsid w:val="009446A9"/>
    <w:rsid w:val="00944988"/>
    <w:rsid w:val="009450EE"/>
    <w:rsid w:val="0094517A"/>
    <w:rsid w:val="009454EC"/>
    <w:rsid w:val="0094564C"/>
    <w:rsid w:val="00945953"/>
    <w:rsid w:val="009461E2"/>
    <w:rsid w:val="0094680A"/>
    <w:rsid w:val="00946D1D"/>
    <w:rsid w:val="00947F30"/>
    <w:rsid w:val="00951F70"/>
    <w:rsid w:val="00952509"/>
    <w:rsid w:val="00952906"/>
    <w:rsid w:val="009529C1"/>
    <w:rsid w:val="0095314D"/>
    <w:rsid w:val="00953627"/>
    <w:rsid w:val="00953DCC"/>
    <w:rsid w:val="00954083"/>
    <w:rsid w:val="0095427F"/>
    <w:rsid w:val="009544E6"/>
    <w:rsid w:val="00954BA1"/>
    <w:rsid w:val="00954FD6"/>
    <w:rsid w:val="00955045"/>
    <w:rsid w:val="0095528B"/>
    <w:rsid w:val="00955603"/>
    <w:rsid w:val="0095620B"/>
    <w:rsid w:val="0095626B"/>
    <w:rsid w:val="00956CBF"/>
    <w:rsid w:val="0096081C"/>
    <w:rsid w:val="009609FD"/>
    <w:rsid w:val="00960C57"/>
    <w:rsid w:val="00960DC9"/>
    <w:rsid w:val="009612E1"/>
    <w:rsid w:val="00961545"/>
    <w:rsid w:val="00961681"/>
    <w:rsid w:val="00961934"/>
    <w:rsid w:val="00961988"/>
    <w:rsid w:val="00961A2C"/>
    <w:rsid w:val="00961EEC"/>
    <w:rsid w:val="0096225D"/>
    <w:rsid w:val="009624AF"/>
    <w:rsid w:val="00962E65"/>
    <w:rsid w:val="00962E67"/>
    <w:rsid w:val="00962E74"/>
    <w:rsid w:val="00963236"/>
    <w:rsid w:val="009638EB"/>
    <w:rsid w:val="0096464F"/>
    <w:rsid w:val="009648E9"/>
    <w:rsid w:val="0096506E"/>
    <w:rsid w:val="009653BB"/>
    <w:rsid w:val="00965685"/>
    <w:rsid w:val="00965AF1"/>
    <w:rsid w:val="00965BC0"/>
    <w:rsid w:val="00965EA8"/>
    <w:rsid w:val="009670A6"/>
    <w:rsid w:val="00967E3F"/>
    <w:rsid w:val="009700EC"/>
    <w:rsid w:val="009708C3"/>
    <w:rsid w:val="0097090D"/>
    <w:rsid w:val="009711D4"/>
    <w:rsid w:val="009711ED"/>
    <w:rsid w:val="00971923"/>
    <w:rsid w:val="00971D16"/>
    <w:rsid w:val="00971E65"/>
    <w:rsid w:val="00972AD1"/>
    <w:rsid w:val="00973905"/>
    <w:rsid w:val="00973F7F"/>
    <w:rsid w:val="009740F5"/>
    <w:rsid w:val="00974AEA"/>
    <w:rsid w:val="0097556A"/>
    <w:rsid w:val="009761FB"/>
    <w:rsid w:val="00976213"/>
    <w:rsid w:val="009762D3"/>
    <w:rsid w:val="009767E7"/>
    <w:rsid w:val="00976B2D"/>
    <w:rsid w:val="00976D5D"/>
    <w:rsid w:val="00977556"/>
    <w:rsid w:val="00977C95"/>
    <w:rsid w:val="00977D9C"/>
    <w:rsid w:val="009800B9"/>
    <w:rsid w:val="0098103F"/>
    <w:rsid w:val="00981166"/>
    <w:rsid w:val="0098210A"/>
    <w:rsid w:val="0098256D"/>
    <w:rsid w:val="009827E2"/>
    <w:rsid w:val="009828B9"/>
    <w:rsid w:val="00982D9E"/>
    <w:rsid w:val="0098302B"/>
    <w:rsid w:val="009831D8"/>
    <w:rsid w:val="00983284"/>
    <w:rsid w:val="00983B0B"/>
    <w:rsid w:val="00983B25"/>
    <w:rsid w:val="00984175"/>
    <w:rsid w:val="009844E1"/>
    <w:rsid w:val="009845A2"/>
    <w:rsid w:val="0098484F"/>
    <w:rsid w:val="00984943"/>
    <w:rsid w:val="00985155"/>
    <w:rsid w:val="00985236"/>
    <w:rsid w:val="0098593E"/>
    <w:rsid w:val="009859F3"/>
    <w:rsid w:val="00985B5F"/>
    <w:rsid w:val="00986B3F"/>
    <w:rsid w:val="00986E29"/>
    <w:rsid w:val="00987035"/>
    <w:rsid w:val="009872A8"/>
    <w:rsid w:val="0098744D"/>
    <w:rsid w:val="009875D2"/>
    <w:rsid w:val="009876D1"/>
    <w:rsid w:val="009878A2"/>
    <w:rsid w:val="00987B00"/>
    <w:rsid w:val="00987B55"/>
    <w:rsid w:val="00987EDC"/>
    <w:rsid w:val="00990192"/>
    <w:rsid w:val="0099030E"/>
    <w:rsid w:val="00991015"/>
    <w:rsid w:val="009912E1"/>
    <w:rsid w:val="009912E4"/>
    <w:rsid w:val="009912EC"/>
    <w:rsid w:val="009919D7"/>
    <w:rsid w:val="00992413"/>
    <w:rsid w:val="0099245E"/>
    <w:rsid w:val="00992A38"/>
    <w:rsid w:val="009935D4"/>
    <w:rsid w:val="009937B2"/>
    <w:rsid w:val="00993999"/>
    <w:rsid w:val="00993AC5"/>
    <w:rsid w:val="00993BED"/>
    <w:rsid w:val="0099446A"/>
    <w:rsid w:val="00994AED"/>
    <w:rsid w:val="009956EB"/>
    <w:rsid w:val="00995887"/>
    <w:rsid w:val="00995A70"/>
    <w:rsid w:val="009964D5"/>
    <w:rsid w:val="00996B08"/>
    <w:rsid w:val="009A0072"/>
    <w:rsid w:val="009A0172"/>
    <w:rsid w:val="009A04C8"/>
    <w:rsid w:val="009A07E8"/>
    <w:rsid w:val="009A0B43"/>
    <w:rsid w:val="009A0C6A"/>
    <w:rsid w:val="009A0E5A"/>
    <w:rsid w:val="009A1098"/>
    <w:rsid w:val="009A196F"/>
    <w:rsid w:val="009A2933"/>
    <w:rsid w:val="009A395F"/>
    <w:rsid w:val="009A3BA4"/>
    <w:rsid w:val="009A3EEB"/>
    <w:rsid w:val="009A401F"/>
    <w:rsid w:val="009A479A"/>
    <w:rsid w:val="009A69AB"/>
    <w:rsid w:val="009A6A5E"/>
    <w:rsid w:val="009A738C"/>
    <w:rsid w:val="009A7A0B"/>
    <w:rsid w:val="009B098D"/>
    <w:rsid w:val="009B0D81"/>
    <w:rsid w:val="009B1095"/>
    <w:rsid w:val="009B14E2"/>
    <w:rsid w:val="009B1D90"/>
    <w:rsid w:val="009B26F4"/>
    <w:rsid w:val="009B3037"/>
    <w:rsid w:val="009B3E8C"/>
    <w:rsid w:val="009B448F"/>
    <w:rsid w:val="009B4504"/>
    <w:rsid w:val="009B4508"/>
    <w:rsid w:val="009B456A"/>
    <w:rsid w:val="009B46C1"/>
    <w:rsid w:val="009B4A21"/>
    <w:rsid w:val="009B4ED6"/>
    <w:rsid w:val="009B4FA3"/>
    <w:rsid w:val="009B5171"/>
    <w:rsid w:val="009B559F"/>
    <w:rsid w:val="009B5851"/>
    <w:rsid w:val="009B58E0"/>
    <w:rsid w:val="009B65D1"/>
    <w:rsid w:val="009B678A"/>
    <w:rsid w:val="009B6A8C"/>
    <w:rsid w:val="009B6C09"/>
    <w:rsid w:val="009B700F"/>
    <w:rsid w:val="009B7060"/>
    <w:rsid w:val="009B73F3"/>
    <w:rsid w:val="009B7532"/>
    <w:rsid w:val="009B7D8C"/>
    <w:rsid w:val="009C0FC8"/>
    <w:rsid w:val="009C1D51"/>
    <w:rsid w:val="009C2555"/>
    <w:rsid w:val="009C2C36"/>
    <w:rsid w:val="009C2CB0"/>
    <w:rsid w:val="009C2D4A"/>
    <w:rsid w:val="009C39F3"/>
    <w:rsid w:val="009C4555"/>
    <w:rsid w:val="009C5583"/>
    <w:rsid w:val="009C55B9"/>
    <w:rsid w:val="009C57BE"/>
    <w:rsid w:val="009C6F4D"/>
    <w:rsid w:val="009C71D2"/>
    <w:rsid w:val="009C7295"/>
    <w:rsid w:val="009C77BF"/>
    <w:rsid w:val="009C7BB4"/>
    <w:rsid w:val="009C7DCF"/>
    <w:rsid w:val="009D0241"/>
    <w:rsid w:val="009D0432"/>
    <w:rsid w:val="009D0756"/>
    <w:rsid w:val="009D0850"/>
    <w:rsid w:val="009D2C3F"/>
    <w:rsid w:val="009D391B"/>
    <w:rsid w:val="009D3FCE"/>
    <w:rsid w:val="009D41BB"/>
    <w:rsid w:val="009D41D8"/>
    <w:rsid w:val="009D4375"/>
    <w:rsid w:val="009D4BBA"/>
    <w:rsid w:val="009D5037"/>
    <w:rsid w:val="009D52AA"/>
    <w:rsid w:val="009D57B2"/>
    <w:rsid w:val="009D5D12"/>
    <w:rsid w:val="009D5DA1"/>
    <w:rsid w:val="009D6200"/>
    <w:rsid w:val="009D6533"/>
    <w:rsid w:val="009D7107"/>
    <w:rsid w:val="009D7390"/>
    <w:rsid w:val="009D767B"/>
    <w:rsid w:val="009D768E"/>
    <w:rsid w:val="009D7B5D"/>
    <w:rsid w:val="009E0A98"/>
    <w:rsid w:val="009E12D3"/>
    <w:rsid w:val="009E1B6D"/>
    <w:rsid w:val="009E2487"/>
    <w:rsid w:val="009E271F"/>
    <w:rsid w:val="009E2F2D"/>
    <w:rsid w:val="009E30BB"/>
    <w:rsid w:val="009E318E"/>
    <w:rsid w:val="009E3256"/>
    <w:rsid w:val="009E3715"/>
    <w:rsid w:val="009E48C8"/>
    <w:rsid w:val="009E4A17"/>
    <w:rsid w:val="009E4E1B"/>
    <w:rsid w:val="009E57FC"/>
    <w:rsid w:val="009E5AFF"/>
    <w:rsid w:val="009E5DEB"/>
    <w:rsid w:val="009E6079"/>
    <w:rsid w:val="009E6496"/>
    <w:rsid w:val="009E6BF3"/>
    <w:rsid w:val="009E6C91"/>
    <w:rsid w:val="009E6DEB"/>
    <w:rsid w:val="009E6F4C"/>
    <w:rsid w:val="009E7321"/>
    <w:rsid w:val="009E7335"/>
    <w:rsid w:val="009E7455"/>
    <w:rsid w:val="009E7ADE"/>
    <w:rsid w:val="009F02A4"/>
    <w:rsid w:val="009F0B9D"/>
    <w:rsid w:val="009F1441"/>
    <w:rsid w:val="009F16C5"/>
    <w:rsid w:val="009F17A6"/>
    <w:rsid w:val="009F1C77"/>
    <w:rsid w:val="009F2684"/>
    <w:rsid w:val="009F31AD"/>
    <w:rsid w:val="009F32E1"/>
    <w:rsid w:val="009F42E6"/>
    <w:rsid w:val="009F49E2"/>
    <w:rsid w:val="009F4A12"/>
    <w:rsid w:val="009F4F30"/>
    <w:rsid w:val="009F522D"/>
    <w:rsid w:val="009F70E0"/>
    <w:rsid w:val="009F7190"/>
    <w:rsid w:val="009F7951"/>
    <w:rsid w:val="009F7E5A"/>
    <w:rsid w:val="00A004EA"/>
    <w:rsid w:val="00A006DC"/>
    <w:rsid w:val="00A0098A"/>
    <w:rsid w:val="00A013FA"/>
    <w:rsid w:val="00A014E6"/>
    <w:rsid w:val="00A01E29"/>
    <w:rsid w:val="00A020D1"/>
    <w:rsid w:val="00A0267B"/>
    <w:rsid w:val="00A02980"/>
    <w:rsid w:val="00A03B7B"/>
    <w:rsid w:val="00A040F3"/>
    <w:rsid w:val="00A041F0"/>
    <w:rsid w:val="00A0446B"/>
    <w:rsid w:val="00A045EF"/>
    <w:rsid w:val="00A0540C"/>
    <w:rsid w:val="00A0554C"/>
    <w:rsid w:val="00A05F38"/>
    <w:rsid w:val="00A06A37"/>
    <w:rsid w:val="00A06C78"/>
    <w:rsid w:val="00A06E76"/>
    <w:rsid w:val="00A0740B"/>
    <w:rsid w:val="00A07770"/>
    <w:rsid w:val="00A07D0D"/>
    <w:rsid w:val="00A07F33"/>
    <w:rsid w:val="00A1022C"/>
    <w:rsid w:val="00A10554"/>
    <w:rsid w:val="00A1095B"/>
    <w:rsid w:val="00A119A4"/>
    <w:rsid w:val="00A11B3D"/>
    <w:rsid w:val="00A11BEA"/>
    <w:rsid w:val="00A11E3D"/>
    <w:rsid w:val="00A11E5B"/>
    <w:rsid w:val="00A12288"/>
    <w:rsid w:val="00A1260C"/>
    <w:rsid w:val="00A126E5"/>
    <w:rsid w:val="00A12911"/>
    <w:rsid w:val="00A12A7D"/>
    <w:rsid w:val="00A12D33"/>
    <w:rsid w:val="00A12E64"/>
    <w:rsid w:val="00A13D1B"/>
    <w:rsid w:val="00A143AD"/>
    <w:rsid w:val="00A14D49"/>
    <w:rsid w:val="00A1502A"/>
    <w:rsid w:val="00A15BFF"/>
    <w:rsid w:val="00A15E5C"/>
    <w:rsid w:val="00A15FEC"/>
    <w:rsid w:val="00A16257"/>
    <w:rsid w:val="00A16F8B"/>
    <w:rsid w:val="00A17A1B"/>
    <w:rsid w:val="00A17E2A"/>
    <w:rsid w:val="00A204A0"/>
    <w:rsid w:val="00A207F0"/>
    <w:rsid w:val="00A20B59"/>
    <w:rsid w:val="00A20C5F"/>
    <w:rsid w:val="00A2141A"/>
    <w:rsid w:val="00A21683"/>
    <w:rsid w:val="00A219A5"/>
    <w:rsid w:val="00A21B46"/>
    <w:rsid w:val="00A226D9"/>
    <w:rsid w:val="00A22B14"/>
    <w:rsid w:val="00A232EA"/>
    <w:rsid w:val="00A232F6"/>
    <w:rsid w:val="00A23860"/>
    <w:rsid w:val="00A23FCA"/>
    <w:rsid w:val="00A24AE5"/>
    <w:rsid w:val="00A24CF2"/>
    <w:rsid w:val="00A24DC4"/>
    <w:rsid w:val="00A24E67"/>
    <w:rsid w:val="00A24F76"/>
    <w:rsid w:val="00A2507D"/>
    <w:rsid w:val="00A253C7"/>
    <w:rsid w:val="00A25966"/>
    <w:rsid w:val="00A2646E"/>
    <w:rsid w:val="00A2656A"/>
    <w:rsid w:val="00A26844"/>
    <w:rsid w:val="00A268BD"/>
    <w:rsid w:val="00A26AB4"/>
    <w:rsid w:val="00A26BF1"/>
    <w:rsid w:val="00A279EC"/>
    <w:rsid w:val="00A300D3"/>
    <w:rsid w:val="00A304F1"/>
    <w:rsid w:val="00A30EC4"/>
    <w:rsid w:val="00A321E1"/>
    <w:rsid w:val="00A329D2"/>
    <w:rsid w:val="00A32ABF"/>
    <w:rsid w:val="00A330CC"/>
    <w:rsid w:val="00A33206"/>
    <w:rsid w:val="00A33224"/>
    <w:rsid w:val="00A33B5D"/>
    <w:rsid w:val="00A34428"/>
    <w:rsid w:val="00A34540"/>
    <w:rsid w:val="00A34F10"/>
    <w:rsid w:val="00A362E1"/>
    <w:rsid w:val="00A36368"/>
    <w:rsid w:val="00A369DE"/>
    <w:rsid w:val="00A37C09"/>
    <w:rsid w:val="00A37F4B"/>
    <w:rsid w:val="00A40648"/>
    <w:rsid w:val="00A409CF"/>
    <w:rsid w:val="00A40C5E"/>
    <w:rsid w:val="00A410C4"/>
    <w:rsid w:val="00A41776"/>
    <w:rsid w:val="00A41AC7"/>
    <w:rsid w:val="00A41C8B"/>
    <w:rsid w:val="00A42283"/>
    <w:rsid w:val="00A4252C"/>
    <w:rsid w:val="00A42605"/>
    <w:rsid w:val="00A42C3B"/>
    <w:rsid w:val="00A42FFC"/>
    <w:rsid w:val="00A43EA3"/>
    <w:rsid w:val="00A448B2"/>
    <w:rsid w:val="00A44DD6"/>
    <w:rsid w:val="00A45158"/>
    <w:rsid w:val="00A455ED"/>
    <w:rsid w:val="00A455FB"/>
    <w:rsid w:val="00A45699"/>
    <w:rsid w:val="00A458F6"/>
    <w:rsid w:val="00A4590F"/>
    <w:rsid w:val="00A45952"/>
    <w:rsid w:val="00A45AF3"/>
    <w:rsid w:val="00A463A2"/>
    <w:rsid w:val="00A468B0"/>
    <w:rsid w:val="00A4744C"/>
    <w:rsid w:val="00A477BC"/>
    <w:rsid w:val="00A508E1"/>
    <w:rsid w:val="00A50ADE"/>
    <w:rsid w:val="00A50C5C"/>
    <w:rsid w:val="00A50D48"/>
    <w:rsid w:val="00A5127C"/>
    <w:rsid w:val="00A51719"/>
    <w:rsid w:val="00A519A4"/>
    <w:rsid w:val="00A51CFE"/>
    <w:rsid w:val="00A5236E"/>
    <w:rsid w:val="00A52719"/>
    <w:rsid w:val="00A52C35"/>
    <w:rsid w:val="00A533C6"/>
    <w:rsid w:val="00A53E16"/>
    <w:rsid w:val="00A54FE1"/>
    <w:rsid w:val="00A55DF4"/>
    <w:rsid w:val="00A55E94"/>
    <w:rsid w:val="00A56A47"/>
    <w:rsid w:val="00A56F49"/>
    <w:rsid w:val="00A5703C"/>
    <w:rsid w:val="00A573AB"/>
    <w:rsid w:val="00A60285"/>
    <w:rsid w:val="00A61585"/>
    <w:rsid w:val="00A616F1"/>
    <w:rsid w:val="00A61D8D"/>
    <w:rsid w:val="00A61D99"/>
    <w:rsid w:val="00A62456"/>
    <w:rsid w:val="00A624A7"/>
    <w:rsid w:val="00A62F06"/>
    <w:rsid w:val="00A62F74"/>
    <w:rsid w:val="00A63754"/>
    <w:rsid w:val="00A63840"/>
    <w:rsid w:val="00A63AD8"/>
    <w:rsid w:val="00A64213"/>
    <w:rsid w:val="00A6431A"/>
    <w:rsid w:val="00A64640"/>
    <w:rsid w:val="00A64883"/>
    <w:rsid w:val="00A64DEC"/>
    <w:rsid w:val="00A6533C"/>
    <w:rsid w:val="00A667AF"/>
    <w:rsid w:val="00A66AF4"/>
    <w:rsid w:val="00A66F24"/>
    <w:rsid w:val="00A67829"/>
    <w:rsid w:val="00A6784A"/>
    <w:rsid w:val="00A67C85"/>
    <w:rsid w:val="00A70334"/>
    <w:rsid w:val="00A70877"/>
    <w:rsid w:val="00A70880"/>
    <w:rsid w:val="00A70CBB"/>
    <w:rsid w:val="00A70EC4"/>
    <w:rsid w:val="00A71166"/>
    <w:rsid w:val="00A7182C"/>
    <w:rsid w:val="00A7184F"/>
    <w:rsid w:val="00A71A22"/>
    <w:rsid w:val="00A72269"/>
    <w:rsid w:val="00A728EE"/>
    <w:rsid w:val="00A729AA"/>
    <w:rsid w:val="00A731A9"/>
    <w:rsid w:val="00A73AAB"/>
    <w:rsid w:val="00A73D4F"/>
    <w:rsid w:val="00A740C0"/>
    <w:rsid w:val="00A74428"/>
    <w:rsid w:val="00A74DFB"/>
    <w:rsid w:val="00A74F65"/>
    <w:rsid w:val="00A75337"/>
    <w:rsid w:val="00A753C8"/>
    <w:rsid w:val="00A754C9"/>
    <w:rsid w:val="00A757AB"/>
    <w:rsid w:val="00A75AD7"/>
    <w:rsid w:val="00A765AF"/>
    <w:rsid w:val="00A76B55"/>
    <w:rsid w:val="00A770AA"/>
    <w:rsid w:val="00A800C4"/>
    <w:rsid w:val="00A8058E"/>
    <w:rsid w:val="00A80AA5"/>
    <w:rsid w:val="00A80EBD"/>
    <w:rsid w:val="00A81243"/>
    <w:rsid w:val="00A81929"/>
    <w:rsid w:val="00A81944"/>
    <w:rsid w:val="00A8198F"/>
    <w:rsid w:val="00A81AB8"/>
    <w:rsid w:val="00A821F9"/>
    <w:rsid w:val="00A82442"/>
    <w:rsid w:val="00A8316A"/>
    <w:rsid w:val="00A84160"/>
    <w:rsid w:val="00A84CA5"/>
    <w:rsid w:val="00A84D59"/>
    <w:rsid w:val="00A84DDE"/>
    <w:rsid w:val="00A84F34"/>
    <w:rsid w:val="00A85509"/>
    <w:rsid w:val="00A8556D"/>
    <w:rsid w:val="00A8579E"/>
    <w:rsid w:val="00A85A79"/>
    <w:rsid w:val="00A86211"/>
    <w:rsid w:val="00A86411"/>
    <w:rsid w:val="00A872B0"/>
    <w:rsid w:val="00A8783E"/>
    <w:rsid w:val="00A87959"/>
    <w:rsid w:val="00A87BFD"/>
    <w:rsid w:val="00A90207"/>
    <w:rsid w:val="00A90365"/>
    <w:rsid w:val="00A907C2"/>
    <w:rsid w:val="00A907CF"/>
    <w:rsid w:val="00A90A66"/>
    <w:rsid w:val="00A90E11"/>
    <w:rsid w:val="00A90F7B"/>
    <w:rsid w:val="00A91287"/>
    <w:rsid w:val="00A91621"/>
    <w:rsid w:val="00A9180E"/>
    <w:rsid w:val="00A91E73"/>
    <w:rsid w:val="00A921AC"/>
    <w:rsid w:val="00A9225A"/>
    <w:rsid w:val="00A936E7"/>
    <w:rsid w:val="00A93948"/>
    <w:rsid w:val="00A93C29"/>
    <w:rsid w:val="00A94BBE"/>
    <w:rsid w:val="00A94CDC"/>
    <w:rsid w:val="00A952C8"/>
    <w:rsid w:val="00A95466"/>
    <w:rsid w:val="00A9553F"/>
    <w:rsid w:val="00A95BEB"/>
    <w:rsid w:val="00A95F90"/>
    <w:rsid w:val="00A96AE8"/>
    <w:rsid w:val="00AA0347"/>
    <w:rsid w:val="00AA21DA"/>
    <w:rsid w:val="00AA2530"/>
    <w:rsid w:val="00AA2638"/>
    <w:rsid w:val="00AA2D87"/>
    <w:rsid w:val="00AA2E80"/>
    <w:rsid w:val="00AA3162"/>
    <w:rsid w:val="00AA31B9"/>
    <w:rsid w:val="00AA3683"/>
    <w:rsid w:val="00AA3ABD"/>
    <w:rsid w:val="00AA3C7F"/>
    <w:rsid w:val="00AA4A67"/>
    <w:rsid w:val="00AA510E"/>
    <w:rsid w:val="00AA64A9"/>
    <w:rsid w:val="00AA65A3"/>
    <w:rsid w:val="00AA6702"/>
    <w:rsid w:val="00AA69B6"/>
    <w:rsid w:val="00AA6EB1"/>
    <w:rsid w:val="00AA7687"/>
    <w:rsid w:val="00AA778D"/>
    <w:rsid w:val="00AA7C0E"/>
    <w:rsid w:val="00AB0782"/>
    <w:rsid w:val="00AB1041"/>
    <w:rsid w:val="00AB2214"/>
    <w:rsid w:val="00AB2266"/>
    <w:rsid w:val="00AB235C"/>
    <w:rsid w:val="00AB2415"/>
    <w:rsid w:val="00AB2557"/>
    <w:rsid w:val="00AB2ECC"/>
    <w:rsid w:val="00AB353D"/>
    <w:rsid w:val="00AB40A8"/>
    <w:rsid w:val="00AB4343"/>
    <w:rsid w:val="00AB4400"/>
    <w:rsid w:val="00AB4445"/>
    <w:rsid w:val="00AB51C8"/>
    <w:rsid w:val="00AB51D0"/>
    <w:rsid w:val="00AB55BE"/>
    <w:rsid w:val="00AB572E"/>
    <w:rsid w:val="00AB5B6E"/>
    <w:rsid w:val="00AB64AA"/>
    <w:rsid w:val="00AB6B2E"/>
    <w:rsid w:val="00AC038F"/>
    <w:rsid w:val="00AC0409"/>
    <w:rsid w:val="00AC0FDA"/>
    <w:rsid w:val="00AC1EE4"/>
    <w:rsid w:val="00AC2945"/>
    <w:rsid w:val="00AC2A5A"/>
    <w:rsid w:val="00AC2C96"/>
    <w:rsid w:val="00AC3817"/>
    <w:rsid w:val="00AC3943"/>
    <w:rsid w:val="00AC39F0"/>
    <w:rsid w:val="00AC3B71"/>
    <w:rsid w:val="00AC420A"/>
    <w:rsid w:val="00AC42C6"/>
    <w:rsid w:val="00AC5225"/>
    <w:rsid w:val="00AC541F"/>
    <w:rsid w:val="00AC55A5"/>
    <w:rsid w:val="00AC6ABA"/>
    <w:rsid w:val="00AC7915"/>
    <w:rsid w:val="00AC79F1"/>
    <w:rsid w:val="00AC7AD5"/>
    <w:rsid w:val="00AC7B5D"/>
    <w:rsid w:val="00AD0090"/>
    <w:rsid w:val="00AD0511"/>
    <w:rsid w:val="00AD09C6"/>
    <w:rsid w:val="00AD1F81"/>
    <w:rsid w:val="00AD2173"/>
    <w:rsid w:val="00AD26D3"/>
    <w:rsid w:val="00AD26D7"/>
    <w:rsid w:val="00AD27AA"/>
    <w:rsid w:val="00AD3BA2"/>
    <w:rsid w:val="00AD417D"/>
    <w:rsid w:val="00AD45A0"/>
    <w:rsid w:val="00AD45F1"/>
    <w:rsid w:val="00AD4FD4"/>
    <w:rsid w:val="00AD5072"/>
    <w:rsid w:val="00AD5144"/>
    <w:rsid w:val="00AD5CFF"/>
    <w:rsid w:val="00AD5F43"/>
    <w:rsid w:val="00AD5F52"/>
    <w:rsid w:val="00AD60E9"/>
    <w:rsid w:val="00AD68D6"/>
    <w:rsid w:val="00AD6F7B"/>
    <w:rsid w:val="00AD710C"/>
    <w:rsid w:val="00AE0626"/>
    <w:rsid w:val="00AE073F"/>
    <w:rsid w:val="00AE0F29"/>
    <w:rsid w:val="00AE16A0"/>
    <w:rsid w:val="00AE1E75"/>
    <w:rsid w:val="00AE1F50"/>
    <w:rsid w:val="00AE2474"/>
    <w:rsid w:val="00AE2B84"/>
    <w:rsid w:val="00AE2FCD"/>
    <w:rsid w:val="00AE34AC"/>
    <w:rsid w:val="00AE35B4"/>
    <w:rsid w:val="00AE4874"/>
    <w:rsid w:val="00AE551C"/>
    <w:rsid w:val="00AE5A66"/>
    <w:rsid w:val="00AE5E7C"/>
    <w:rsid w:val="00AE62F0"/>
    <w:rsid w:val="00AE68DD"/>
    <w:rsid w:val="00AE6A06"/>
    <w:rsid w:val="00AE71C3"/>
    <w:rsid w:val="00AF00A0"/>
    <w:rsid w:val="00AF0B87"/>
    <w:rsid w:val="00AF0D73"/>
    <w:rsid w:val="00AF12B8"/>
    <w:rsid w:val="00AF13F4"/>
    <w:rsid w:val="00AF1CEB"/>
    <w:rsid w:val="00AF219D"/>
    <w:rsid w:val="00AF2865"/>
    <w:rsid w:val="00AF2EF7"/>
    <w:rsid w:val="00AF3A08"/>
    <w:rsid w:val="00AF3C94"/>
    <w:rsid w:val="00AF41EB"/>
    <w:rsid w:val="00AF45D9"/>
    <w:rsid w:val="00AF46D6"/>
    <w:rsid w:val="00AF52E7"/>
    <w:rsid w:val="00AF56EE"/>
    <w:rsid w:val="00AF5C87"/>
    <w:rsid w:val="00AF6BD5"/>
    <w:rsid w:val="00AF7139"/>
    <w:rsid w:val="00AF7650"/>
    <w:rsid w:val="00AF781B"/>
    <w:rsid w:val="00AF7D67"/>
    <w:rsid w:val="00AF7EA8"/>
    <w:rsid w:val="00B00507"/>
    <w:rsid w:val="00B00791"/>
    <w:rsid w:val="00B00858"/>
    <w:rsid w:val="00B00A1F"/>
    <w:rsid w:val="00B00E33"/>
    <w:rsid w:val="00B012B7"/>
    <w:rsid w:val="00B02122"/>
    <w:rsid w:val="00B029E7"/>
    <w:rsid w:val="00B0395C"/>
    <w:rsid w:val="00B03DF3"/>
    <w:rsid w:val="00B04026"/>
    <w:rsid w:val="00B049A4"/>
    <w:rsid w:val="00B04AE4"/>
    <w:rsid w:val="00B04C22"/>
    <w:rsid w:val="00B04D74"/>
    <w:rsid w:val="00B04F56"/>
    <w:rsid w:val="00B0553C"/>
    <w:rsid w:val="00B05BD0"/>
    <w:rsid w:val="00B0688C"/>
    <w:rsid w:val="00B06BF4"/>
    <w:rsid w:val="00B06CC0"/>
    <w:rsid w:val="00B071CC"/>
    <w:rsid w:val="00B075C9"/>
    <w:rsid w:val="00B10139"/>
    <w:rsid w:val="00B10193"/>
    <w:rsid w:val="00B104D0"/>
    <w:rsid w:val="00B106FD"/>
    <w:rsid w:val="00B10A49"/>
    <w:rsid w:val="00B116C2"/>
    <w:rsid w:val="00B11717"/>
    <w:rsid w:val="00B11FB5"/>
    <w:rsid w:val="00B120D3"/>
    <w:rsid w:val="00B1267D"/>
    <w:rsid w:val="00B1281A"/>
    <w:rsid w:val="00B12835"/>
    <w:rsid w:val="00B12BAA"/>
    <w:rsid w:val="00B12CC1"/>
    <w:rsid w:val="00B133F7"/>
    <w:rsid w:val="00B135A6"/>
    <w:rsid w:val="00B13BEF"/>
    <w:rsid w:val="00B14135"/>
    <w:rsid w:val="00B14276"/>
    <w:rsid w:val="00B144BD"/>
    <w:rsid w:val="00B1471B"/>
    <w:rsid w:val="00B14841"/>
    <w:rsid w:val="00B1642E"/>
    <w:rsid w:val="00B17865"/>
    <w:rsid w:val="00B17AC2"/>
    <w:rsid w:val="00B17D24"/>
    <w:rsid w:val="00B20260"/>
    <w:rsid w:val="00B207CE"/>
    <w:rsid w:val="00B20861"/>
    <w:rsid w:val="00B20914"/>
    <w:rsid w:val="00B20F56"/>
    <w:rsid w:val="00B20FEF"/>
    <w:rsid w:val="00B21866"/>
    <w:rsid w:val="00B21952"/>
    <w:rsid w:val="00B22E58"/>
    <w:rsid w:val="00B2309A"/>
    <w:rsid w:val="00B254FB"/>
    <w:rsid w:val="00B25FD7"/>
    <w:rsid w:val="00B2604F"/>
    <w:rsid w:val="00B27039"/>
    <w:rsid w:val="00B27F39"/>
    <w:rsid w:val="00B30009"/>
    <w:rsid w:val="00B30C60"/>
    <w:rsid w:val="00B313A3"/>
    <w:rsid w:val="00B31740"/>
    <w:rsid w:val="00B319AA"/>
    <w:rsid w:val="00B31D45"/>
    <w:rsid w:val="00B31F40"/>
    <w:rsid w:val="00B33031"/>
    <w:rsid w:val="00B335E5"/>
    <w:rsid w:val="00B336DF"/>
    <w:rsid w:val="00B33777"/>
    <w:rsid w:val="00B337E7"/>
    <w:rsid w:val="00B33FEB"/>
    <w:rsid w:val="00B34E3D"/>
    <w:rsid w:val="00B35986"/>
    <w:rsid w:val="00B35A79"/>
    <w:rsid w:val="00B36325"/>
    <w:rsid w:val="00B36F6E"/>
    <w:rsid w:val="00B375AD"/>
    <w:rsid w:val="00B37E09"/>
    <w:rsid w:val="00B40862"/>
    <w:rsid w:val="00B41245"/>
    <w:rsid w:val="00B421B9"/>
    <w:rsid w:val="00B422D1"/>
    <w:rsid w:val="00B43EFA"/>
    <w:rsid w:val="00B443E5"/>
    <w:rsid w:val="00B4546D"/>
    <w:rsid w:val="00B455CD"/>
    <w:rsid w:val="00B45714"/>
    <w:rsid w:val="00B4581E"/>
    <w:rsid w:val="00B45BF3"/>
    <w:rsid w:val="00B47945"/>
    <w:rsid w:val="00B47C7F"/>
    <w:rsid w:val="00B47EDE"/>
    <w:rsid w:val="00B50C15"/>
    <w:rsid w:val="00B51182"/>
    <w:rsid w:val="00B511E1"/>
    <w:rsid w:val="00B517CC"/>
    <w:rsid w:val="00B51B01"/>
    <w:rsid w:val="00B52946"/>
    <w:rsid w:val="00B52D9B"/>
    <w:rsid w:val="00B53B20"/>
    <w:rsid w:val="00B53BA3"/>
    <w:rsid w:val="00B53FE4"/>
    <w:rsid w:val="00B5400A"/>
    <w:rsid w:val="00B549A8"/>
    <w:rsid w:val="00B54ABF"/>
    <w:rsid w:val="00B54BDD"/>
    <w:rsid w:val="00B54EA6"/>
    <w:rsid w:val="00B551F6"/>
    <w:rsid w:val="00B55232"/>
    <w:rsid w:val="00B553DB"/>
    <w:rsid w:val="00B55566"/>
    <w:rsid w:val="00B55D23"/>
    <w:rsid w:val="00B56EC3"/>
    <w:rsid w:val="00B56EC8"/>
    <w:rsid w:val="00B56ECD"/>
    <w:rsid w:val="00B57794"/>
    <w:rsid w:val="00B57960"/>
    <w:rsid w:val="00B57E4F"/>
    <w:rsid w:val="00B60CB5"/>
    <w:rsid w:val="00B61220"/>
    <w:rsid w:val="00B616DD"/>
    <w:rsid w:val="00B61788"/>
    <w:rsid w:val="00B6178C"/>
    <w:rsid w:val="00B6192B"/>
    <w:rsid w:val="00B61E3E"/>
    <w:rsid w:val="00B61E78"/>
    <w:rsid w:val="00B62465"/>
    <w:rsid w:val="00B628C3"/>
    <w:rsid w:val="00B6319F"/>
    <w:rsid w:val="00B63B74"/>
    <w:rsid w:val="00B6428B"/>
    <w:rsid w:val="00B643FE"/>
    <w:rsid w:val="00B64D4A"/>
    <w:rsid w:val="00B654D6"/>
    <w:rsid w:val="00B6554E"/>
    <w:rsid w:val="00B65846"/>
    <w:rsid w:val="00B65E05"/>
    <w:rsid w:val="00B65E40"/>
    <w:rsid w:val="00B66DC2"/>
    <w:rsid w:val="00B66F10"/>
    <w:rsid w:val="00B66F62"/>
    <w:rsid w:val="00B675DC"/>
    <w:rsid w:val="00B67A95"/>
    <w:rsid w:val="00B67BA0"/>
    <w:rsid w:val="00B67E76"/>
    <w:rsid w:val="00B718A8"/>
    <w:rsid w:val="00B7205F"/>
    <w:rsid w:val="00B720BA"/>
    <w:rsid w:val="00B72447"/>
    <w:rsid w:val="00B727B3"/>
    <w:rsid w:val="00B729D2"/>
    <w:rsid w:val="00B72C52"/>
    <w:rsid w:val="00B73093"/>
    <w:rsid w:val="00B737A1"/>
    <w:rsid w:val="00B738F0"/>
    <w:rsid w:val="00B74C46"/>
    <w:rsid w:val="00B75377"/>
    <w:rsid w:val="00B75ABA"/>
    <w:rsid w:val="00B75BF1"/>
    <w:rsid w:val="00B760AD"/>
    <w:rsid w:val="00B7628C"/>
    <w:rsid w:val="00B766B7"/>
    <w:rsid w:val="00B771BA"/>
    <w:rsid w:val="00B776EC"/>
    <w:rsid w:val="00B777DE"/>
    <w:rsid w:val="00B77B73"/>
    <w:rsid w:val="00B77DDC"/>
    <w:rsid w:val="00B80168"/>
    <w:rsid w:val="00B80DC8"/>
    <w:rsid w:val="00B80E17"/>
    <w:rsid w:val="00B80EF7"/>
    <w:rsid w:val="00B81252"/>
    <w:rsid w:val="00B8239A"/>
    <w:rsid w:val="00B8241F"/>
    <w:rsid w:val="00B82739"/>
    <w:rsid w:val="00B827F6"/>
    <w:rsid w:val="00B83159"/>
    <w:rsid w:val="00B83500"/>
    <w:rsid w:val="00B835F9"/>
    <w:rsid w:val="00B8374B"/>
    <w:rsid w:val="00B837FD"/>
    <w:rsid w:val="00B83B66"/>
    <w:rsid w:val="00B843AB"/>
    <w:rsid w:val="00B85037"/>
    <w:rsid w:val="00B8517B"/>
    <w:rsid w:val="00B8570D"/>
    <w:rsid w:val="00B85BBF"/>
    <w:rsid w:val="00B86055"/>
    <w:rsid w:val="00B862FB"/>
    <w:rsid w:val="00B8656B"/>
    <w:rsid w:val="00B8664D"/>
    <w:rsid w:val="00B8696A"/>
    <w:rsid w:val="00B87125"/>
    <w:rsid w:val="00B87538"/>
    <w:rsid w:val="00B879BF"/>
    <w:rsid w:val="00B87A0D"/>
    <w:rsid w:val="00B9046F"/>
    <w:rsid w:val="00B90828"/>
    <w:rsid w:val="00B90E97"/>
    <w:rsid w:val="00B91216"/>
    <w:rsid w:val="00B91341"/>
    <w:rsid w:val="00B92418"/>
    <w:rsid w:val="00B9288C"/>
    <w:rsid w:val="00B92F47"/>
    <w:rsid w:val="00B92FAD"/>
    <w:rsid w:val="00B93598"/>
    <w:rsid w:val="00B9365B"/>
    <w:rsid w:val="00B93C92"/>
    <w:rsid w:val="00B9589E"/>
    <w:rsid w:val="00B95931"/>
    <w:rsid w:val="00B959C4"/>
    <w:rsid w:val="00B95BB7"/>
    <w:rsid w:val="00B9673B"/>
    <w:rsid w:val="00BA022E"/>
    <w:rsid w:val="00BA04AA"/>
    <w:rsid w:val="00BA04E7"/>
    <w:rsid w:val="00BA0520"/>
    <w:rsid w:val="00BA11AD"/>
    <w:rsid w:val="00BA19ED"/>
    <w:rsid w:val="00BA2107"/>
    <w:rsid w:val="00BA25AB"/>
    <w:rsid w:val="00BA2E41"/>
    <w:rsid w:val="00BA3824"/>
    <w:rsid w:val="00BA3B2D"/>
    <w:rsid w:val="00BA3D4D"/>
    <w:rsid w:val="00BA44BD"/>
    <w:rsid w:val="00BA4558"/>
    <w:rsid w:val="00BA4CBF"/>
    <w:rsid w:val="00BA4D41"/>
    <w:rsid w:val="00BA4DFE"/>
    <w:rsid w:val="00BA6D7E"/>
    <w:rsid w:val="00BA76DE"/>
    <w:rsid w:val="00BA793C"/>
    <w:rsid w:val="00BB0079"/>
    <w:rsid w:val="00BB0644"/>
    <w:rsid w:val="00BB0677"/>
    <w:rsid w:val="00BB0CB9"/>
    <w:rsid w:val="00BB0EDE"/>
    <w:rsid w:val="00BB117B"/>
    <w:rsid w:val="00BB1D6F"/>
    <w:rsid w:val="00BB2090"/>
    <w:rsid w:val="00BB2921"/>
    <w:rsid w:val="00BB3A30"/>
    <w:rsid w:val="00BB4252"/>
    <w:rsid w:val="00BB42B3"/>
    <w:rsid w:val="00BB486E"/>
    <w:rsid w:val="00BB4D55"/>
    <w:rsid w:val="00BB5146"/>
    <w:rsid w:val="00BB5592"/>
    <w:rsid w:val="00BB596B"/>
    <w:rsid w:val="00BB5B9C"/>
    <w:rsid w:val="00BB60F6"/>
    <w:rsid w:val="00BB64E6"/>
    <w:rsid w:val="00BB6529"/>
    <w:rsid w:val="00BB700F"/>
    <w:rsid w:val="00BB7039"/>
    <w:rsid w:val="00BB7BB3"/>
    <w:rsid w:val="00BC0384"/>
    <w:rsid w:val="00BC070B"/>
    <w:rsid w:val="00BC13A5"/>
    <w:rsid w:val="00BC1765"/>
    <w:rsid w:val="00BC1E38"/>
    <w:rsid w:val="00BC265E"/>
    <w:rsid w:val="00BC2CE5"/>
    <w:rsid w:val="00BC3233"/>
    <w:rsid w:val="00BC35D3"/>
    <w:rsid w:val="00BC3755"/>
    <w:rsid w:val="00BC3AB2"/>
    <w:rsid w:val="00BC3DDE"/>
    <w:rsid w:val="00BC426A"/>
    <w:rsid w:val="00BC50F3"/>
    <w:rsid w:val="00BC518B"/>
    <w:rsid w:val="00BC5220"/>
    <w:rsid w:val="00BC528F"/>
    <w:rsid w:val="00BC59F9"/>
    <w:rsid w:val="00BC5BED"/>
    <w:rsid w:val="00BC5D76"/>
    <w:rsid w:val="00BC6427"/>
    <w:rsid w:val="00BC662B"/>
    <w:rsid w:val="00BC667F"/>
    <w:rsid w:val="00BC6A18"/>
    <w:rsid w:val="00BC707B"/>
    <w:rsid w:val="00BC7D01"/>
    <w:rsid w:val="00BD04D1"/>
    <w:rsid w:val="00BD2005"/>
    <w:rsid w:val="00BD208D"/>
    <w:rsid w:val="00BD2130"/>
    <w:rsid w:val="00BD2215"/>
    <w:rsid w:val="00BD23A5"/>
    <w:rsid w:val="00BD23D6"/>
    <w:rsid w:val="00BD2AC6"/>
    <w:rsid w:val="00BD2C76"/>
    <w:rsid w:val="00BD367B"/>
    <w:rsid w:val="00BD3E26"/>
    <w:rsid w:val="00BD42C8"/>
    <w:rsid w:val="00BD4312"/>
    <w:rsid w:val="00BD43FF"/>
    <w:rsid w:val="00BD518A"/>
    <w:rsid w:val="00BD523A"/>
    <w:rsid w:val="00BD5717"/>
    <w:rsid w:val="00BD59A9"/>
    <w:rsid w:val="00BD5B93"/>
    <w:rsid w:val="00BD5BC0"/>
    <w:rsid w:val="00BD5BED"/>
    <w:rsid w:val="00BD5CB8"/>
    <w:rsid w:val="00BD5D70"/>
    <w:rsid w:val="00BD6091"/>
    <w:rsid w:val="00BD6126"/>
    <w:rsid w:val="00BD624C"/>
    <w:rsid w:val="00BD7538"/>
    <w:rsid w:val="00BD7B34"/>
    <w:rsid w:val="00BE07BD"/>
    <w:rsid w:val="00BE1BB1"/>
    <w:rsid w:val="00BE258A"/>
    <w:rsid w:val="00BE27C0"/>
    <w:rsid w:val="00BE2C88"/>
    <w:rsid w:val="00BE3736"/>
    <w:rsid w:val="00BE462E"/>
    <w:rsid w:val="00BE4EF0"/>
    <w:rsid w:val="00BE52AF"/>
    <w:rsid w:val="00BE57AE"/>
    <w:rsid w:val="00BE5CD5"/>
    <w:rsid w:val="00BE5DFF"/>
    <w:rsid w:val="00BE6507"/>
    <w:rsid w:val="00BE6666"/>
    <w:rsid w:val="00BE66D6"/>
    <w:rsid w:val="00BE6DE3"/>
    <w:rsid w:val="00BE7505"/>
    <w:rsid w:val="00BF0534"/>
    <w:rsid w:val="00BF07E1"/>
    <w:rsid w:val="00BF1265"/>
    <w:rsid w:val="00BF135F"/>
    <w:rsid w:val="00BF1A20"/>
    <w:rsid w:val="00BF1BA7"/>
    <w:rsid w:val="00BF1FB1"/>
    <w:rsid w:val="00BF204F"/>
    <w:rsid w:val="00BF2085"/>
    <w:rsid w:val="00BF2128"/>
    <w:rsid w:val="00BF2175"/>
    <w:rsid w:val="00BF24A9"/>
    <w:rsid w:val="00BF3120"/>
    <w:rsid w:val="00BF370F"/>
    <w:rsid w:val="00BF40C0"/>
    <w:rsid w:val="00BF5427"/>
    <w:rsid w:val="00BF577D"/>
    <w:rsid w:val="00BF5FE0"/>
    <w:rsid w:val="00BF6073"/>
    <w:rsid w:val="00BF60D3"/>
    <w:rsid w:val="00BF62FB"/>
    <w:rsid w:val="00BF6DF7"/>
    <w:rsid w:val="00BF7554"/>
    <w:rsid w:val="00BF75D4"/>
    <w:rsid w:val="00C00DF1"/>
    <w:rsid w:val="00C00E91"/>
    <w:rsid w:val="00C014A7"/>
    <w:rsid w:val="00C01759"/>
    <w:rsid w:val="00C018BC"/>
    <w:rsid w:val="00C01DE1"/>
    <w:rsid w:val="00C01FE3"/>
    <w:rsid w:val="00C02A1C"/>
    <w:rsid w:val="00C02B99"/>
    <w:rsid w:val="00C03389"/>
    <w:rsid w:val="00C036FA"/>
    <w:rsid w:val="00C037A7"/>
    <w:rsid w:val="00C04176"/>
    <w:rsid w:val="00C04846"/>
    <w:rsid w:val="00C04AE9"/>
    <w:rsid w:val="00C04B50"/>
    <w:rsid w:val="00C050AC"/>
    <w:rsid w:val="00C058B1"/>
    <w:rsid w:val="00C05D15"/>
    <w:rsid w:val="00C05FCC"/>
    <w:rsid w:val="00C0623C"/>
    <w:rsid w:val="00C062BD"/>
    <w:rsid w:val="00C0634C"/>
    <w:rsid w:val="00C063D6"/>
    <w:rsid w:val="00C06C3C"/>
    <w:rsid w:val="00C06E40"/>
    <w:rsid w:val="00C0721C"/>
    <w:rsid w:val="00C075E7"/>
    <w:rsid w:val="00C101D7"/>
    <w:rsid w:val="00C101E7"/>
    <w:rsid w:val="00C10686"/>
    <w:rsid w:val="00C11554"/>
    <w:rsid w:val="00C1177B"/>
    <w:rsid w:val="00C12C72"/>
    <w:rsid w:val="00C12C77"/>
    <w:rsid w:val="00C13AED"/>
    <w:rsid w:val="00C14A13"/>
    <w:rsid w:val="00C14B79"/>
    <w:rsid w:val="00C152DC"/>
    <w:rsid w:val="00C155E2"/>
    <w:rsid w:val="00C15664"/>
    <w:rsid w:val="00C15BCA"/>
    <w:rsid w:val="00C163C7"/>
    <w:rsid w:val="00C16780"/>
    <w:rsid w:val="00C16CF8"/>
    <w:rsid w:val="00C16D4E"/>
    <w:rsid w:val="00C16F85"/>
    <w:rsid w:val="00C1701F"/>
    <w:rsid w:val="00C17F97"/>
    <w:rsid w:val="00C20508"/>
    <w:rsid w:val="00C20E07"/>
    <w:rsid w:val="00C20E14"/>
    <w:rsid w:val="00C20F8F"/>
    <w:rsid w:val="00C21CB2"/>
    <w:rsid w:val="00C221DA"/>
    <w:rsid w:val="00C22A07"/>
    <w:rsid w:val="00C23D97"/>
    <w:rsid w:val="00C243C1"/>
    <w:rsid w:val="00C2449F"/>
    <w:rsid w:val="00C25F32"/>
    <w:rsid w:val="00C26063"/>
    <w:rsid w:val="00C262F6"/>
    <w:rsid w:val="00C26607"/>
    <w:rsid w:val="00C266C8"/>
    <w:rsid w:val="00C267F2"/>
    <w:rsid w:val="00C26B1A"/>
    <w:rsid w:val="00C26B6F"/>
    <w:rsid w:val="00C26EAC"/>
    <w:rsid w:val="00C27FA5"/>
    <w:rsid w:val="00C309AB"/>
    <w:rsid w:val="00C30B7A"/>
    <w:rsid w:val="00C318A6"/>
    <w:rsid w:val="00C31B92"/>
    <w:rsid w:val="00C32512"/>
    <w:rsid w:val="00C32770"/>
    <w:rsid w:val="00C32A0C"/>
    <w:rsid w:val="00C32CDA"/>
    <w:rsid w:val="00C32F72"/>
    <w:rsid w:val="00C33267"/>
    <w:rsid w:val="00C34068"/>
    <w:rsid w:val="00C34290"/>
    <w:rsid w:val="00C3458C"/>
    <w:rsid w:val="00C345B3"/>
    <w:rsid w:val="00C34679"/>
    <w:rsid w:val="00C35F6E"/>
    <w:rsid w:val="00C362D1"/>
    <w:rsid w:val="00C36D11"/>
    <w:rsid w:val="00C36D63"/>
    <w:rsid w:val="00C37027"/>
    <w:rsid w:val="00C370D5"/>
    <w:rsid w:val="00C37A8D"/>
    <w:rsid w:val="00C37CE9"/>
    <w:rsid w:val="00C37E55"/>
    <w:rsid w:val="00C37EE3"/>
    <w:rsid w:val="00C37FB6"/>
    <w:rsid w:val="00C40171"/>
    <w:rsid w:val="00C4041F"/>
    <w:rsid w:val="00C405F5"/>
    <w:rsid w:val="00C407C6"/>
    <w:rsid w:val="00C40920"/>
    <w:rsid w:val="00C41BC7"/>
    <w:rsid w:val="00C420E9"/>
    <w:rsid w:val="00C426F5"/>
    <w:rsid w:val="00C429AA"/>
    <w:rsid w:val="00C43344"/>
    <w:rsid w:val="00C434EB"/>
    <w:rsid w:val="00C43CA4"/>
    <w:rsid w:val="00C44124"/>
    <w:rsid w:val="00C44C8F"/>
    <w:rsid w:val="00C44DE9"/>
    <w:rsid w:val="00C44F70"/>
    <w:rsid w:val="00C4617F"/>
    <w:rsid w:val="00C4687D"/>
    <w:rsid w:val="00C4699D"/>
    <w:rsid w:val="00C47648"/>
    <w:rsid w:val="00C47E4B"/>
    <w:rsid w:val="00C50066"/>
    <w:rsid w:val="00C50ED8"/>
    <w:rsid w:val="00C50F82"/>
    <w:rsid w:val="00C5123D"/>
    <w:rsid w:val="00C5151D"/>
    <w:rsid w:val="00C518CA"/>
    <w:rsid w:val="00C51AB0"/>
    <w:rsid w:val="00C522AB"/>
    <w:rsid w:val="00C525EB"/>
    <w:rsid w:val="00C53328"/>
    <w:rsid w:val="00C53847"/>
    <w:rsid w:val="00C538C1"/>
    <w:rsid w:val="00C5397F"/>
    <w:rsid w:val="00C53D00"/>
    <w:rsid w:val="00C540AA"/>
    <w:rsid w:val="00C5428B"/>
    <w:rsid w:val="00C54B18"/>
    <w:rsid w:val="00C55514"/>
    <w:rsid w:val="00C5591E"/>
    <w:rsid w:val="00C55EA4"/>
    <w:rsid w:val="00C5652F"/>
    <w:rsid w:val="00C5682B"/>
    <w:rsid w:val="00C56E17"/>
    <w:rsid w:val="00C5704A"/>
    <w:rsid w:val="00C57154"/>
    <w:rsid w:val="00C5727F"/>
    <w:rsid w:val="00C57D46"/>
    <w:rsid w:val="00C600BE"/>
    <w:rsid w:val="00C600D8"/>
    <w:rsid w:val="00C606EE"/>
    <w:rsid w:val="00C60DAD"/>
    <w:rsid w:val="00C60DFF"/>
    <w:rsid w:val="00C61206"/>
    <w:rsid w:val="00C61298"/>
    <w:rsid w:val="00C61689"/>
    <w:rsid w:val="00C6178C"/>
    <w:rsid w:val="00C62D73"/>
    <w:rsid w:val="00C6306B"/>
    <w:rsid w:val="00C6390B"/>
    <w:rsid w:val="00C64342"/>
    <w:rsid w:val="00C64D5A"/>
    <w:rsid w:val="00C64E87"/>
    <w:rsid w:val="00C6558C"/>
    <w:rsid w:val="00C65691"/>
    <w:rsid w:val="00C65892"/>
    <w:rsid w:val="00C65994"/>
    <w:rsid w:val="00C65C80"/>
    <w:rsid w:val="00C65EC6"/>
    <w:rsid w:val="00C66161"/>
    <w:rsid w:val="00C664AF"/>
    <w:rsid w:val="00C66508"/>
    <w:rsid w:val="00C665D5"/>
    <w:rsid w:val="00C665E4"/>
    <w:rsid w:val="00C666B9"/>
    <w:rsid w:val="00C66B46"/>
    <w:rsid w:val="00C66E94"/>
    <w:rsid w:val="00C671FE"/>
    <w:rsid w:val="00C6737F"/>
    <w:rsid w:val="00C67AFF"/>
    <w:rsid w:val="00C67C1C"/>
    <w:rsid w:val="00C704C7"/>
    <w:rsid w:val="00C719DA"/>
    <w:rsid w:val="00C71D3E"/>
    <w:rsid w:val="00C71D9C"/>
    <w:rsid w:val="00C72259"/>
    <w:rsid w:val="00C7236C"/>
    <w:rsid w:val="00C72874"/>
    <w:rsid w:val="00C7288F"/>
    <w:rsid w:val="00C728CB"/>
    <w:rsid w:val="00C7440D"/>
    <w:rsid w:val="00C745B0"/>
    <w:rsid w:val="00C74A0A"/>
    <w:rsid w:val="00C74A60"/>
    <w:rsid w:val="00C74D5F"/>
    <w:rsid w:val="00C75C99"/>
    <w:rsid w:val="00C75CD9"/>
    <w:rsid w:val="00C75F6A"/>
    <w:rsid w:val="00C76DB2"/>
    <w:rsid w:val="00C77A7D"/>
    <w:rsid w:val="00C77A96"/>
    <w:rsid w:val="00C80B8A"/>
    <w:rsid w:val="00C80E08"/>
    <w:rsid w:val="00C81758"/>
    <w:rsid w:val="00C8352E"/>
    <w:rsid w:val="00C849C7"/>
    <w:rsid w:val="00C86469"/>
    <w:rsid w:val="00C8653D"/>
    <w:rsid w:val="00C86B2E"/>
    <w:rsid w:val="00C87CB0"/>
    <w:rsid w:val="00C90269"/>
    <w:rsid w:val="00C90959"/>
    <w:rsid w:val="00C9096C"/>
    <w:rsid w:val="00C90AEC"/>
    <w:rsid w:val="00C90EFF"/>
    <w:rsid w:val="00C91091"/>
    <w:rsid w:val="00C9115E"/>
    <w:rsid w:val="00C912BE"/>
    <w:rsid w:val="00C91C16"/>
    <w:rsid w:val="00C92137"/>
    <w:rsid w:val="00C92E07"/>
    <w:rsid w:val="00C92E9B"/>
    <w:rsid w:val="00C92F19"/>
    <w:rsid w:val="00C939C5"/>
    <w:rsid w:val="00C93D04"/>
    <w:rsid w:val="00C941A6"/>
    <w:rsid w:val="00C942A8"/>
    <w:rsid w:val="00C948DE"/>
    <w:rsid w:val="00C95051"/>
    <w:rsid w:val="00C95D42"/>
    <w:rsid w:val="00C9670A"/>
    <w:rsid w:val="00C96C92"/>
    <w:rsid w:val="00C96CEC"/>
    <w:rsid w:val="00C96ECE"/>
    <w:rsid w:val="00C96F54"/>
    <w:rsid w:val="00C97121"/>
    <w:rsid w:val="00C97FE9"/>
    <w:rsid w:val="00CA060D"/>
    <w:rsid w:val="00CA0E42"/>
    <w:rsid w:val="00CA111B"/>
    <w:rsid w:val="00CA1479"/>
    <w:rsid w:val="00CA1586"/>
    <w:rsid w:val="00CA1B0F"/>
    <w:rsid w:val="00CA1B18"/>
    <w:rsid w:val="00CA1F62"/>
    <w:rsid w:val="00CA2156"/>
    <w:rsid w:val="00CA22E4"/>
    <w:rsid w:val="00CA30AC"/>
    <w:rsid w:val="00CA3378"/>
    <w:rsid w:val="00CA3852"/>
    <w:rsid w:val="00CA39A9"/>
    <w:rsid w:val="00CA3F44"/>
    <w:rsid w:val="00CA4BA1"/>
    <w:rsid w:val="00CA4F7D"/>
    <w:rsid w:val="00CA5665"/>
    <w:rsid w:val="00CA56E8"/>
    <w:rsid w:val="00CA5A22"/>
    <w:rsid w:val="00CA61CE"/>
    <w:rsid w:val="00CA67F0"/>
    <w:rsid w:val="00CA72E9"/>
    <w:rsid w:val="00CA7DBD"/>
    <w:rsid w:val="00CB0AAC"/>
    <w:rsid w:val="00CB0DD0"/>
    <w:rsid w:val="00CB13FA"/>
    <w:rsid w:val="00CB16A0"/>
    <w:rsid w:val="00CB19F7"/>
    <w:rsid w:val="00CB1F20"/>
    <w:rsid w:val="00CB1FA0"/>
    <w:rsid w:val="00CB221D"/>
    <w:rsid w:val="00CB2725"/>
    <w:rsid w:val="00CB2CD1"/>
    <w:rsid w:val="00CB3192"/>
    <w:rsid w:val="00CB38C5"/>
    <w:rsid w:val="00CB414A"/>
    <w:rsid w:val="00CB4442"/>
    <w:rsid w:val="00CB47D7"/>
    <w:rsid w:val="00CB4BEB"/>
    <w:rsid w:val="00CB4FD0"/>
    <w:rsid w:val="00CB52C1"/>
    <w:rsid w:val="00CB534B"/>
    <w:rsid w:val="00CB54AF"/>
    <w:rsid w:val="00CB59B2"/>
    <w:rsid w:val="00CB69FF"/>
    <w:rsid w:val="00CB740F"/>
    <w:rsid w:val="00CB754E"/>
    <w:rsid w:val="00CB75E1"/>
    <w:rsid w:val="00CB78E6"/>
    <w:rsid w:val="00CB7A12"/>
    <w:rsid w:val="00CB7D8E"/>
    <w:rsid w:val="00CC03FC"/>
    <w:rsid w:val="00CC0DFC"/>
    <w:rsid w:val="00CC0E33"/>
    <w:rsid w:val="00CC10BA"/>
    <w:rsid w:val="00CC119C"/>
    <w:rsid w:val="00CC11A0"/>
    <w:rsid w:val="00CC13AA"/>
    <w:rsid w:val="00CC1509"/>
    <w:rsid w:val="00CC1C5B"/>
    <w:rsid w:val="00CC21B3"/>
    <w:rsid w:val="00CC2260"/>
    <w:rsid w:val="00CC2E9C"/>
    <w:rsid w:val="00CC3030"/>
    <w:rsid w:val="00CC335D"/>
    <w:rsid w:val="00CC4130"/>
    <w:rsid w:val="00CC447A"/>
    <w:rsid w:val="00CC46E5"/>
    <w:rsid w:val="00CC4745"/>
    <w:rsid w:val="00CC4C91"/>
    <w:rsid w:val="00CC4F24"/>
    <w:rsid w:val="00CC5CA4"/>
    <w:rsid w:val="00CC63AE"/>
    <w:rsid w:val="00CC6880"/>
    <w:rsid w:val="00CC6C19"/>
    <w:rsid w:val="00CC6EF8"/>
    <w:rsid w:val="00CC70DE"/>
    <w:rsid w:val="00CC7366"/>
    <w:rsid w:val="00CC7563"/>
    <w:rsid w:val="00CC77C3"/>
    <w:rsid w:val="00CC7CF6"/>
    <w:rsid w:val="00CC7E38"/>
    <w:rsid w:val="00CD0C5E"/>
    <w:rsid w:val="00CD0DF8"/>
    <w:rsid w:val="00CD10FB"/>
    <w:rsid w:val="00CD16FB"/>
    <w:rsid w:val="00CD1906"/>
    <w:rsid w:val="00CD1B0B"/>
    <w:rsid w:val="00CD1F10"/>
    <w:rsid w:val="00CD26CC"/>
    <w:rsid w:val="00CD2CC4"/>
    <w:rsid w:val="00CD2DAD"/>
    <w:rsid w:val="00CD2DED"/>
    <w:rsid w:val="00CD556B"/>
    <w:rsid w:val="00CD5BF3"/>
    <w:rsid w:val="00CD5E52"/>
    <w:rsid w:val="00CD616F"/>
    <w:rsid w:val="00CD64A9"/>
    <w:rsid w:val="00CD6FFF"/>
    <w:rsid w:val="00CD71F3"/>
    <w:rsid w:val="00CD736C"/>
    <w:rsid w:val="00CD74DD"/>
    <w:rsid w:val="00CD76C7"/>
    <w:rsid w:val="00CD786D"/>
    <w:rsid w:val="00CD7E4A"/>
    <w:rsid w:val="00CE0547"/>
    <w:rsid w:val="00CE054C"/>
    <w:rsid w:val="00CE0F41"/>
    <w:rsid w:val="00CE1758"/>
    <w:rsid w:val="00CE4B48"/>
    <w:rsid w:val="00CE4CE6"/>
    <w:rsid w:val="00CE5923"/>
    <w:rsid w:val="00CE59D4"/>
    <w:rsid w:val="00CE5ABD"/>
    <w:rsid w:val="00CE62CC"/>
    <w:rsid w:val="00CE6DFA"/>
    <w:rsid w:val="00CE712C"/>
    <w:rsid w:val="00CE71EC"/>
    <w:rsid w:val="00CF06F5"/>
    <w:rsid w:val="00CF0AF3"/>
    <w:rsid w:val="00CF13DD"/>
    <w:rsid w:val="00CF14B4"/>
    <w:rsid w:val="00CF1823"/>
    <w:rsid w:val="00CF1957"/>
    <w:rsid w:val="00CF2042"/>
    <w:rsid w:val="00CF2064"/>
    <w:rsid w:val="00CF230D"/>
    <w:rsid w:val="00CF23AB"/>
    <w:rsid w:val="00CF23FB"/>
    <w:rsid w:val="00CF267D"/>
    <w:rsid w:val="00CF2A4D"/>
    <w:rsid w:val="00CF2DAD"/>
    <w:rsid w:val="00CF3976"/>
    <w:rsid w:val="00CF50D3"/>
    <w:rsid w:val="00CF50D9"/>
    <w:rsid w:val="00CF51F6"/>
    <w:rsid w:val="00CF5B56"/>
    <w:rsid w:val="00CF6958"/>
    <w:rsid w:val="00CF7280"/>
    <w:rsid w:val="00D00073"/>
    <w:rsid w:val="00D009D6"/>
    <w:rsid w:val="00D0103A"/>
    <w:rsid w:val="00D01182"/>
    <w:rsid w:val="00D013EC"/>
    <w:rsid w:val="00D01768"/>
    <w:rsid w:val="00D01915"/>
    <w:rsid w:val="00D01A6F"/>
    <w:rsid w:val="00D02048"/>
    <w:rsid w:val="00D02899"/>
    <w:rsid w:val="00D037FE"/>
    <w:rsid w:val="00D04079"/>
    <w:rsid w:val="00D043E7"/>
    <w:rsid w:val="00D043ED"/>
    <w:rsid w:val="00D04720"/>
    <w:rsid w:val="00D054E5"/>
    <w:rsid w:val="00D05919"/>
    <w:rsid w:val="00D05A45"/>
    <w:rsid w:val="00D06E2B"/>
    <w:rsid w:val="00D071BB"/>
    <w:rsid w:val="00D07549"/>
    <w:rsid w:val="00D07B5F"/>
    <w:rsid w:val="00D07C4B"/>
    <w:rsid w:val="00D07F32"/>
    <w:rsid w:val="00D10072"/>
    <w:rsid w:val="00D105D5"/>
    <w:rsid w:val="00D106D5"/>
    <w:rsid w:val="00D106D9"/>
    <w:rsid w:val="00D11186"/>
    <w:rsid w:val="00D1197D"/>
    <w:rsid w:val="00D12476"/>
    <w:rsid w:val="00D12AFA"/>
    <w:rsid w:val="00D12FC6"/>
    <w:rsid w:val="00D13171"/>
    <w:rsid w:val="00D13849"/>
    <w:rsid w:val="00D13C6B"/>
    <w:rsid w:val="00D13D4B"/>
    <w:rsid w:val="00D13E43"/>
    <w:rsid w:val="00D140B4"/>
    <w:rsid w:val="00D14E6F"/>
    <w:rsid w:val="00D156AB"/>
    <w:rsid w:val="00D1583F"/>
    <w:rsid w:val="00D15864"/>
    <w:rsid w:val="00D16362"/>
    <w:rsid w:val="00D16C9B"/>
    <w:rsid w:val="00D1702C"/>
    <w:rsid w:val="00D17A63"/>
    <w:rsid w:val="00D21EDA"/>
    <w:rsid w:val="00D21FC5"/>
    <w:rsid w:val="00D227B1"/>
    <w:rsid w:val="00D23045"/>
    <w:rsid w:val="00D2346B"/>
    <w:rsid w:val="00D239DB"/>
    <w:rsid w:val="00D23A19"/>
    <w:rsid w:val="00D23EDB"/>
    <w:rsid w:val="00D243AA"/>
    <w:rsid w:val="00D247E7"/>
    <w:rsid w:val="00D24B53"/>
    <w:rsid w:val="00D2513B"/>
    <w:rsid w:val="00D25282"/>
    <w:rsid w:val="00D2572B"/>
    <w:rsid w:val="00D26248"/>
    <w:rsid w:val="00D262C9"/>
    <w:rsid w:val="00D26390"/>
    <w:rsid w:val="00D26A94"/>
    <w:rsid w:val="00D276A4"/>
    <w:rsid w:val="00D277EF"/>
    <w:rsid w:val="00D27CA5"/>
    <w:rsid w:val="00D31138"/>
    <w:rsid w:val="00D313CA"/>
    <w:rsid w:val="00D3152D"/>
    <w:rsid w:val="00D31D0B"/>
    <w:rsid w:val="00D323BD"/>
    <w:rsid w:val="00D32CF2"/>
    <w:rsid w:val="00D333A2"/>
    <w:rsid w:val="00D3416F"/>
    <w:rsid w:val="00D344B5"/>
    <w:rsid w:val="00D34775"/>
    <w:rsid w:val="00D34D63"/>
    <w:rsid w:val="00D350EC"/>
    <w:rsid w:val="00D35138"/>
    <w:rsid w:val="00D3533D"/>
    <w:rsid w:val="00D368F4"/>
    <w:rsid w:val="00D36F45"/>
    <w:rsid w:val="00D37864"/>
    <w:rsid w:val="00D37968"/>
    <w:rsid w:val="00D37B28"/>
    <w:rsid w:val="00D37D55"/>
    <w:rsid w:val="00D4013A"/>
    <w:rsid w:val="00D401BF"/>
    <w:rsid w:val="00D407C6"/>
    <w:rsid w:val="00D40803"/>
    <w:rsid w:val="00D41AB2"/>
    <w:rsid w:val="00D41B87"/>
    <w:rsid w:val="00D424FA"/>
    <w:rsid w:val="00D42643"/>
    <w:rsid w:val="00D42AFD"/>
    <w:rsid w:val="00D42F03"/>
    <w:rsid w:val="00D431E8"/>
    <w:rsid w:val="00D43461"/>
    <w:rsid w:val="00D436BD"/>
    <w:rsid w:val="00D436D3"/>
    <w:rsid w:val="00D43E48"/>
    <w:rsid w:val="00D43F09"/>
    <w:rsid w:val="00D44425"/>
    <w:rsid w:val="00D4497C"/>
    <w:rsid w:val="00D452A9"/>
    <w:rsid w:val="00D453E5"/>
    <w:rsid w:val="00D45493"/>
    <w:rsid w:val="00D45DC5"/>
    <w:rsid w:val="00D467B0"/>
    <w:rsid w:val="00D468A4"/>
    <w:rsid w:val="00D47581"/>
    <w:rsid w:val="00D47650"/>
    <w:rsid w:val="00D47B1E"/>
    <w:rsid w:val="00D5031C"/>
    <w:rsid w:val="00D50A36"/>
    <w:rsid w:val="00D50E41"/>
    <w:rsid w:val="00D50EEE"/>
    <w:rsid w:val="00D50EF0"/>
    <w:rsid w:val="00D51515"/>
    <w:rsid w:val="00D51872"/>
    <w:rsid w:val="00D51A57"/>
    <w:rsid w:val="00D5209E"/>
    <w:rsid w:val="00D520F8"/>
    <w:rsid w:val="00D52460"/>
    <w:rsid w:val="00D525BF"/>
    <w:rsid w:val="00D52950"/>
    <w:rsid w:val="00D52F12"/>
    <w:rsid w:val="00D532AA"/>
    <w:rsid w:val="00D5353C"/>
    <w:rsid w:val="00D53724"/>
    <w:rsid w:val="00D5426A"/>
    <w:rsid w:val="00D545D7"/>
    <w:rsid w:val="00D54FAE"/>
    <w:rsid w:val="00D550B8"/>
    <w:rsid w:val="00D55389"/>
    <w:rsid w:val="00D55422"/>
    <w:rsid w:val="00D556FA"/>
    <w:rsid w:val="00D56080"/>
    <w:rsid w:val="00D560C2"/>
    <w:rsid w:val="00D56464"/>
    <w:rsid w:val="00D56522"/>
    <w:rsid w:val="00D56A39"/>
    <w:rsid w:val="00D56D11"/>
    <w:rsid w:val="00D570A1"/>
    <w:rsid w:val="00D611B5"/>
    <w:rsid w:val="00D61759"/>
    <w:rsid w:val="00D61BA9"/>
    <w:rsid w:val="00D61D1C"/>
    <w:rsid w:val="00D624E4"/>
    <w:rsid w:val="00D625D3"/>
    <w:rsid w:val="00D62643"/>
    <w:rsid w:val="00D62FF3"/>
    <w:rsid w:val="00D6346E"/>
    <w:rsid w:val="00D63A46"/>
    <w:rsid w:val="00D63DEB"/>
    <w:rsid w:val="00D63F96"/>
    <w:rsid w:val="00D65053"/>
    <w:rsid w:val="00D65B0A"/>
    <w:rsid w:val="00D668FE"/>
    <w:rsid w:val="00D676D8"/>
    <w:rsid w:val="00D70CFB"/>
    <w:rsid w:val="00D70DD8"/>
    <w:rsid w:val="00D7130A"/>
    <w:rsid w:val="00D71562"/>
    <w:rsid w:val="00D7159D"/>
    <w:rsid w:val="00D717CA"/>
    <w:rsid w:val="00D7271B"/>
    <w:rsid w:val="00D731FE"/>
    <w:rsid w:val="00D73308"/>
    <w:rsid w:val="00D73623"/>
    <w:rsid w:val="00D73F45"/>
    <w:rsid w:val="00D73FBE"/>
    <w:rsid w:val="00D74AAB"/>
    <w:rsid w:val="00D75140"/>
    <w:rsid w:val="00D75BC0"/>
    <w:rsid w:val="00D7649C"/>
    <w:rsid w:val="00D771FE"/>
    <w:rsid w:val="00D77545"/>
    <w:rsid w:val="00D77AA1"/>
    <w:rsid w:val="00D77DC0"/>
    <w:rsid w:val="00D77DC4"/>
    <w:rsid w:val="00D801AC"/>
    <w:rsid w:val="00D80B7B"/>
    <w:rsid w:val="00D80D85"/>
    <w:rsid w:val="00D80EFB"/>
    <w:rsid w:val="00D81373"/>
    <w:rsid w:val="00D81C6F"/>
    <w:rsid w:val="00D82293"/>
    <w:rsid w:val="00D824C1"/>
    <w:rsid w:val="00D82EF1"/>
    <w:rsid w:val="00D83951"/>
    <w:rsid w:val="00D83A13"/>
    <w:rsid w:val="00D83C35"/>
    <w:rsid w:val="00D83D02"/>
    <w:rsid w:val="00D841C3"/>
    <w:rsid w:val="00D84A80"/>
    <w:rsid w:val="00D85250"/>
    <w:rsid w:val="00D85589"/>
    <w:rsid w:val="00D8584B"/>
    <w:rsid w:val="00D85A0D"/>
    <w:rsid w:val="00D85CA7"/>
    <w:rsid w:val="00D85DC1"/>
    <w:rsid w:val="00D85FD0"/>
    <w:rsid w:val="00D869DC"/>
    <w:rsid w:val="00D86D21"/>
    <w:rsid w:val="00D872B7"/>
    <w:rsid w:val="00D87543"/>
    <w:rsid w:val="00D87D0C"/>
    <w:rsid w:val="00D900CC"/>
    <w:rsid w:val="00D9023B"/>
    <w:rsid w:val="00D9037C"/>
    <w:rsid w:val="00D91220"/>
    <w:rsid w:val="00D91540"/>
    <w:rsid w:val="00D91C9E"/>
    <w:rsid w:val="00D91E09"/>
    <w:rsid w:val="00D92384"/>
    <w:rsid w:val="00D92DD8"/>
    <w:rsid w:val="00D9300A"/>
    <w:rsid w:val="00D93566"/>
    <w:rsid w:val="00D937B2"/>
    <w:rsid w:val="00D938C0"/>
    <w:rsid w:val="00D93A08"/>
    <w:rsid w:val="00D93E09"/>
    <w:rsid w:val="00D94068"/>
    <w:rsid w:val="00D94115"/>
    <w:rsid w:val="00D941D7"/>
    <w:rsid w:val="00D94C85"/>
    <w:rsid w:val="00D951C6"/>
    <w:rsid w:val="00D96B33"/>
    <w:rsid w:val="00D970A9"/>
    <w:rsid w:val="00D97427"/>
    <w:rsid w:val="00D97644"/>
    <w:rsid w:val="00D977CB"/>
    <w:rsid w:val="00D97C22"/>
    <w:rsid w:val="00D97CB8"/>
    <w:rsid w:val="00D97E6A"/>
    <w:rsid w:val="00DA051F"/>
    <w:rsid w:val="00DA0A16"/>
    <w:rsid w:val="00DA0C60"/>
    <w:rsid w:val="00DA1104"/>
    <w:rsid w:val="00DA1134"/>
    <w:rsid w:val="00DA1647"/>
    <w:rsid w:val="00DA179F"/>
    <w:rsid w:val="00DA1B69"/>
    <w:rsid w:val="00DA2BC3"/>
    <w:rsid w:val="00DA2BD5"/>
    <w:rsid w:val="00DA2F62"/>
    <w:rsid w:val="00DA3283"/>
    <w:rsid w:val="00DA3424"/>
    <w:rsid w:val="00DA34D8"/>
    <w:rsid w:val="00DA3501"/>
    <w:rsid w:val="00DA36AC"/>
    <w:rsid w:val="00DA3EEC"/>
    <w:rsid w:val="00DA4290"/>
    <w:rsid w:val="00DA44D8"/>
    <w:rsid w:val="00DA7273"/>
    <w:rsid w:val="00DA7752"/>
    <w:rsid w:val="00DA7C31"/>
    <w:rsid w:val="00DB0147"/>
    <w:rsid w:val="00DB15CC"/>
    <w:rsid w:val="00DB1C10"/>
    <w:rsid w:val="00DB1E1D"/>
    <w:rsid w:val="00DB1FA6"/>
    <w:rsid w:val="00DB2083"/>
    <w:rsid w:val="00DB303F"/>
    <w:rsid w:val="00DB334E"/>
    <w:rsid w:val="00DB3506"/>
    <w:rsid w:val="00DB3A00"/>
    <w:rsid w:val="00DB42F0"/>
    <w:rsid w:val="00DB434F"/>
    <w:rsid w:val="00DB4AFD"/>
    <w:rsid w:val="00DB4B4A"/>
    <w:rsid w:val="00DB4F6D"/>
    <w:rsid w:val="00DB5A1B"/>
    <w:rsid w:val="00DB5BB9"/>
    <w:rsid w:val="00DB636C"/>
    <w:rsid w:val="00DB659F"/>
    <w:rsid w:val="00DB6F12"/>
    <w:rsid w:val="00DB7648"/>
    <w:rsid w:val="00DB7A0E"/>
    <w:rsid w:val="00DB7EC9"/>
    <w:rsid w:val="00DB7EE8"/>
    <w:rsid w:val="00DC010E"/>
    <w:rsid w:val="00DC0295"/>
    <w:rsid w:val="00DC06DE"/>
    <w:rsid w:val="00DC1670"/>
    <w:rsid w:val="00DC1CDF"/>
    <w:rsid w:val="00DC2AC8"/>
    <w:rsid w:val="00DC2CBE"/>
    <w:rsid w:val="00DC3185"/>
    <w:rsid w:val="00DC4BC0"/>
    <w:rsid w:val="00DC4E22"/>
    <w:rsid w:val="00DC5AFF"/>
    <w:rsid w:val="00DC6134"/>
    <w:rsid w:val="00DC618A"/>
    <w:rsid w:val="00DC626F"/>
    <w:rsid w:val="00DC637E"/>
    <w:rsid w:val="00DC7408"/>
    <w:rsid w:val="00DC7C1E"/>
    <w:rsid w:val="00DC7D81"/>
    <w:rsid w:val="00DD039A"/>
    <w:rsid w:val="00DD056F"/>
    <w:rsid w:val="00DD0835"/>
    <w:rsid w:val="00DD13F1"/>
    <w:rsid w:val="00DD1427"/>
    <w:rsid w:val="00DD170B"/>
    <w:rsid w:val="00DD1724"/>
    <w:rsid w:val="00DD1913"/>
    <w:rsid w:val="00DD19F8"/>
    <w:rsid w:val="00DD1CDC"/>
    <w:rsid w:val="00DD2086"/>
    <w:rsid w:val="00DD2169"/>
    <w:rsid w:val="00DD224A"/>
    <w:rsid w:val="00DD2390"/>
    <w:rsid w:val="00DD2429"/>
    <w:rsid w:val="00DD27C3"/>
    <w:rsid w:val="00DD2F0A"/>
    <w:rsid w:val="00DD4CEF"/>
    <w:rsid w:val="00DD4DE4"/>
    <w:rsid w:val="00DD4E05"/>
    <w:rsid w:val="00DD4EDB"/>
    <w:rsid w:val="00DD5841"/>
    <w:rsid w:val="00DD6633"/>
    <w:rsid w:val="00DD68E4"/>
    <w:rsid w:val="00DD68E8"/>
    <w:rsid w:val="00DD6ADD"/>
    <w:rsid w:val="00DD7493"/>
    <w:rsid w:val="00DE01C1"/>
    <w:rsid w:val="00DE09EB"/>
    <w:rsid w:val="00DE0D8C"/>
    <w:rsid w:val="00DE0DE7"/>
    <w:rsid w:val="00DE0DEA"/>
    <w:rsid w:val="00DE1794"/>
    <w:rsid w:val="00DE1B25"/>
    <w:rsid w:val="00DE35B8"/>
    <w:rsid w:val="00DE369D"/>
    <w:rsid w:val="00DE44E9"/>
    <w:rsid w:val="00DE5055"/>
    <w:rsid w:val="00DE5B94"/>
    <w:rsid w:val="00DE5DAD"/>
    <w:rsid w:val="00DE629F"/>
    <w:rsid w:val="00DE6ABB"/>
    <w:rsid w:val="00DE7793"/>
    <w:rsid w:val="00DF0198"/>
    <w:rsid w:val="00DF0D0C"/>
    <w:rsid w:val="00DF0FD5"/>
    <w:rsid w:val="00DF110F"/>
    <w:rsid w:val="00DF12C4"/>
    <w:rsid w:val="00DF142F"/>
    <w:rsid w:val="00DF200B"/>
    <w:rsid w:val="00DF2310"/>
    <w:rsid w:val="00DF2984"/>
    <w:rsid w:val="00DF30EB"/>
    <w:rsid w:val="00DF3189"/>
    <w:rsid w:val="00DF3ED1"/>
    <w:rsid w:val="00DF4B3D"/>
    <w:rsid w:val="00DF4BD2"/>
    <w:rsid w:val="00DF51AB"/>
    <w:rsid w:val="00DF53FF"/>
    <w:rsid w:val="00DF625E"/>
    <w:rsid w:val="00DF6987"/>
    <w:rsid w:val="00DF6D80"/>
    <w:rsid w:val="00DF7286"/>
    <w:rsid w:val="00DF7330"/>
    <w:rsid w:val="00DF7D9B"/>
    <w:rsid w:val="00E00733"/>
    <w:rsid w:val="00E00937"/>
    <w:rsid w:val="00E00939"/>
    <w:rsid w:val="00E01B4D"/>
    <w:rsid w:val="00E02192"/>
    <w:rsid w:val="00E022CC"/>
    <w:rsid w:val="00E0239D"/>
    <w:rsid w:val="00E0396B"/>
    <w:rsid w:val="00E03A17"/>
    <w:rsid w:val="00E03BCD"/>
    <w:rsid w:val="00E03BCF"/>
    <w:rsid w:val="00E0415D"/>
    <w:rsid w:val="00E04193"/>
    <w:rsid w:val="00E042B8"/>
    <w:rsid w:val="00E05089"/>
    <w:rsid w:val="00E0564B"/>
    <w:rsid w:val="00E05FB1"/>
    <w:rsid w:val="00E066A0"/>
    <w:rsid w:val="00E06729"/>
    <w:rsid w:val="00E1031F"/>
    <w:rsid w:val="00E10394"/>
    <w:rsid w:val="00E112CF"/>
    <w:rsid w:val="00E127FB"/>
    <w:rsid w:val="00E13164"/>
    <w:rsid w:val="00E13CFC"/>
    <w:rsid w:val="00E13D83"/>
    <w:rsid w:val="00E14F6A"/>
    <w:rsid w:val="00E15FFB"/>
    <w:rsid w:val="00E16548"/>
    <w:rsid w:val="00E1683E"/>
    <w:rsid w:val="00E16C24"/>
    <w:rsid w:val="00E17114"/>
    <w:rsid w:val="00E17160"/>
    <w:rsid w:val="00E172DB"/>
    <w:rsid w:val="00E172F8"/>
    <w:rsid w:val="00E17475"/>
    <w:rsid w:val="00E17478"/>
    <w:rsid w:val="00E1762D"/>
    <w:rsid w:val="00E17BE5"/>
    <w:rsid w:val="00E204C4"/>
    <w:rsid w:val="00E20BE3"/>
    <w:rsid w:val="00E20DC1"/>
    <w:rsid w:val="00E211A0"/>
    <w:rsid w:val="00E213B8"/>
    <w:rsid w:val="00E218EC"/>
    <w:rsid w:val="00E222B5"/>
    <w:rsid w:val="00E2285F"/>
    <w:rsid w:val="00E231FE"/>
    <w:rsid w:val="00E23233"/>
    <w:rsid w:val="00E23440"/>
    <w:rsid w:val="00E23680"/>
    <w:rsid w:val="00E2371D"/>
    <w:rsid w:val="00E23BBB"/>
    <w:rsid w:val="00E24159"/>
    <w:rsid w:val="00E2419C"/>
    <w:rsid w:val="00E2455D"/>
    <w:rsid w:val="00E24A72"/>
    <w:rsid w:val="00E2523B"/>
    <w:rsid w:val="00E2564F"/>
    <w:rsid w:val="00E25F0B"/>
    <w:rsid w:val="00E26CF6"/>
    <w:rsid w:val="00E27338"/>
    <w:rsid w:val="00E2771B"/>
    <w:rsid w:val="00E27950"/>
    <w:rsid w:val="00E27CC6"/>
    <w:rsid w:val="00E30043"/>
    <w:rsid w:val="00E30225"/>
    <w:rsid w:val="00E3071E"/>
    <w:rsid w:val="00E30A7D"/>
    <w:rsid w:val="00E3119F"/>
    <w:rsid w:val="00E312C1"/>
    <w:rsid w:val="00E314B6"/>
    <w:rsid w:val="00E3163F"/>
    <w:rsid w:val="00E31E48"/>
    <w:rsid w:val="00E321BD"/>
    <w:rsid w:val="00E323BD"/>
    <w:rsid w:val="00E32A7A"/>
    <w:rsid w:val="00E32E37"/>
    <w:rsid w:val="00E3307B"/>
    <w:rsid w:val="00E33381"/>
    <w:rsid w:val="00E33470"/>
    <w:rsid w:val="00E33D3A"/>
    <w:rsid w:val="00E34431"/>
    <w:rsid w:val="00E34510"/>
    <w:rsid w:val="00E34643"/>
    <w:rsid w:val="00E34662"/>
    <w:rsid w:val="00E35043"/>
    <w:rsid w:val="00E35AF3"/>
    <w:rsid w:val="00E3655B"/>
    <w:rsid w:val="00E3671F"/>
    <w:rsid w:val="00E369B4"/>
    <w:rsid w:val="00E36E64"/>
    <w:rsid w:val="00E371FB"/>
    <w:rsid w:val="00E3747A"/>
    <w:rsid w:val="00E3756B"/>
    <w:rsid w:val="00E37D69"/>
    <w:rsid w:val="00E37E63"/>
    <w:rsid w:val="00E37EE9"/>
    <w:rsid w:val="00E4046A"/>
    <w:rsid w:val="00E404CF"/>
    <w:rsid w:val="00E40C83"/>
    <w:rsid w:val="00E41A5E"/>
    <w:rsid w:val="00E42199"/>
    <w:rsid w:val="00E421AE"/>
    <w:rsid w:val="00E42590"/>
    <w:rsid w:val="00E42667"/>
    <w:rsid w:val="00E42981"/>
    <w:rsid w:val="00E43796"/>
    <w:rsid w:val="00E43A8D"/>
    <w:rsid w:val="00E43FE9"/>
    <w:rsid w:val="00E4439C"/>
    <w:rsid w:val="00E443E8"/>
    <w:rsid w:val="00E44955"/>
    <w:rsid w:val="00E45D63"/>
    <w:rsid w:val="00E46747"/>
    <w:rsid w:val="00E46CDE"/>
    <w:rsid w:val="00E46D90"/>
    <w:rsid w:val="00E47074"/>
    <w:rsid w:val="00E47A92"/>
    <w:rsid w:val="00E51B6E"/>
    <w:rsid w:val="00E520AD"/>
    <w:rsid w:val="00E52788"/>
    <w:rsid w:val="00E52E64"/>
    <w:rsid w:val="00E52F2B"/>
    <w:rsid w:val="00E531E0"/>
    <w:rsid w:val="00E53B41"/>
    <w:rsid w:val="00E541C1"/>
    <w:rsid w:val="00E5467D"/>
    <w:rsid w:val="00E548AD"/>
    <w:rsid w:val="00E54A0C"/>
    <w:rsid w:val="00E558F7"/>
    <w:rsid w:val="00E55B4B"/>
    <w:rsid w:val="00E55C31"/>
    <w:rsid w:val="00E55E70"/>
    <w:rsid w:val="00E5614B"/>
    <w:rsid w:val="00E56A3B"/>
    <w:rsid w:val="00E56AA3"/>
    <w:rsid w:val="00E56CED"/>
    <w:rsid w:val="00E56EAD"/>
    <w:rsid w:val="00E57519"/>
    <w:rsid w:val="00E60866"/>
    <w:rsid w:val="00E610FA"/>
    <w:rsid w:val="00E613CE"/>
    <w:rsid w:val="00E61B35"/>
    <w:rsid w:val="00E61E66"/>
    <w:rsid w:val="00E6202A"/>
    <w:rsid w:val="00E6233D"/>
    <w:rsid w:val="00E624DB"/>
    <w:rsid w:val="00E62A24"/>
    <w:rsid w:val="00E62AA7"/>
    <w:rsid w:val="00E631AC"/>
    <w:rsid w:val="00E63567"/>
    <w:rsid w:val="00E63A15"/>
    <w:rsid w:val="00E63E0F"/>
    <w:rsid w:val="00E64260"/>
    <w:rsid w:val="00E64F78"/>
    <w:rsid w:val="00E65436"/>
    <w:rsid w:val="00E65487"/>
    <w:rsid w:val="00E6579F"/>
    <w:rsid w:val="00E66579"/>
    <w:rsid w:val="00E665CE"/>
    <w:rsid w:val="00E66604"/>
    <w:rsid w:val="00E66CCC"/>
    <w:rsid w:val="00E66DD2"/>
    <w:rsid w:val="00E66E0E"/>
    <w:rsid w:val="00E67635"/>
    <w:rsid w:val="00E6789E"/>
    <w:rsid w:val="00E70113"/>
    <w:rsid w:val="00E703F6"/>
    <w:rsid w:val="00E70443"/>
    <w:rsid w:val="00E704BF"/>
    <w:rsid w:val="00E705EB"/>
    <w:rsid w:val="00E70E9E"/>
    <w:rsid w:val="00E71481"/>
    <w:rsid w:val="00E7150F"/>
    <w:rsid w:val="00E7167A"/>
    <w:rsid w:val="00E716FB"/>
    <w:rsid w:val="00E717C9"/>
    <w:rsid w:val="00E71DC8"/>
    <w:rsid w:val="00E7212C"/>
    <w:rsid w:val="00E725A4"/>
    <w:rsid w:val="00E727D3"/>
    <w:rsid w:val="00E72B52"/>
    <w:rsid w:val="00E72BAB"/>
    <w:rsid w:val="00E73789"/>
    <w:rsid w:val="00E73961"/>
    <w:rsid w:val="00E73EE9"/>
    <w:rsid w:val="00E74E3B"/>
    <w:rsid w:val="00E75118"/>
    <w:rsid w:val="00E75189"/>
    <w:rsid w:val="00E75E3E"/>
    <w:rsid w:val="00E762C4"/>
    <w:rsid w:val="00E76843"/>
    <w:rsid w:val="00E76996"/>
    <w:rsid w:val="00E76BF0"/>
    <w:rsid w:val="00E76E55"/>
    <w:rsid w:val="00E76F27"/>
    <w:rsid w:val="00E77189"/>
    <w:rsid w:val="00E779B3"/>
    <w:rsid w:val="00E779BD"/>
    <w:rsid w:val="00E77AC7"/>
    <w:rsid w:val="00E77D0E"/>
    <w:rsid w:val="00E803C3"/>
    <w:rsid w:val="00E80F42"/>
    <w:rsid w:val="00E811AE"/>
    <w:rsid w:val="00E8121A"/>
    <w:rsid w:val="00E81624"/>
    <w:rsid w:val="00E81BF9"/>
    <w:rsid w:val="00E81EBD"/>
    <w:rsid w:val="00E825F4"/>
    <w:rsid w:val="00E8282E"/>
    <w:rsid w:val="00E83550"/>
    <w:rsid w:val="00E8379B"/>
    <w:rsid w:val="00E83C05"/>
    <w:rsid w:val="00E83D20"/>
    <w:rsid w:val="00E84464"/>
    <w:rsid w:val="00E8459D"/>
    <w:rsid w:val="00E84A3E"/>
    <w:rsid w:val="00E84B16"/>
    <w:rsid w:val="00E84C61"/>
    <w:rsid w:val="00E85700"/>
    <w:rsid w:val="00E86C29"/>
    <w:rsid w:val="00E86FEA"/>
    <w:rsid w:val="00E87839"/>
    <w:rsid w:val="00E87C49"/>
    <w:rsid w:val="00E87EB0"/>
    <w:rsid w:val="00E87FE3"/>
    <w:rsid w:val="00E905C4"/>
    <w:rsid w:val="00E90BAE"/>
    <w:rsid w:val="00E90C9B"/>
    <w:rsid w:val="00E915BB"/>
    <w:rsid w:val="00E919E6"/>
    <w:rsid w:val="00E91D00"/>
    <w:rsid w:val="00E91F62"/>
    <w:rsid w:val="00E92BA3"/>
    <w:rsid w:val="00E92C8F"/>
    <w:rsid w:val="00E92D9B"/>
    <w:rsid w:val="00E93053"/>
    <w:rsid w:val="00E93219"/>
    <w:rsid w:val="00E944F6"/>
    <w:rsid w:val="00E95036"/>
    <w:rsid w:val="00E95605"/>
    <w:rsid w:val="00E959A8"/>
    <w:rsid w:val="00E960DA"/>
    <w:rsid w:val="00E96402"/>
    <w:rsid w:val="00E972F8"/>
    <w:rsid w:val="00E97771"/>
    <w:rsid w:val="00E97BDC"/>
    <w:rsid w:val="00E97EC8"/>
    <w:rsid w:val="00EA0ABF"/>
    <w:rsid w:val="00EA0D8B"/>
    <w:rsid w:val="00EA1669"/>
    <w:rsid w:val="00EA1DAE"/>
    <w:rsid w:val="00EA1E82"/>
    <w:rsid w:val="00EA3483"/>
    <w:rsid w:val="00EA4018"/>
    <w:rsid w:val="00EA40C7"/>
    <w:rsid w:val="00EA4139"/>
    <w:rsid w:val="00EA4447"/>
    <w:rsid w:val="00EA47A0"/>
    <w:rsid w:val="00EA4BE8"/>
    <w:rsid w:val="00EA5693"/>
    <w:rsid w:val="00EA5C53"/>
    <w:rsid w:val="00EA616E"/>
    <w:rsid w:val="00EA62D2"/>
    <w:rsid w:val="00EA6B3C"/>
    <w:rsid w:val="00EA6E98"/>
    <w:rsid w:val="00EA6FA2"/>
    <w:rsid w:val="00EA736C"/>
    <w:rsid w:val="00EA7AD3"/>
    <w:rsid w:val="00EA7B2F"/>
    <w:rsid w:val="00EA7BAD"/>
    <w:rsid w:val="00EA7C7C"/>
    <w:rsid w:val="00EB039B"/>
    <w:rsid w:val="00EB11C4"/>
    <w:rsid w:val="00EB182F"/>
    <w:rsid w:val="00EB1C96"/>
    <w:rsid w:val="00EB1F3B"/>
    <w:rsid w:val="00EB2330"/>
    <w:rsid w:val="00EB23EC"/>
    <w:rsid w:val="00EB3092"/>
    <w:rsid w:val="00EB31D7"/>
    <w:rsid w:val="00EB33A8"/>
    <w:rsid w:val="00EB3F19"/>
    <w:rsid w:val="00EB47A6"/>
    <w:rsid w:val="00EB4F9E"/>
    <w:rsid w:val="00EB574C"/>
    <w:rsid w:val="00EB58E8"/>
    <w:rsid w:val="00EB59EC"/>
    <w:rsid w:val="00EB5F12"/>
    <w:rsid w:val="00EB60AD"/>
    <w:rsid w:val="00EB6193"/>
    <w:rsid w:val="00EB64CF"/>
    <w:rsid w:val="00EB6A08"/>
    <w:rsid w:val="00EB6F79"/>
    <w:rsid w:val="00EB791E"/>
    <w:rsid w:val="00EB7A91"/>
    <w:rsid w:val="00EB7AE8"/>
    <w:rsid w:val="00EC06B9"/>
    <w:rsid w:val="00EC0762"/>
    <w:rsid w:val="00EC07F7"/>
    <w:rsid w:val="00EC09B1"/>
    <w:rsid w:val="00EC0AD5"/>
    <w:rsid w:val="00EC0AFE"/>
    <w:rsid w:val="00EC0E2A"/>
    <w:rsid w:val="00EC22DE"/>
    <w:rsid w:val="00EC2A72"/>
    <w:rsid w:val="00EC2AE7"/>
    <w:rsid w:val="00EC2CB3"/>
    <w:rsid w:val="00EC3566"/>
    <w:rsid w:val="00EC37BE"/>
    <w:rsid w:val="00EC3A24"/>
    <w:rsid w:val="00EC3F8E"/>
    <w:rsid w:val="00EC4304"/>
    <w:rsid w:val="00EC439A"/>
    <w:rsid w:val="00EC4783"/>
    <w:rsid w:val="00EC6A59"/>
    <w:rsid w:val="00EC7346"/>
    <w:rsid w:val="00EC744F"/>
    <w:rsid w:val="00EC7466"/>
    <w:rsid w:val="00EC7884"/>
    <w:rsid w:val="00ED0F27"/>
    <w:rsid w:val="00ED1059"/>
    <w:rsid w:val="00ED185A"/>
    <w:rsid w:val="00ED1A18"/>
    <w:rsid w:val="00ED2088"/>
    <w:rsid w:val="00ED229B"/>
    <w:rsid w:val="00ED22AC"/>
    <w:rsid w:val="00ED26CD"/>
    <w:rsid w:val="00ED3103"/>
    <w:rsid w:val="00ED396A"/>
    <w:rsid w:val="00ED3CD1"/>
    <w:rsid w:val="00ED3F40"/>
    <w:rsid w:val="00ED4004"/>
    <w:rsid w:val="00ED4034"/>
    <w:rsid w:val="00ED409A"/>
    <w:rsid w:val="00ED44F6"/>
    <w:rsid w:val="00ED4EDA"/>
    <w:rsid w:val="00ED536A"/>
    <w:rsid w:val="00ED545D"/>
    <w:rsid w:val="00ED5D5F"/>
    <w:rsid w:val="00ED63F7"/>
    <w:rsid w:val="00ED6A44"/>
    <w:rsid w:val="00ED6DB3"/>
    <w:rsid w:val="00ED75C3"/>
    <w:rsid w:val="00ED7CA1"/>
    <w:rsid w:val="00EE0127"/>
    <w:rsid w:val="00EE02D0"/>
    <w:rsid w:val="00EE02FF"/>
    <w:rsid w:val="00EE05F7"/>
    <w:rsid w:val="00EE1626"/>
    <w:rsid w:val="00EE1B68"/>
    <w:rsid w:val="00EE1C03"/>
    <w:rsid w:val="00EE2741"/>
    <w:rsid w:val="00EE38C8"/>
    <w:rsid w:val="00EE3B8A"/>
    <w:rsid w:val="00EE3C6F"/>
    <w:rsid w:val="00EE4555"/>
    <w:rsid w:val="00EE45D9"/>
    <w:rsid w:val="00EE4980"/>
    <w:rsid w:val="00EE4A73"/>
    <w:rsid w:val="00EE58C3"/>
    <w:rsid w:val="00EE5A7D"/>
    <w:rsid w:val="00EE5F73"/>
    <w:rsid w:val="00EE6019"/>
    <w:rsid w:val="00EE65A7"/>
    <w:rsid w:val="00EE68B6"/>
    <w:rsid w:val="00EE7359"/>
    <w:rsid w:val="00EF0119"/>
    <w:rsid w:val="00EF0271"/>
    <w:rsid w:val="00EF069C"/>
    <w:rsid w:val="00EF0942"/>
    <w:rsid w:val="00EF0C63"/>
    <w:rsid w:val="00EF115B"/>
    <w:rsid w:val="00EF15E2"/>
    <w:rsid w:val="00EF1CF4"/>
    <w:rsid w:val="00EF2803"/>
    <w:rsid w:val="00EF4E7E"/>
    <w:rsid w:val="00EF5CEB"/>
    <w:rsid w:val="00EF5D0B"/>
    <w:rsid w:val="00EF656C"/>
    <w:rsid w:val="00EF6AFC"/>
    <w:rsid w:val="00EF6ED9"/>
    <w:rsid w:val="00EF7474"/>
    <w:rsid w:val="00EF7B2A"/>
    <w:rsid w:val="00F00451"/>
    <w:rsid w:val="00F00A5C"/>
    <w:rsid w:val="00F00E7B"/>
    <w:rsid w:val="00F00FA9"/>
    <w:rsid w:val="00F012D0"/>
    <w:rsid w:val="00F01817"/>
    <w:rsid w:val="00F02518"/>
    <w:rsid w:val="00F0270B"/>
    <w:rsid w:val="00F02C6C"/>
    <w:rsid w:val="00F03513"/>
    <w:rsid w:val="00F037B4"/>
    <w:rsid w:val="00F03940"/>
    <w:rsid w:val="00F03AF1"/>
    <w:rsid w:val="00F03BA8"/>
    <w:rsid w:val="00F04175"/>
    <w:rsid w:val="00F0444A"/>
    <w:rsid w:val="00F04956"/>
    <w:rsid w:val="00F057CA"/>
    <w:rsid w:val="00F05D9E"/>
    <w:rsid w:val="00F05F96"/>
    <w:rsid w:val="00F0617C"/>
    <w:rsid w:val="00F06AFC"/>
    <w:rsid w:val="00F0738A"/>
    <w:rsid w:val="00F076D5"/>
    <w:rsid w:val="00F10104"/>
    <w:rsid w:val="00F10A78"/>
    <w:rsid w:val="00F10AC0"/>
    <w:rsid w:val="00F10C57"/>
    <w:rsid w:val="00F10F1E"/>
    <w:rsid w:val="00F1148F"/>
    <w:rsid w:val="00F129A6"/>
    <w:rsid w:val="00F12AA2"/>
    <w:rsid w:val="00F12D41"/>
    <w:rsid w:val="00F12EA2"/>
    <w:rsid w:val="00F131C6"/>
    <w:rsid w:val="00F136F1"/>
    <w:rsid w:val="00F13864"/>
    <w:rsid w:val="00F13D6A"/>
    <w:rsid w:val="00F13D9D"/>
    <w:rsid w:val="00F1550D"/>
    <w:rsid w:val="00F1581A"/>
    <w:rsid w:val="00F163FD"/>
    <w:rsid w:val="00F166DE"/>
    <w:rsid w:val="00F16796"/>
    <w:rsid w:val="00F179D1"/>
    <w:rsid w:val="00F202F5"/>
    <w:rsid w:val="00F20A57"/>
    <w:rsid w:val="00F20E20"/>
    <w:rsid w:val="00F21B3D"/>
    <w:rsid w:val="00F228FF"/>
    <w:rsid w:val="00F22BAC"/>
    <w:rsid w:val="00F23094"/>
    <w:rsid w:val="00F234F8"/>
    <w:rsid w:val="00F23A68"/>
    <w:rsid w:val="00F24044"/>
    <w:rsid w:val="00F243D4"/>
    <w:rsid w:val="00F245C4"/>
    <w:rsid w:val="00F24622"/>
    <w:rsid w:val="00F24E1E"/>
    <w:rsid w:val="00F250DD"/>
    <w:rsid w:val="00F2516C"/>
    <w:rsid w:val="00F258AD"/>
    <w:rsid w:val="00F25916"/>
    <w:rsid w:val="00F25986"/>
    <w:rsid w:val="00F25FDF"/>
    <w:rsid w:val="00F2623D"/>
    <w:rsid w:val="00F26349"/>
    <w:rsid w:val="00F26364"/>
    <w:rsid w:val="00F26B71"/>
    <w:rsid w:val="00F27638"/>
    <w:rsid w:val="00F3018D"/>
    <w:rsid w:val="00F308FD"/>
    <w:rsid w:val="00F3115A"/>
    <w:rsid w:val="00F3172C"/>
    <w:rsid w:val="00F318AF"/>
    <w:rsid w:val="00F31A8D"/>
    <w:rsid w:val="00F31ACB"/>
    <w:rsid w:val="00F31E2B"/>
    <w:rsid w:val="00F33BD9"/>
    <w:rsid w:val="00F34A25"/>
    <w:rsid w:val="00F35780"/>
    <w:rsid w:val="00F35CB4"/>
    <w:rsid w:val="00F3621D"/>
    <w:rsid w:val="00F3627D"/>
    <w:rsid w:val="00F364AD"/>
    <w:rsid w:val="00F36B9D"/>
    <w:rsid w:val="00F36F67"/>
    <w:rsid w:val="00F37683"/>
    <w:rsid w:val="00F37F52"/>
    <w:rsid w:val="00F4069E"/>
    <w:rsid w:val="00F408C1"/>
    <w:rsid w:val="00F40900"/>
    <w:rsid w:val="00F416DC"/>
    <w:rsid w:val="00F41ABE"/>
    <w:rsid w:val="00F4234B"/>
    <w:rsid w:val="00F4240E"/>
    <w:rsid w:val="00F42737"/>
    <w:rsid w:val="00F42A22"/>
    <w:rsid w:val="00F43DB0"/>
    <w:rsid w:val="00F43E38"/>
    <w:rsid w:val="00F43E53"/>
    <w:rsid w:val="00F441C9"/>
    <w:rsid w:val="00F444CA"/>
    <w:rsid w:val="00F44A2C"/>
    <w:rsid w:val="00F44C95"/>
    <w:rsid w:val="00F44CDF"/>
    <w:rsid w:val="00F44CEF"/>
    <w:rsid w:val="00F44E56"/>
    <w:rsid w:val="00F45129"/>
    <w:rsid w:val="00F4515C"/>
    <w:rsid w:val="00F45316"/>
    <w:rsid w:val="00F471C4"/>
    <w:rsid w:val="00F504A0"/>
    <w:rsid w:val="00F50712"/>
    <w:rsid w:val="00F50E49"/>
    <w:rsid w:val="00F5100E"/>
    <w:rsid w:val="00F51752"/>
    <w:rsid w:val="00F51BC4"/>
    <w:rsid w:val="00F51DFC"/>
    <w:rsid w:val="00F5238D"/>
    <w:rsid w:val="00F52407"/>
    <w:rsid w:val="00F524EE"/>
    <w:rsid w:val="00F52538"/>
    <w:rsid w:val="00F531FA"/>
    <w:rsid w:val="00F539DB"/>
    <w:rsid w:val="00F5475F"/>
    <w:rsid w:val="00F54AFA"/>
    <w:rsid w:val="00F551E3"/>
    <w:rsid w:val="00F55759"/>
    <w:rsid w:val="00F5575C"/>
    <w:rsid w:val="00F55F0E"/>
    <w:rsid w:val="00F56A85"/>
    <w:rsid w:val="00F574C7"/>
    <w:rsid w:val="00F57580"/>
    <w:rsid w:val="00F6006E"/>
    <w:rsid w:val="00F60388"/>
    <w:rsid w:val="00F60D57"/>
    <w:rsid w:val="00F61269"/>
    <w:rsid w:val="00F621C8"/>
    <w:rsid w:val="00F62616"/>
    <w:rsid w:val="00F63113"/>
    <w:rsid w:val="00F63297"/>
    <w:rsid w:val="00F63AD4"/>
    <w:rsid w:val="00F63B42"/>
    <w:rsid w:val="00F63B5B"/>
    <w:rsid w:val="00F64E79"/>
    <w:rsid w:val="00F6519F"/>
    <w:rsid w:val="00F651F8"/>
    <w:rsid w:val="00F65573"/>
    <w:rsid w:val="00F65977"/>
    <w:rsid w:val="00F65D9D"/>
    <w:rsid w:val="00F6685E"/>
    <w:rsid w:val="00F66B9D"/>
    <w:rsid w:val="00F70186"/>
    <w:rsid w:val="00F7083E"/>
    <w:rsid w:val="00F710B1"/>
    <w:rsid w:val="00F71822"/>
    <w:rsid w:val="00F71D5D"/>
    <w:rsid w:val="00F71E48"/>
    <w:rsid w:val="00F72231"/>
    <w:rsid w:val="00F72745"/>
    <w:rsid w:val="00F740FD"/>
    <w:rsid w:val="00F744D7"/>
    <w:rsid w:val="00F74BC2"/>
    <w:rsid w:val="00F74DC3"/>
    <w:rsid w:val="00F74E03"/>
    <w:rsid w:val="00F74E98"/>
    <w:rsid w:val="00F7540C"/>
    <w:rsid w:val="00F75618"/>
    <w:rsid w:val="00F7594D"/>
    <w:rsid w:val="00F75C36"/>
    <w:rsid w:val="00F75FE8"/>
    <w:rsid w:val="00F7607F"/>
    <w:rsid w:val="00F760A2"/>
    <w:rsid w:val="00F762E9"/>
    <w:rsid w:val="00F76E67"/>
    <w:rsid w:val="00F779D2"/>
    <w:rsid w:val="00F77EBA"/>
    <w:rsid w:val="00F8055B"/>
    <w:rsid w:val="00F80608"/>
    <w:rsid w:val="00F813A6"/>
    <w:rsid w:val="00F82F14"/>
    <w:rsid w:val="00F83156"/>
    <w:rsid w:val="00F83399"/>
    <w:rsid w:val="00F84297"/>
    <w:rsid w:val="00F843D7"/>
    <w:rsid w:val="00F8460A"/>
    <w:rsid w:val="00F84627"/>
    <w:rsid w:val="00F84CF8"/>
    <w:rsid w:val="00F84E23"/>
    <w:rsid w:val="00F850E0"/>
    <w:rsid w:val="00F85B67"/>
    <w:rsid w:val="00F85BA6"/>
    <w:rsid w:val="00F864E5"/>
    <w:rsid w:val="00F86A84"/>
    <w:rsid w:val="00F86CC1"/>
    <w:rsid w:val="00F87CCA"/>
    <w:rsid w:val="00F9054E"/>
    <w:rsid w:val="00F90DAD"/>
    <w:rsid w:val="00F90DCA"/>
    <w:rsid w:val="00F9297C"/>
    <w:rsid w:val="00F92E60"/>
    <w:rsid w:val="00F93117"/>
    <w:rsid w:val="00F938F3"/>
    <w:rsid w:val="00F93AD0"/>
    <w:rsid w:val="00F94232"/>
    <w:rsid w:val="00F943C9"/>
    <w:rsid w:val="00F947BC"/>
    <w:rsid w:val="00F94F90"/>
    <w:rsid w:val="00F955A4"/>
    <w:rsid w:val="00F95A0E"/>
    <w:rsid w:val="00F95C1D"/>
    <w:rsid w:val="00F969CE"/>
    <w:rsid w:val="00F96D7B"/>
    <w:rsid w:val="00F976E7"/>
    <w:rsid w:val="00F97D0D"/>
    <w:rsid w:val="00F97E07"/>
    <w:rsid w:val="00FA0099"/>
    <w:rsid w:val="00FA0644"/>
    <w:rsid w:val="00FA0CE1"/>
    <w:rsid w:val="00FA0F20"/>
    <w:rsid w:val="00FA1319"/>
    <w:rsid w:val="00FA1447"/>
    <w:rsid w:val="00FA18E6"/>
    <w:rsid w:val="00FA1DB8"/>
    <w:rsid w:val="00FA296B"/>
    <w:rsid w:val="00FA2ED5"/>
    <w:rsid w:val="00FA30C4"/>
    <w:rsid w:val="00FA3236"/>
    <w:rsid w:val="00FA3D74"/>
    <w:rsid w:val="00FA472B"/>
    <w:rsid w:val="00FA4844"/>
    <w:rsid w:val="00FA4D01"/>
    <w:rsid w:val="00FA4FC5"/>
    <w:rsid w:val="00FA543D"/>
    <w:rsid w:val="00FA5883"/>
    <w:rsid w:val="00FA65AF"/>
    <w:rsid w:val="00FA6691"/>
    <w:rsid w:val="00FA68AC"/>
    <w:rsid w:val="00FA6E54"/>
    <w:rsid w:val="00FA71F5"/>
    <w:rsid w:val="00FA772A"/>
    <w:rsid w:val="00FA79CF"/>
    <w:rsid w:val="00FA7A8D"/>
    <w:rsid w:val="00FA7EFA"/>
    <w:rsid w:val="00FB03C4"/>
    <w:rsid w:val="00FB047D"/>
    <w:rsid w:val="00FB0795"/>
    <w:rsid w:val="00FB0916"/>
    <w:rsid w:val="00FB1040"/>
    <w:rsid w:val="00FB151A"/>
    <w:rsid w:val="00FB174D"/>
    <w:rsid w:val="00FB1D6B"/>
    <w:rsid w:val="00FB22AA"/>
    <w:rsid w:val="00FB243F"/>
    <w:rsid w:val="00FB251C"/>
    <w:rsid w:val="00FB3044"/>
    <w:rsid w:val="00FB338C"/>
    <w:rsid w:val="00FB35DD"/>
    <w:rsid w:val="00FB3CAD"/>
    <w:rsid w:val="00FB404F"/>
    <w:rsid w:val="00FB42C7"/>
    <w:rsid w:val="00FB4625"/>
    <w:rsid w:val="00FB4797"/>
    <w:rsid w:val="00FB4D18"/>
    <w:rsid w:val="00FB5DAE"/>
    <w:rsid w:val="00FB5FA9"/>
    <w:rsid w:val="00FB60DA"/>
    <w:rsid w:val="00FB6817"/>
    <w:rsid w:val="00FB7292"/>
    <w:rsid w:val="00FB7693"/>
    <w:rsid w:val="00FB7802"/>
    <w:rsid w:val="00FB7AA9"/>
    <w:rsid w:val="00FC014C"/>
    <w:rsid w:val="00FC0D6E"/>
    <w:rsid w:val="00FC140E"/>
    <w:rsid w:val="00FC15D3"/>
    <w:rsid w:val="00FC2096"/>
    <w:rsid w:val="00FC20FC"/>
    <w:rsid w:val="00FC2162"/>
    <w:rsid w:val="00FC22F4"/>
    <w:rsid w:val="00FC2977"/>
    <w:rsid w:val="00FC2FA1"/>
    <w:rsid w:val="00FC30D3"/>
    <w:rsid w:val="00FC31E0"/>
    <w:rsid w:val="00FC32B4"/>
    <w:rsid w:val="00FC3E2C"/>
    <w:rsid w:val="00FC5651"/>
    <w:rsid w:val="00FC5C55"/>
    <w:rsid w:val="00FC5D5E"/>
    <w:rsid w:val="00FC5FDE"/>
    <w:rsid w:val="00FC6E15"/>
    <w:rsid w:val="00FC7A95"/>
    <w:rsid w:val="00FC7F79"/>
    <w:rsid w:val="00FD0581"/>
    <w:rsid w:val="00FD06BE"/>
    <w:rsid w:val="00FD0EBD"/>
    <w:rsid w:val="00FD1052"/>
    <w:rsid w:val="00FD166F"/>
    <w:rsid w:val="00FD1BAF"/>
    <w:rsid w:val="00FD1DAF"/>
    <w:rsid w:val="00FD20A0"/>
    <w:rsid w:val="00FD222F"/>
    <w:rsid w:val="00FD2F1E"/>
    <w:rsid w:val="00FD2F88"/>
    <w:rsid w:val="00FD417A"/>
    <w:rsid w:val="00FD4420"/>
    <w:rsid w:val="00FD46C7"/>
    <w:rsid w:val="00FD4C5E"/>
    <w:rsid w:val="00FD55A8"/>
    <w:rsid w:val="00FD5793"/>
    <w:rsid w:val="00FD5D08"/>
    <w:rsid w:val="00FD60A1"/>
    <w:rsid w:val="00FD66D4"/>
    <w:rsid w:val="00FD69EF"/>
    <w:rsid w:val="00FD6CE3"/>
    <w:rsid w:val="00FD73BB"/>
    <w:rsid w:val="00FD7AA5"/>
    <w:rsid w:val="00FD7EC9"/>
    <w:rsid w:val="00FE01E9"/>
    <w:rsid w:val="00FE0297"/>
    <w:rsid w:val="00FE0B92"/>
    <w:rsid w:val="00FE0DB7"/>
    <w:rsid w:val="00FE1035"/>
    <w:rsid w:val="00FE125E"/>
    <w:rsid w:val="00FE1716"/>
    <w:rsid w:val="00FE183E"/>
    <w:rsid w:val="00FE211E"/>
    <w:rsid w:val="00FE3FB2"/>
    <w:rsid w:val="00FE40D3"/>
    <w:rsid w:val="00FE4211"/>
    <w:rsid w:val="00FE469E"/>
    <w:rsid w:val="00FE46F8"/>
    <w:rsid w:val="00FE5493"/>
    <w:rsid w:val="00FE54CC"/>
    <w:rsid w:val="00FE5AFA"/>
    <w:rsid w:val="00FE6096"/>
    <w:rsid w:val="00FE66DF"/>
    <w:rsid w:val="00FE674B"/>
    <w:rsid w:val="00FE6956"/>
    <w:rsid w:val="00FE6C32"/>
    <w:rsid w:val="00FE71FA"/>
    <w:rsid w:val="00FE73EF"/>
    <w:rsid w:val="00FE7532"/>
    <w:rsid w:val="00FE7A79"/>
    <w:rsid w:val="00FE7CBF"/>
    <w:rsid w:val="00FF06B8"/>
    <w:rsid w:val="00FF0D8A"/>
    <w:rsid w:val="00FF1110"/>
    <w:rsid w:val="00FF140F"/>
    <w:rsid w:val="00FF19A5"/>
    <w:rsid w:val="00FF1CD0"/>
    <w:rsid w:val="00FF47B8"/>
    <w:rsid w:val="00FF49F6"/>
    <w:rsid w:val="00FF4C73"/>
    <w:rsid w:val="00FF565A"/>
    <w:rsid w:val="00FF6311"/>
    <w:rsid w:val="00FF68A4"/>
    <w:rsid w:val="00FF6C77"/>
    <w:rsid w:val="00FF6FEB"/>
    <w:rsid w:val="01A74527"/>
    <w:rsid w:val="05CA4F62"/>
    <w:rsid w:val="05FD97B0"/>
    <w:rsid w:val="084B5B43"/>
    <w:rsid w:val="0881CE4F"/>
    <w:rsid w:val="0AB08ADA"/>
    <w:rsid w:val="0BC1F5F8"/>
    <w:rsid w:val="0E5121C1"/>
    <w:rsid w:val="0EB42215"/>
    <w:rsid w:val="0F79ED47"/>
    <w:rsid w:val="1091C237"/>
    <w:rsid w:val="1347AF5D"/>
    <w:rsid w:val="135896FD"/>
    <w:rsid w:val="17425CC7"/>
    <w:rsid w:val="1758A423"/>
    <w:rsid w:val="184E02FC"/>
    <w:rsid w:val="18EF3629"/>
    <w:rsid w:val="1C8C15DB"/>
    <w:rsid w:val="20221C6B"/>
    <w:rsid w:val="21EE0B01"/>
    <w:rsid w:val="2218570F"/>
    <w:rsid w:val="225B694D"/>
    <w:rsid w:val="254174E9"/>
    <w:rsid w:val="29AAF451"/>
    <w:rsid w:val="2AE46CE9"/>
    <w:rsid w:val="2E1B96F6"/>
    <w:rsid w:val="2E1D8F34"/>
    <w:rsid w:val="2EAF99D0"/>
    <w:rsid w:val="306ED18A"/>
    <w:rsid w:val="310F5A94"/>
    <w:rsid w:val="33300B76"/>
    <w:rsid w:val="339068FF"/>
    <w:rsid w:val="358C4F60"/>
    <w:rsid w:val="361B2D65"/>
    <w:rsid w:val="37FB255F"/>
    <w:rsid w:val="38A2FA91"/>
    <w:rsid w:val="3B825287"/>
    <w:rsid w:val="3D09925B"/>
    <w:rsid w:val="3D2EB534"/>
    <w:rsid w:val="40B5F15F"/>
    <w:rsid w:val="418CE8A1"/>
    <w:rsid w:val="41E68AE2"/>
    <w:rsid w:val="423F8C8B"/>
    <w:rsid w:val="42C25D65"/>
    <w:rsid w:val="447CA037"/>
    <w:rsid w:val="4809E513"/>
    <w:rsid w:val="48D7EA67"/>
    <w:rsid w:val="4A3D47BC"/>
    <w:rsid w:val="4C651369"/>
    <w:rsid w:val="4C9AD352"/>
    <w:rsid w:val="4CCE0905"/>
    <w:rsid w:val="4D6C526D"/>
    <w:rsid w:val="5114BF2B"/>
    <w:rsid w:val="529430BC"/>
    <w:rsid w:val="5407227C"/>
    <w:rsid w:val="54253A12"/>
    <w:rsid w:val="54A110CA"/>
    <w:rsid w:val="557E3E93"/>
    <w:rsid w:val="588759CF"/>
    <w:rsid w:val="597B7562"/>
    <w:rsid w:val="5AA96A7B"/>
    <w:rsid w:val="5B1795AE"/>
    <w:rsid w:val="5CA0B864"/>
    <w:rsid w:val="5DE76CDF"/>
    <w:rsid w:val="6081D968"/>
    <w:rsid w:val="62ACE26E"/>
    <w:rsid w:val="647E29BC"/>
    <w:rsid w:val="65117C11"/>
    <w:rsid w:val="688F9014"/>
    <w:rsid w:val="68DB59C8"/>
    <w:rsid w:val="6C82E617"/>
    <w:rsid w:val="6E0146A1"/>
    <w:rsid w:val="73DB9B5B"/>
    <w:rsid w:val="74596F2C"/>
    <w:rsid w:val="74B8D298"/>
    <w:rsid w:val="758CF27C"/>
    <w:rsid w:val="75E8E6B9"/>
    <w:rsid w:val="762761C5"/>
    <w:rsid w:val="7A2DA4A1"/>
    <w:rsid w:val="7B87A541"/>
    <w:rsid w:val="7BA7312A"/>
    <w:rsid w:val="7DA55954"/>
    <w:rsid w:val="7DC0F223"/>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BFE0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E"/>
    <w:rPr>
      <w:rFonts w:ascii="Times New Roman" w:hAnsi="Times New Roman"/>
      <w:sz w:val="24"/>
      <w:lang w:val="en-CA" w:eastAsia="en-US"/>
    </w:rPr>
  </w:style>
  <w:style w:type="paragraph" w:styleId="Heading1">
    <w:name w:val="heading 1"/>
    <w:basedOn w:val="Normal"/>
    <w:link w:val="Heading1Char"/>
    <w:qFormat/>
    <w:rsid w:val="00962E65"/>
    <w:pPr>
      <w:numPr>
        <w:numId w:val="2"/>
      </w:numPr>
      <w:spacing w:after="240"/>
      <w:jc w:val="both"/>
      <w:outlineLvl w:val="0"/>
    </w:pPr>
    <w:rPr>
      <w:b/>
    </w:rPr>
  </w:style>
  <w:style w:type="paragraph" w:styleId="Heading2">
    <w:name w:val="heading 2"/>
    <w:basedOn w:val="Normal"/>
    <w:link w:val="Heading2Char"/>
    <w:qFormat/>
    <w:rsid w:val="00962E65"/>
    <w:pPr>
      <w:numPr>
        <w:ilvl w:val="1"/>
        <w:numId w:val="2"/>
      </w:numPr>
      <w:spacing w:after="240"/>
      <w:jc w:val="both"/>
      <w:outlineLvl w:val="1"/>
    </w:pPr>
  </w:style>
  <w:style w:type="paragraph" w:styleId="Heading3">
    <w:name w:val="heading 3"/>
    <w:basedOn w:val="Normal"/>
    <w:link w:val="Heading3Char"/>
    <w:qFormat/>
    <w:rsid w:val="00962E65"/>
    <w:pPr>
      <w:numPr>
        <w:ilvl w:val="2"/>
        <w:numId w:val="2"/>
      </w:numPr>
      <w:spacing w:after="240"/>
      <w:jc w:val="both"/>
      <w:outlineLvl w:val="2"/>
    </w:pPr>
  </w:style>
  <w:style w:type="paragraph" w:styleId="Heading4">
    <w:name w:val="heading 4"/>
    <w:basedOn w:val="Normal"/>
    <w:link w:val="Heading4Char"/>
    <w:qFormat/>
    <w:rsid w:val="00962E65"/>
    <w:pPr>
      <w:numPr>
        <w:ilvl w:val="3"/>
        <w:numId w:val="2"/>
      </w:numPr>
      <w:spacing w:after="240"/>
      <w:jc w:val="both"/>
      <w:outlineLvl w:val="3"/>
    </w:pPr>
    <w:rPr>
      <w:i/>
      <w:lang w:eastAsia="fr-FR"/>
    </w:rPr>
  </w:style>
  <w:style w:type="paragraph" w:styleId="Heading5">
    <w:name w:val="heading 5"/>
    <w:basedOn w:val="Normal"/>
    <w:link w:val="Heading5Char"/>
    <w:qFormat/>
    <w:rsid w:val="00962E65"/>
    <w:pPr>
      <w:numPr>
        <w:ilvl w:val="4"/>
        <w:numId w:val="2"/>
      </w:numPr>
      <w:spacing w:after="240"/>
      <w:outlineLvl w:val="4"/>
    </w:pPr>
  </w:style>
  <w:style w:type="paragraph" w:styleId="Heading6">
    <w:name w:val="heading 6"/>
    <w:basedOn w:val="Normal"/>
    <w:link w:val="Heading6Char"/>
    <w:qFormat/>
    <w:rsid w:val="00962E65"/>
    <w:pPr>
      <w:numPr>
        <w:ilvl w:val="5"/>
        <w:numId w:val="2"/>
      </w:numPr>
      <w:spacing w:after="240"/>
      <w:outlineLvl w:val="5"/>
    </w:pPr>
  </w:style>
  <w:style w:type="paragraph" w:styleId="Heading7">
    <w:name w:val="heading 7"/>
    <w:basedOn w:val="Normal"/>
    <w:link w:val="Heading7Char"/>
    <w:qFormat/>
    <w:rsid w:val="00962E65"/>
    <w:pPr>
      <w:numPr>
        <w:ilvl w:val="6"/>
        <w:numId w:val="2"/>
      </w:numPr>
      <w:spacing w:after="240"/>
      <w:jc w:val="both"/>
      <w:outlineLvl w:val="6"/>
    </w:pPr>
    <w:rPr>
      <w:i/>
    </w:rPr>
  </w:style>
  <w:style w:type="paragraph" w:styleId="Heading8">
    <w:name w:val="heading 8"/>
    <w:basedOn w:val="Normal"/>
    <w:link w:val="Heading8Char"/>
    <w:qFormat/>
    <w:rsid w:val="00962E65"/>
    <w:pPr>
      <w:keepNext/>
      <w:numPr>
        <w:ilvl w:val="7"/>
        <w:numId w:val="2"/>
      </w:numPr>
      <w:spacing w:after="240"/>
      <w:outlineLvl w:val="7"/>
    </w:pPr>
  </w:style>
  <w:style w:type="paragraph" w:styleId="Heading9">
    <w:name w:val="heading 9"/>
    <w:basedOn w:val="Normal"/>
    <w:link w:val="Heading9Char"/>
    <w:qFormat/>
    <w:rsid w:val="00962E65"/>
    <w:pPr>
      <w:numPr>
        <w:ilvl w:val="8"/>
        <w:numId w:val="2"/>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CBullet1">
    <w:name w:val="ASC Bullet 1"/>
    <w:basedOn w:val="Normal"/>
    <w:rsid w:val="00962E65"/>
  </w:style>
  <w:style w:type="paragraph" w:customStyle="1" w:styleId="ASCBullet2">
    <w:name w:val="ASC Bullet 2"/>
    <w:basedOn w:val="ASCBullet1"/>
    <w:rsid w:val="00962E65"/>
  </w:style>
  <w:style w:type="paragraph" w:customStyle="1" w:styleId="ASCBullet3">
    <w:name w:val="ASC Bullet 3"/>
    <w:basedOn w:val="ASCBullet2"/>
    <w:rsid w:val="00962E65"/>
  </w:style>
  <w:style w:type="paragraph" w:customStyle="1" w:styleId="ASCBullet4">
    <w:name w:val="ASC Bullet 4"/>
    <w:basedOn w:val="ASCBullet3"/>
    <w:rsid w:val="00962E65"/>
  </w:style>
  <w:style w:type="paragraph" w:customStyle="1" w:styleId="ASCBullet5">
    <w:name w:val="ASC Bullet 5"/>
    <w:basedOn w:val="ASCBullet4"/>
    <w:rsid w:val="00962E65"/>
  </w:style>
  <w:style w:type="paragraph" w:customStyle="1" w:styleId="ASCBullet6">
    <w:name w:val="ASC Bullet 6"/>
    <w:basedOn w:val="ASCBullet5"/>
    <w:rsid w:val="00962E65"/>
  </w:style>
  <w:style w:type="paragraph" w:customStyle="1" w:styleId="ASCBullet7">
    <w:name w:val="ASC Bullet 7"/>
    <w:basedOn w:val="ASCBullet6"/>
    <w:rsid w:val="00962E65"/>
  </w:style>
  <w:style w:type="paragraph" w:customStyle="1" w:styleId="ASCBullet8">
    <w:name w:val="ASC Bullet 8"/>
    <w:basedOn w:val="ASCBullet7"/>
    <w:rsid w:val="00962E65"/>
  </w:style>
  <w:style w:type="paragraph" w:customStyle="1" w:styleId="ASCBullet9">
    <w:name w:val="ASC Bullet 9"/>
    <w:basedOn w:val="ASCBullet8"/>
    <w:rsid w:val="00962E65"/>
  </w:style>
  <w:style w:type="paragraph" w:styleId="BodyText">
    <w:name w:val="Body Text"/>
    <w:basedOn w:val="Normal"/>
    <w:link w:val="BodyTextChar"/>
    <w:semiHidden/>
    <w:rsid w:val="00962E65"/>
    <w:pPr>
      <w:spacing w:before="240" w:after="240"/>
      <w:ind w:left="720"/>
      <w:jc w:val="both"/>
    </w:pPr>
    <w:rPr>
      <w:szCs w:val="24"/>
    </w:rPr>
  </w:style>
  <w:style w:type="character" w:customStyle="1" w:styleId="BodyTextChar">
    <w:name w:val="Body Text Char"/>
    <w:link w:val="BodyText"/>
    <w:semiHidden/>
    <w:rsid w:val="00962E65"/>
    <w:rPr>
      <w:rFonts w:ascii="Times New Roman" w:hAnsi="Times New Roman" w:cs="Times New Roman"/>
      <w:sz w:val="24"/>
      <w:szCs w:val="24"/>
      <w:lang w:val="en-CA"/>
    </w:rPr>
  </w:style>
  <w:style w:type="paragraph" w:styleId="Footer">
    <w:name w:val="footer"/>
    <w:basedOn w:val="Normal"/>
    <w:link w:val="FooterChar"/>
    <w:semiHidden/>
    <w:rsid w:val="00962E65"/>
    <w:pPr>
      <w:tabs>
        <w:tab w:val="center" w:pos="4320"/>
        <w:tab w:val="right" w:pos="8640"/>
      </w:tabs>
    </w:pPr>
  </w:style>
  <w:style w:type="character" w:customStyle="1" w:styleId="FooterChar">
    <w:name w:val="Footer Char"/>
    <w:link w:val="Footer"/>
    <w:semiHidden/>
    <w:rsid w:val="00962E65"/>
    <w:rPr>
      <w:rFonts w:ascii="Times New Roman" w:hAnsi="Times New Roman" w:cs="Times New Roman"/>
      <w:sz w:val="24"/>
      <w:szCs w:val="20"/>
      <w:lang w:val="en-CA"/>
    </w:rPr>
  </w:style>
  <w:style w:type="paragraph" w:styleId="Header">
    <w:name w:val="header"/>
    <w:basedOn w:val="Normal"/>
    <w:link w:val="HeaderChar"/>
    <w:uiPriority w:val="99"/>
    <w:rsid w:val="00962E65"/>
    <w:pPr>
      <w:tabs>
        <w:tab w:val="center" w:pos="4680"/>
        <w:tab w:val="right" w:pos="9360"/>
      </w:tabs>
    </w:pPr>
  </w:style>
  <w:style w:type="character" w:customStyle="1" w:styleId="HeaderChar">
    <w:name w:val="Header Char"/>
    <w:link w:val="Header"/>
    <w:uiPriority w:val="99"/>
    <w:rsid w:val="00962E65"/>
    <w:rPr>
      <w:rFonts w:ascii="Times New Roman" w:hAnsi="Times New Roman" w:cs="Times New Roman"/>
      <w:sz w:val="24"/>
      <w:szCs w:val="20"/>
      <w:lang w:val="en-CA"/>
    </w:rPr>
  </w:style>
  <w:style w:type="character" w:customStyle="1" w:styleId="Heading1Char">
    <w:name w:val="Heading 1 Char"/>
    <w:link w:val="Heading1"/>
    <w:rsid w:val="00962E65"/>
    <w:rPr>
      <w:rFonts w:ascii="Times New Roman" w:hAnsi="Times New Roman"/>
      <w:b/>
      <w:sz w:val="24"/>
      <w:lang w:val="en-CA" w:eastAsia="en-US"/>
    </w:rPr>
  </w:style>
  <w:style w:type="character" w:customStyle="1" w:styleId="Heading2Char">
    <w:name w:val="Heading 2 Char"/>
    <w:link w:val="Heading2"/>
    <w:rsid w:val="00962E65"/>
    <w:rPr>
      <w:rFonts w:ascii="Times New Roman" w:hAnsi="Times New Roman"/>
      <w:sz w:val="24"/>
      <w:lang w:val="en-CA" w:eastAsia="en-US"/>
    </w:rPr>
  </w:style>
  <w:style w:type="character" w:customStyle="1" w:styleId="Heading3Char">
    <w:name w:val="Heading 3 Char"/>
    <w:link w:val="Heading3"/>
    <w:rsid w:val="00962E65"/>
    <w:rPr>
      <w:rFonts w:ascii="Times New Roman" w:hAnsi="Times New Roman"/>
      <w:sz w:val="24"/>
      <w:lang w:val="en-CA" w:eastAsia="en-US"/>
    </w:rPr>
  </w:style>
  <w:style w:type="character" w:customStyle="1" w:styleId="Heading4Char">
    <w:name w:val="Heading 4 Char"/>
    <w:link w:val="Heading4"/>
    <w:rsid w:val="00962E65"/>
    <w:rPr>
      <w:rFonts w:ascii="Times New Roman" w:hAnsi="Times New Roman"/>
      <w:i/>
      <w:sz w:val="24"/>
      <w:lang w:val="en-CA" w:eastAsia="fr-FR"/>
    </w:rPr>
  </w:style>
  <w:style w:type="character" w:customStyle="1" w:styleId="Heading5Char">
    <w:name w:val="Heading 5 Char"/>
    <w:link w:val="Heading5"/>
    <w:rsid w:val="00962E65"/>
    <w:rPr>
      <w:rFonts w:ascii="Times New Roman" w:hAnsi="Times New Roman"/>
      <w:sz w:val="24"/>
      <w:lang w:val="en-CA" w:eastAsia="en-US"/>
    </w:rPr>
  </w:style>
  <w:style w:type="character" w:customStyle="1" w:styleId="Heading6Char">
    <w:name w:val="Heading 6 Char"/>
    <w:link w:val="Heading6"/>
    <w:rsid w:val="00962E65"/>
    <w:rPr>
      <w:rFonts w:ascii="Times New Roman" w:hAnsi="Times New Roman"/>
      <w:sz w:val="24"/>
      <w:lang w:val="en-CA" w:eastAsia="en-US"/>
    </w:rPr>
  </w:style>
  <w:style w:type="character" w:customStyle="1" w:styleId="Heading7Char">
    <w:name w:val="Heading 7 Char"/>
    <w:link w:val="Heading7"/>
    <w:rsid w:val="00962E65"/>
    <w:rPr>
      <w:rFonts w:ascii="Times New Roman" w:hAnsi="Times New Roman"/>
      <w:i/>
      <w:sz w:val="24"/>
      <w:lang w:val="en-CA" w:eastAsia="en-US"/>
    </w:rPr>
  </w:style>
  <w:style w:type="character" w:customStyle="1" w:styleId="Heading8Char">
    <w:name w:val="Heading 8 Char"/>
    <w:link w:val="Heading8"/>
    <w:rsid w:val="00962E65"/>
    <w:rPr>
      <w:rFonts w:ascii="Times New Roman" w:hAnsi="Times New Roman"/>
      <w:sz w:val="24"/>
      <w:lang w:val="en-CA" w:eastAsia="en-US"/>
    </w:rPr>
  </w:style>
  <w:style w:type="character" w:customStyle="1" w:styleId="Heading9Char">
    <w:name w:val="Heading 9 Char"/>
    <w:link w:val="Heading9"/>
    <w:rsid w:val="00962E65"/>
    <w:rPr>
      <w:rFonts w:ascii="Times New Roman" w:hAnsi="Times New Roman"/>
      <w:sz w:val="24"/>
      <w:lang w:val="en-CA" w:eastAsia="en-US"/>
    </w:rPr>
  </w:style>
  <w:style w:type="paragraph" w:customStyle="1" w:styleId="IndentDouble">
    <w:name w:val="Indent (Double)"/>
    <w:aliases w:val="D2"/>
    <w:basedOn w:val="Normal"/>
    <w:next w:val="Normal"/>
    <w:rsid w:val="00962E65"/>
    <w:pPr>
      <w:spacing w:after="240"/>
      <w:ind w:left="720"/>
      <w:jc w:val="both"/>
    </w:pPr>
    <w:rPr>
      <w:i/>
    </w:rPr>
  </w:style>
  <w:style w:type="paragraph" w:customStyle="1" w:styleId="IndentSingle">
    <w:name w:val="Indent (Single)"/>
    <w:aliases w:val="D1"/>
    <w:basedOn w:val="Normal"/>
    <w:next w:val="Normal"/>
    <w:rsid w:val="00962E65"/>
    <w:pPr>
      <w:spacing w:before="240" w:after="240"/>
      <w:jc w:val="both"/>
    </w:pPr>
    <w:rPr>
      <w:i/>
      <w:szCs w:val="24"/>
    </w:rPr>
  </w:style>
  <w:style w:type="paragraph" w:customStyle="1" w:styleId="Notes">
    <w:name w:val="Notes"/>
    <w:basedOn w:val="Normal"/>
    <w:rsid w:val="00962E65"/>
    <w:pPr>
      <w:numPr>
        <w:numId w:val="3"/>
      </w:numPr>
      <w:spacing w:after="180"/>
    </w:pPr>
    <w:rPr>
      <w:sz w:val="18"/>
    </w:rPr>
  </w:style>
  <w:style w:type="paragraph" w:customStyle="1" w:styleId="Quotation">
    <w:name w:val="Quotation"/>
    <w:basedOn w:val="Normal"/>
    <w:rsid w:val="00962E65"/>
    <w:pPr>
      <w:ind w:left="720" w:right="720"/>
      <w:jc w:val="both"/>
    </w:pPr>
    <w:rPr>
      <w:sz w:val="22"/>
      <w:szCs w:val="24"/>
    </w:rPr>
  </w:style>
  <w:style w:type="paragraph" w:styleId="Signature">
    <w:name w:val="Signature"/>
    <w:aliases w:val="SL"/>
    <w:basedOn w:val="Normal"/>
    <w:next w:val="Normal"/>
    <w:link w:val="SignatureChar"/>
    <w:semiHidden/>
    <w:rsid w:val="00962E65"/>
    <w:pPr>
      <w:pBdr>
        <w:top w:val="single" w:sz="4" w:space="1" w:color="auto"/>
      </w:pBdr>
      <w:ind w:left="5040"/>
    </w:pPr>
  </w:style>
  <w:style w:type="character" w:customStyle="1" w:styleId="SignatureChar">
    <w:name w:val="Signature Char"/>
    <w:aliases w:val="SL Char"/>
    <w:link w:val="Signature"/>
    <w:semiHidden/>
    <w:rsid w:val="00962E65"/>
    <w:rPr>
      <w:rFonts w:ascii="Times New Roman" w:hAnsi="Times New Roman" w:cs="Times New Roman"/>
      <w:sz w:val="24"/>
      <w:szCs w:val="20"/>
      <w:lang w:val="en-CA"/>
    </w:rPr>
  </w:style>
  <w:style w:type="numbering" w:customStyle="1" w:styleId="Standard">
    <w:name w:val="Standard"/>
    <w:uiPriority w:val="99"/>
    <w:rsid w:val="00962E65"/>
    <w:pPr>
      <w:numPr>
        <w:numId w:val="1"/>
      </w:numPr>
    </w:pPr>
  </w:style>
  <w:style w:type="character" w:styleId="FootnoteReference">
    <w:name w:val="footnote reference"/>
    <w:rsid w:val="00962E65"/>
  </w:style>
  <w:style w:type="paragraph" w:styleId="FootnoteText">
    <w:name w:val="footnote text"/>
    <w:link w:val="FootnoteTextChar"/>
    <w:rsid w:val="00962E65"/>
    <w:pPr>
      <w:spacing w:after="200" w:line="276" w:lineRule="auto"/>
    </w:pPr>
    <w:rPr>
      <w:sz w:val="22"/>
      <w:szCs w:val="22"/>
      <w:lang w:val="en-US" w:eastAsia="en-US"/>
    </w:rPr>
  </w:style>
  <w:style w:type="character" w:customStyle="1" w:styleId="FootnoteTextChar">
    <w:name w:val="Footnote Text Char"/>
    <w:basedOn w:val="DefaultParagraphFont"/>
    <w:link w:val="FootnoteText"/>
    <w:rsid w:val="00962E65"/>
  </w:style>
  <w:style w:type="character" w:styleId="Hyperlink">
    <w:name w:val="Hyperlink"/>
    <w:uiPriority w:val="99"/>
    <w:unhideWhenUsed/>
    <w:rsid w:val="008F6038"/>
    <w:rPr>
      <w:color w:val="0000FF"/>
      <w:u w:val="single"/>
    </w:rPr>
  </w:style>
  <w:style w:type="paragraph" w:styleId="ListParagraph">
    <w:name w:val="List Paragraph"/>
    <w:basedOn w:val="Normal"/>
    <w:uiPriority w:val="34"/>
    <w:qFormat/>
    <w:rsid w:val="00E97771"/>
    <w:pPr>
      <w:ind w:left="720"/>
      <w:contextualSpacing/>
    </w:pPr>
  </w:style>
  <w:style w:type="table" w:styleId="TableGrid">
    <w:name w:val="Table Grid"/>
    <w:basedOn w:val="TableNormal"/>
    <w:uiPriority w:val="39"/>
    <w:rsid w:val="00D97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3117"/>
    <w:rPr>
      <w:rFonts w:ascii="Tahoma" w:hAnsi="Tahoma" w:cs="Tahoma"/>
      <w:sz w:val="16"/>
      <w:szCs w:val="16"/>
    </w:rPr>
  </w:style>
  <w:style w:type="character" w:customStyle="1" w:styleId="BalloonTextChar">
    <w:name w:val="Balloon Text Char"/>
    <w:link w:val="BalloonText"/>
    <w:uiPriority w:val="99"/>
    <w:semiHidden/>
    <w:rsid w:val="00F93117"/>
    <w:rPr>
      <w:rFonts w:ascii="Tahoma" w:hAnsi="Tahoma" w:cs="Tahoma"/>
      <w:sz w:val="16"/>
      <w:szCs w:val="16"/>
      <w:lang w:eastAsia="en-US"/>
    </w:rPr>
  </w:style>
  <w:style w:type="character" w:customStyle="1" w:styleId="UnresolvedMention1">
    <w:name w:val="Unresolved Mention1"/>
    <w:basedOn w:val="DefaultParagraphFont"/>
    <w:uiPriority w:val="99"/>
    <w:semiHidden/>
    <w:unhideWhenUsed/>
    <w:rsid w:val="00CA61CE"/>
    <w:rPr>
      <w:color w:val="605E5C"/>
      <w:shd w:val="clear" w:color="auto" w:fill="E1DFDD"/>
    </w:rPr>
  </w:style>
  <w:style w:type="table" w:customStyle="1" w:styleId="OSCTable1">
    <w:name w:val="OSC Table 1"/>
    <w:basedOn w:val="TableNormal"/>
    <w:uiPriority w:val="99"/>
    <w:rsid w:val="00595E2A"/>
    <w:rPr>
      <w:rFonts w:asciiTheme="minorHAnsi" w:eastAsiaTheme="minorHAnsi" w:hAnsiTheme="minorHAnsi" w:cstheme="minorBidi"/>
      <w:sz w:val="22"/>
      <w:szCs w:val="22"/>
      <w:lang w:val="en-CA" w:eastAsia="zh-TW"/>
    </w:rPr>
    <w:tblPr>
      <w:tblStyleRowBandSize w:val="1"/>
      <w:tblBorders>
        <w:top w:val="single" w:sz="4" w:space="0" w:color="00B6DE"/>
        <w:left w:val="single" w:sz="4" w:space="0" w:color="00B6DE"/>
        <w:bottom w:val="single" w:sz="4" w:space="0" w:color="00B6DE"/>
        <w:right w:val="single" w:sz="4" w:space="0" w:color="00B6DE"/>
        <w:insideH w:val="single" w:sz="4" w:space="0" w:color="00B6DE"/>
        <w:insideV w:val="single" w:sz="4" w:space="0" w:color="00B6DE"/>
      </w:tblBorders>
    </w:tblPr>
    <w:tcPr>
      <w:shd w:val="clear" w:color="auto" w:fill="auto"/>
    </w:tcPr>
    <w:tblStylePr w:type="firstRow">
      <w:rPr>
        <w:rFonts w:ascii="Trebuchet MS" w:hAnsi="Trebuchet MS"/>
        <w:b/>
        <w:color w:val="FFFFFF" w:themeColor="background1"/>
        <w:sz w:val="22"/>
      </w:rPr>
      <w:tblPr/>
      <w:tcPr>
        <w:shd w:val="clear" w:color="auto" w:fill="00B6DE"/>
      </w:tcPr>
    </w:tblStylePr>
    <w:tblStylePr w:type="band1Horz">
      <w:rPr>
        <w:rFonts w:ascii="Trebuchet MS" w:hAnsi="Trebuchet MS"/>
        <w:color w:val="808080" w:themeColor="background1" w:themeShade="80"/>
        <w:sz w:val="22"/>
      </w:rPr>
      <w:tblPr/>
      <w:tcPr>
        <w:shd w:val="clear" w:color="auto" w:fill="auto"/>
      </w:tcPr>
    </w:tblStylePr>
    <w:tblStylePr w:type="band2Horz">
      <w:rPr>
        <w:rFonts w:ascii="Trebuchet MS" w:hAnsi="Trebuchet MS"/>
        <w:color w:val="717073"/>
        <w:sz w:val="22"/>
      </w:rPr>
      <w:tblPr/>
      <w:tcPr>
        <w:shd w:val="clear" w:color="auto" w:fill="EFFCFF"/>
      </w:tcPr>
    </w:tblStylePr>
  </w:style>
  <w:style w:type="paragraph" w:styleId="CommentText">
    <w:name w:val="annotation text"/>
    <w:basedOn w:val="Normal"/>
    <w:link w:val="CommentTextChar"/>
    <w:uiPriority w:val="99"/>
    <w:rsid w:val="00595E2A"/>
    <w:pPr>
      <w:spacing w:after="120"/>
    </w:pPr>
    <w:rPr>
      <w:rFonts w:ascii="Verdana" w:eastAsiaTheme="minorHAnsi" w:hAnsi="Verdana" w:cstheme="minorBidi"/>
      <w:sz w:val="20"/>
      <w:lang w:eastAsia="zh-TW"/>
    </w:rPr>
  </w:style>
  <w:style w:type="character" w:customStyle="1" w:styleId="CommentTextChar">
    <w:name w:val="Comment Text Char"/>
    <w:basedOn w:val="DefaultParagraphFont"/>
    <w:link w:val="CommentText"/>
    <w:uiPriority w:val="99"/>
    <w:rsid w:val="00595E2A"/>
    <w:rPr>
      <w:rFonts w:ascii="Verdana" w:eastAsiaTheme="minorHAnsi" w:hAnsi="Verdana" w:cstheme="minorBidi"/>
      <w:lang w:val="en-CA" w:eastAsia="zh-TW"/>
    </w:rPr>
  </w:style>
  <w:style w:type="character" w:styleId="CommentReference">
    <w:name w:val="annotation reference"/>
    <w:basedOn w:val="DefaultParagraphFont"/>
    <w:uiPriority w:val="99"/>
    <w:semiHidden/>
    <w:unhideWhenUsed/>
    <w:rsid w:val="00D93566"/>
    <w:rPr>
      <w:sz w:val="16"/>
      <w:szCs w:val="16"/>
    </w:rPr>
  </w:style>
  <w:style w:type="paragraph" w:styleId="CommentSubject">
    <w:name w:val="annotation subject"/>
    <w:basedOn w:val="CommentText"/>
    <w:next w:val="CommentText"/>
    <w:link w:val="CommentSubjectChar"/>
    <w:uiPriority w:val="99"/>
    <w:semiHidden/>
    <w:unhideWhenUsed/>
    <w:rsid w:val="00D93566"/>
    <w:pPr>
      <w:spacing w:after="0"/>
    </w:pPr>
    <w:rPr>
      <w:rFonts w:ascii="Times New Roman" w:eastAsia="Times New Roman" w:hAnsi="Times New Roman" w:cs="Times New Roman"/>
      <w:b/>
      <w:bCs/>
      <w:lang w:eastAsia="en-US"/>
    </w:rPr>
  </w:style>
  <w:style w:type="character" w:customStyle="1" w:styleId="CommentSubjectChar">
    <w:name w:val="Comment Subject Char"/>
    <w:basedOn w:val="CommentTextChar"/>
    <w:link w:val="CommentSubject"/>
    <w:uiPriority w:val="99"/>
    <w:semiHidden/>
    <w:rsid w:val="00D93566"/>
    <w:rPr>
      <w:rFonts w:ascii="Times New Roman" w:eastAsiaTheme="minorHAnsi" w:hAnsi="Times New Roman" w:cstheme="minorBidi"/>
      <w:b/>
      <w:bCs/>
      <w:lang w:val="en-CA" w:eastAsia="en-US"/>
    </w:rPr>
  </w:style>
  <w:style w:type="paragraph" w:customStyle="1" w:styleId="ListParagraph1">
    <w:name w:val="List Paragraph1"/>
    <w:basedOn w:val="Normal"/>
    <w:qFormat/>
    <w:rsid w:val="00FE0297"/>
    <w:pPr>
      <w:ind w:left="708"/>
    </w:pPr>
    <w:rPr>
      <w:sz w:val="20"/>
    </w:rPr>
  </w:style>
  <w:style w:type="numbering" w:customStyle="1" w:styleId="OSCPlainLanguage">
    <w:name w:val="OSC Plain Language"/>
    <w:uiPriority w:val="99"/>
    <w:rsid w:val="00FE0297"/>
    <w:pPr>
      <w:numPr>
        <w:numId w:val="5"/>
      </w:numPr>
    </w:pPr>
  </w:style>
  <w:style w:type="paragraph" w:styleId="BodyTextFirstIndent">
    <w:name w:val="Body Text First Indent"/>
    <w:basedOn w:val="BodyText"/>
    <w:link w:val="BodyTextFirstIndentChar"/>
    <w:uiPriority w:val="99"/>
    <w:semiHidden/>
    <w:unhideWhenUsed/>
    <w:rsid w:val="00EE3C6F"/>
    <w:pPr>
      <w:spacing w:before="0" w:after="0"/>
      <w:ind w:left="0" w:firstLine="360"/>
      <w:jc w:val="left"/>
    </w:pPr>
    <w:rPr>
      <w:szCs w:val="20"/>
    </w:rPr>
  </w:style>
  <w:style w:type="character" w:customStyle="1" w:styleId="BodyTextFirstIndentChar">
    <w:name w:val="Body Text First Indent Char"/>
    <w:basedOn w:val="BodyTextChar"/>
    <w:link w:val="BodyTextFirstIndent"/>
    <w:rsid w:val="00EE3C6F"/>
    <w:rPr>
      <w:rFonts w:ascii="Times New Roman" w:hAnsi="Times New Roman" w:cs="Times New Roman"/>
      <w:sz w:val="24"/>
      <w:szCs w:val="24"/>
      <w:lang w:val="en-CA" w:eastAsia="en-US"/>
    </w:rPr>
  </w:style>
  <w:style w:type="character" w:styleId="Strong">
    <w:name w:val="Strong"/>
    <w:uiPriority w:val="22"/>
    <w:qFormat/>
    <w:rsid w:val="00EE3C6F"/>
    <w:rPr>
      <w:b/>
      <w:bCs/>
    </w:rPr>
  </w:style>
  <w:style w:type="character" w:styleId="Emphasis">
    <w:name w:val="Emphasis"/>
    <w:uiPriority w:val="20"/>
    <w:qFormat/>
    <w:rsid w:val="00EE3C6F"/>
    <w:rPr>
      <w:i/>
      <w:iCs/>
    </w:rPr>
  </w:style>
  <w:style w:type="table" w:styleId="GridTable4-Accent6">
    <w:name w:val="Grid Table 4 Accent 6"/>
    <w:basedOn w:val="TableNormal"/>
    <w:uiPriority w:val="49"/>
    <w:rsid w:val="007740B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Revision">
    <w:name w:val="Revision"/>
    <w:hidden/>
    <w:uiPriority w:val="99"/>
    <w:semiHidden/>
    <w:rsid w:val="00484389"/>
    <w:rPr>
      <w:rFonts w:ascii="Times New Roman" w:hAnsi="Times New Roman"/>
      <w:sz w:val="24"/>
      <w:lang w:val="en-CA" w:eastAsia="en-US"/>
    </w:rPr>
  </w:style>
  <w:style w:type="paragraph" w:styleId="NormalWeb">
    <w:name w:val="Normal (Web)"/>
    <w:basedOn w:val="Normal"/>
    <w:uiPriority w:val="99"/>
    <w:semiHidden/>
    <w:unhideWhenUsed/>
    <w:rsid w:val="00115B21"/>
    <w:pPr>
      <w:spacing w:before="100" w:beforeAutospacing="1" w:after="100" w:afterAutospacing="1"/>
    </w:pPr>
    <w:rPr>
      <w:szCs w:val="24"/>
      <w:lang w:eastAsia="en-CA"/>
    </w:rPr>
  </w:style>
  <w:style w:type="table" w:customStyle="1" w:styleId="TableGrid1">
    <w:name w:val="Table Grid1"/>
    <w:basedOn w:val="TableNormal"/>
    <w:next w:val="TableGrid"/>
    <w:uiPriority w:val="39"/>
    <w:rsid w:val="00AF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40EBC"/>
    <w:pPr>
      <w:keepNext/>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E38C8"/>
    <w:pPr>
      <w:spacing w:after="100"/>
    </w:pPr>
  </w:style>
  <w:style w:type="paragraph" w:styleId="TOC2">
    <w:name w:val="toc 2"/>
    <w:basedOn w:val="Normal"/>
    <w:next w:val="Normal"/>
    <w:autoRedefine/>
    <w:uiPriority w:val="39"/>
    <w:unhideWhenUsed/>
    <w:rsid w:val="006355FB"/>
    <w:pPr>
      <w:spacing w:after="100"/>
      <w:ind w:left="240"/>
    </w:pPr>
  </w:style>
  <w:style w:type="paragraph" w:styleId="TOC3">
    <w:name w:val="toc 3"/>
    <w:basedOn w:val="Normal"/>
    <w:next w:val="Normal"/>
    <w:autoRedefine/>
    <w:uiPriority w:val="39"/>
    <w:unhideWhenUsed/>
    <w:rsid w:val="0082750C"/>
    <w:pPr>
      <w:spacing w:after="100" w:line="259" w:lineRule="auto"/>
      <w:ind w:left="440"/>
    </w:pPr>
    <w:rPr>
      <w:rFonts w:asciiTheme="minorHAnsi" w:eastAsiaTheme="minorEastAsia" w:hAnsiTheme="minorHAnsi"/>
      <w:sz w:val="22"/>
      <w:szCs w:val="22"/>
      <w:lang w:val="en-US"/>
    </w:rPr>
  </w:style>
  <w:style w:type="character" w:customStyle="1" w:styleId="UnresolvedMention2">
    <w:name w:val="Unresolved Mention2"/>
    <w:basedOn w:val="DefaultParagraphFont"/>
    <w:uiPriority w:val="99"/>
    <w:semiHidden/>
    <w:unhideWhenUsed/>
    <w:rsid w:val="00514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39">
      <w:bodyDiv w:val="1"/>
      <w:marLeft w:val="0"/>
      <w:marRight w:val="0"/>
      <w:marTop w:val="0"/>
      <w:marBottom w:val="0"/>
      <w:divBdr>
        <w:top w:val="none" w:sz="0" w:space="0" w:color="auto"/>
        <w:left w:val="none" w:sz="0" w:space="0" w:color="auto"/>
        <w:bottom w:val="none" w:sz="0" w:space="0" w:color="auto"/>
        <w:right w:val="none" w:sz="0" w:space="0" w:color="auto"/>
      </w:divBdr>
    </w:div>
    <w:div w:id="6296755">
      <w:bodyDiv w:val="1"/>
      <w:marLeft w:val="0"/>
      <w:marRight w:val="0"/>
      <w:marTop w:val="0"/>
      <w:marBottom w:val="0"/>
      <w:divBdr>
        <w:top w:val="none" w:sz="0" w:space="0" w:color="auto"/>
        <w:left w:val="none" w:sz="0" w:space="0" w:color="auto"/>
        <w:bottom w:val="none" w:sz="0" w:space="0" w:color="auto"/>
        <w:right w:val="none" w:sz="0" w:space="0" w:color="auto"/>
      </w:divBdr>
    </w:div>
    <w:div w:id="66223764">
      <w:bodyDiv w:val="1"/>
      <w:marLeft w:val="0"/>
      <w:marRight w:val="0"/>
      <w:marTop w:val="0"/>
      <w:marBottom w:val="0"/>
      <w:divBdr>
        <w:top w:val="none" w:sz="0" w:space="0" w:color="auto"/>
        <w:left w:val="none" w:sz="0" w:space="0" w:color="auto"/>
        <w:bottom w:val="none" w:sz="0" w:space="0" w:color="auto"/>
        <w:right w:val="none" w:sz="0" w:space="0" w:color="auto"/>
      </w:divBdr>
    </w:div>
    <w:div w:id="133912089">
      <w:bodyDiv w:val="1"/>
      <w:marLeft w:val="0"/>
      <w:marRight w:val="0"/>
      <w:marTop w:val="0"/>
      <w:marBottom w:val="0"/>
      <w:divBdr>
        <w:top w:val="none" w:sz="0" w:space="0" w:color="auto"/>
        <w:left w:val="none" w:sz="0" w:space="0" w:color="auto"/>
        <w:bottom w:val="none" w:sz="0" w:space="0" w:color="auto"/>
        <w:right w:val="none" w:sz="0" w:space="0" w:color="auto"/>
      </w:divBdr>
      <w:divsChild>
        <w:div w:id="1731226668">
          <w:marLeft w:val="0"/>
          <w:marRight w:val="0"/>
          <w:marTop w:val="0"/>
          <w:marBottom w:val="0"/>
          <w:divBdr>
            <w:top w:val="none" w:sz="0" w:space="0" w:color="auto"/>
            <w:left w:val="none" w:sz="0" w:space="0" w:color="auto"/>
            <w:bottom w:val="none" w:sz="0" w:space="0" w:color="auto"/>
            <w:right w:val="none" w:sz="0" w:space="0" w:color="auto"/>
          </w:divBdr>
        </w:div>
      </w:divsChild>
    </w:div>
    <w:div w:id="229467334">
      <w:bodyDiv w:val="1"/>
      <w:marLeft w:val="0"/>
      <w:marRight w:val="0"/>
      <w:marTop w:val="0"/>
      <w:marBottom w:val="0"/>
      <w:divBdr>
        <w:top w:val="none" w:sz="0" w:space="0" w:color="auto"/>
        <w:left w:val="none" w:sz="0" w:space="0" w:color="auto"/>
        <w:bottom w:val="none" w:sz="0" w:space="0" w:color="auto"/>
        <w:right w:val="none" w:sz="0" w:space="0" w:color="auto"/>
      </w:divBdr>
    </w:div>
    <w:div w:id="304898969">
      <w:bodyDiv w:val="1"/>
      <w:marLeft w:val="0"/>
      <w:marRight w:val="0"/>
      <w:marTop w:val="0"/>
      <w:marBottom w:val="0"/>
      <w:divBdr>
        <w:top w:val="none" w:sz="0" w:space="0" w:color="auto"/>
        <w:left w:val="none" w:sz="0" w:space="0" w:color="auto"/>
        <w:bottom w:val="none" w:sz="0" w:space="0" w:color="auto"/>
        <w:right w:val="none" w:sz="0" w:space="0" w:color="auto"/>
      </w:divBdr>
    </w:div>
    <w:div w:id="359743363">
      <w:bodyDiv w:val="1"/>
      <w:marLeft w:val="0"/>
      <w:marRight w:val="0"/>
      <w:marTop w:val="0"/>
      <w:marBottom w:val="0"/>
      <w:divBdr>
        <w:top w:val="none" w:sz="0" w:space="0" w:color="auto"/>
        <w:left w:val="none" w:sz="0" w:space="0" w:color="auto"/>
        <w:bottom w:val="none" w:sz="0" w:space="0" w:color="auto"/>
        <w:right w:val="none" w:sz="0" w:space="0" w:color="auto"/>
      </w:divBdr>
    </w:div>
    <w:div w:id="867450567">
      <w:bodyDiv w:val="1"/>
      <w:marLeft w:val="0"/>
      <w:marRight w:val="0"/>
      <w:marTop w:val="0"/>
      <w:marBottom w:val="0"/>
      <w:divBdr>
        <w:top w:val="none" w:sz="0" w:space="0" w:color="auto"/>
        <w:left w:val="none" w:sz="0" w:space="0" w:color="auto"/>
        <w:bottom w:val="none" w:sz="0" w:space="0" w:color="auto"/>
        <w:right w:val="none" w:sz="0" w:space="0" w:color="auto"/>
      </w:divBdr>
    </w:div>
    <w:div w:id="892272660">
      <w:bodyDiv w:val="1"/>
      <w:marLeft w:val="0"/>
      <w:marRight w:val="0"/>
      <w:marTop w:val="0"/>
      <w:marBottom w:val="0"/>
      <w:divBdr>
        <w:top w:val="none" w:sz="0" w:space="0" w:color="auto"/>
        <w:left w:val="none" w:sz="0" w:space="0" w:color="auto"/>
        <w:bottom w:val="none" w:sz="0" w:space="0" w:color="auto"/>
        <w:right w:val="none" w:sz="0" w:space="0" w:color="auto"/>
      </w:divBdr>
      <w:divsChild>
        <w:div w:id="1982436">
          <w:marLeft w:val="0"/>
          <w:marRight w:val="0"/>
          <w:marTop w:val="0"/>
          <w:marBottom w:val="0"/>
          <w:divBdr>
            <w:top w:val="none" w:sz="0" w:space="0" w:color="auto"/>
            <w:left w:val="none" w:sz="0" w:space="0" w:color="auto"/>
            <w:bottom w:val="none" w:sz="0" w:space="0" w:color="auto"/>
            <w:right w:val="none" w:sz="0" w:space="0" w:color="auto"/>
          </w:divBdr>
        </w:div>
        <w:div w:id="210969962">
          <w:marLeft w:val="0"/>
          <w:marRight w:val="0"/>
          <w:marTop w:val="0"/>
          <w:marBottom w:val="0"/>
          <w:divBdr>
            <w:top w:val="none" w:sz="0" w:space="0" w:color="auto"/>
            <w:left w:val="none" w:sz="0" w:space="0" w:color="auto"/>
            <w:bottom w:val="none" w:sz="0" w:space="0" w:color="auto"/>
            <w:right w:val="none" w:sz="0" w:space="0" w:color="auto"/>
          </w:divBdr>
        </w:div>
        <w:div w:id="317541880">
          <w:marLeft w:val="0"/>
          <w:marRight w:val="0"/>
          <w:marTop w:val="0"/>
          <w:marBottom w:val="0"/>
          <w:divBdr>
            <w:top w:val="none" w:sz="0" w:space="0" w:color="auto"/>
            <w:left w:val="none" w:sz="0" w:space="0" w:color="auto"/>
            <w:bottom w:val="none" w:sz="0" w:space="0" w:color="auto"/>
            <w:right w:val="none" w:sz="0" w:space="0" w:color="auto"/>
          </w:divBdr>
        </w:div>
        <w:div w:id="429275095">
          <w:marLeft w:val="0"/>
          <w:marRight w:val="0"/>
          <w:marTop w:val="0"/>
          <w:marBottom w:val="0"/>
          <w:divBdr>
            <w:top w:val="none" w:sz="0" w:space="0" w:color="auto"/>
            <w:left w:val="none" w:sz="0" w:space="0" w:color="auto"/>
            <w:bottom w:val="none" w:sz="0" w:space="0" w:color="auto"/>
            <w:right w:val="none" w:sz="0" w:space="0" w:color="auto"/>
          </w:divBdr>
        </w:div>
        <w:div w:id="538204331">
          <w:marLeft w:val="0"/>
          <w:marRight w:val="0"/>
          <w:marTop w:val="0"/>
          <w:marBottom w:val="0"/>
          <w:divBdr>
            <w:top w:val="none" w:sz="0" w:space="0" w:color="auto"/>
            <w:left w:val="none" w:sz="0" w:space="0" w:color="auto"/>
            <w:bottom w:val="none" w:sz="0" w:space="0" w:color="auto"/>
            <w:right w:val="none" w:sz="0" w:space="0" w:color="auto"/>
          </w:divBdr>
        </w:div>
        <w:div w:id="550576450">
          <w:marLeft w:val="0"/>
          <w:marRight w:val="0"/>
          <w:marTop w:val="0"/>
          <w:marBottom w:val="0"/>
          <w:divBdr>
            <w:top w:val="none" w:sz="0" w:space="0" w:color="auto"/>
            <w:left w:val="none" w:sz="0" w:space="0" w:color="auto"/>
            <w:bottom w:val="none" w:sz="0" w:space="0" w:color="auto"/>
            <w:right w:val="none" w:sz="0" w:space="0" w:color="auto"/>
          </w:divBdr>
        </w:div>
        <w:div w:id="557593470">
          <w:marLeft w:val="0"/>
          <w:marRight w:val="0"/>
          <w:marTop w:val="0"/>
          <w:marBottom w:val="0"/>
          <w:divBdr>
            <w:top w:val="none" w:sz="0" w:space="0" w:color="auto"/>
            <w:left w:val="none" w:sz="0" w:space="0" w:color="auto"/>
            <w:bottom w:val="none" w:sz="0" w:space="0" w:color="auto"/>
            <w:right w:val="none" w:sz="0" w:space="0" w:color="auto"/>
          </w:divBdr>
        </w:div>
        <w:div w:id="697780874">
          <w:marLeft w:val="0"/>
          <w:marRight w:val="0"/>
          <w:marTop w:val="0"/>
          <w:marBottom w:val="0"/>
          <w:divBdr>
            <w:top w:val="none" w:sz="0" w:space="0" w:color="auto"/>
            <w:left w:val="none" w:sz="0" w:space="0" w:color="auto"/>
            <w:bottom w:val="none" w:sz="0" w:space="0" w:color="auto"/>
            <w:right w:val="none" w:sz="0" w:space="0" w:color="auto"/>
          </w:divBdr>
        </w:div>
        <w:div w:id="850026223">
          <w:marLeft w:val="0"/>
          <w:marRight w:val="0"/>
          <w:marTop w:val="0"/>
          <w:marBottom w:val="0"/>
          <w:divBdr>
            <w:top w:val="none" w:sz="0" w:space="0" w:color="auto"/>
            <w:left w:val="none" w:sz="0" w:space="0" w:color="auto"/>
            <w:bottom w:val="none" w:sz="0" w:space="0" w:color="auto"/>
            <w:right w:val="none" w:sz="0" w:space="0" w:color="auto"/>
          </w:divBdr>
        </w:div>
        <w:div w:id="886919458">
          <w:marLeft w:val="0"/>
          <w:marRight w:val="0"/>
          <w:marTop w:val="0"/>
          <w:marBottom w:val="0"/>
          <w:divBdr>
            <w:top w:val="none" w:sz="0" w:space="0" w:color="auto"/>
            <w:left w:val="none" w:sz="0" w:space="0" w:color="auto"/>
            <w:bottom w:val="none" w:sz="0" w:space="0" w:color="auto"/>
            <w:right w:val="none" w:sz="0" w:space="0" w:color="auto"/>
          </w:divBdr>
        </w:div>
        <w:div w:id="890725135">
          <w:marLeft w:val="0"/>
          <w:marRight w:val="0"/>
          <w:marTop w:val="0"/>
          <w:marBottom w:val="0"/>
          <w:divBdr>
            <w:top w:val="none" w:sz="0" w:space="0" w:color="auto"/>
            <w:left w:val="none" w:sz="0" w:space="0" w:color="auto"/>
            <w:bottom w:val="none" w:sz="0" w:space="0" w:color="auto"/>
            <w:right w:val="none" w:sz="0" w:space="0" w:color="auto"/>
          </w:divBdr>
        </w:div>
        <w:div w:id="914318652">
          <w:marLeft w:val="0"/>
          <w:marRight w:val="0"/>
          <w:marTop w:val="0"/>
          <w:marBottom w:val="0"/>
          <w:divBdr>
            <w:top w:val="none" w:sz="0" w:space="0" w:color="auto"/>
            <w:left w:val="none" w:sz="0" w:space="0" w:color="auto"/>
            <w:bottom w:val="none" w:sz="0" w:space="0" w:color="auto"/>
            <w:right w:val="none" w:sz="0" w:space="0" w:color="auto"/>
          </w:divBdr>
        </w:div>
        <w:div w:id="1028335675">
          <w:marLeft w:val="0"/>
          <w:marRight w:val="0"/>
          <w:marTop w:val="0"/>
          <w:marBottom w:val="0"/>
          <w:divBdr>
            <w:top w:val="none" w:sz="0" w:space="0" w:color="auto"/>
            <w:left w:val="none" w:sz="0" w:space="0" w:color="auto"/>
            <w:bottom w:val="none" w:sz="0" w:space="0" w:color="auto"/>
            <w:right w:val="none" w:sz="0" w:space="0" w:color="auto"/>
          </w:divBdr>
        </w:div>
        <w:div w:id="1161580023">
          <w:marLeft w:val="0"/>
          <w:marRight w:val="0"/>
          <w:marTop w:val="0"/>
          <w:marBottom w:val="0"/>
          <w:divBdr>
            <w:top w:val="none" w:sz="0" w:space="0" w:color="auto"/>
            <w:left w:val="none" w:sz="0" w:space="0" w:color="auto"/>
            <w:bottom w:val="none" w:sz="0" w:space="0" w:color="auto"/>
            <w:right w:val="none" w:sz="0" w:space="0" w:color="auto"/>
          </w:divBdr>
        </w:div>
        <w:div w:id="1313172337">
          <w:marLeft w:val="0"/>
          <w:marRight w:val="0"/>
          <w:marTop w:val="0"/>
          <w:marBottom w:val="0"/>
          <w:divBdr>
            <w:top w:val="none" w:sz="0" w:space="0" w:color="auto"/>
            <w:left w:val="none" w:sz="0" w:space="0" w:color="auto"/>
            <w:bottom w:val="none" w:sz="0" w:space="0" w:color="auto"/>
            <w:right w:val="none" w:sz="0" w:space="0" w:color="auto"/>
          </w:divBdr>
        </w:div>
        <w:div w:id="1331524232">
          <w:marLeft w:val="0"/>
          <w:marRight w:val="0"/>
          <w:marTop w:val="0"/>
          <w:marBottom w:val="0"/>
          <w:divBdr>
            <w:top w:val="none" w:sz="0" w:space="0" w:color="auto"/>
            <w:left w:val="none" w:sz="0" w:space="0" w:color="auto"/>
            <w:bottom w:val="none" w:sz="0" w:space="0" w:color="auto"/>
            <w:right w:val="none" w:sz="0" w:space="0" w:color="auto"/>
          </w:divBdr>
        </w:div>
        <w:div w:id="1392578066">
          <w:marLeft w:val="0"/>
          <w:marRight w:val="0"/>
          <w:marTop w:val="0"/>
          <w:marBottom w:val="0"/>
          <w:divBdr>
            <w:top w:val="none" w:sz="0" w:space="0" w:color="auto"/>
            <w:left w:val="none" w:sz="0" w:space="0" w:color="auto"/>
            <w:bottom w:val="none" w:sz="0" w:space="0" w:color="auto"/>
            <w:right w:val="none" w:sz="0" w:space="0" w:color="auto"/>
          </w:divBdr>
        </w:div>
        <w:div w:id="1546673173">
          <w:marLeft w:val="0"/>
          <w:marRight w:val="0"/>
          <w:marTop w:val="0"/>
          <w:marBottom w:val="0"/>
          <w:divBdr>
            <w:top w:val="none" w:sz="0" w:space="0" w:color="auto"/>
            <w:left w:val="none" w:sz="0" w:space="0" w:color="auto"/>
            <w:bottom w:val="none" w:sz="0" w:space="0" w:color="auto"/>
            <w:right w:val="none" w:sz="0" w:space="0" w:color="auto"/>
          </w:divBdr>
        </w:div>
        <w:div w:id="1562324535">
          <w:marLeft w:val="0"/>
          <w:marRight w:val="0"/>
          <w:marTop w:val="0"/>
          <w:marBottom w:val="0"/>
          <w:divBdr>
            <w:top w:val="none" w:sz="0" w:space="0" w:color="auto"/>
            <w:left w:val="none" w:sz="0" w:space="0" w:color="auto"/>
            <w:bottom w:val="none" w:sz="0" w:space="0" w:color="auto"/>
            <w:right w:val="none" w:sz="0" w:space="0" w:color="auto"/>
          </w:divBdr>
        </w:div>
        <w:div w:id="1644046875">
          <w:marLeft w:val="0"/>
          <w:marRight w:val="0"/>
          <w:marTop w:val="0"/>
          <w:marBottom w:val="0"/>
          <w:divBdr>
            <w:top w:val="none" w:sz="0" w:space="0" w:color="auto"/>
            <w:left w:val="none" w:sz="0" w:space="0" w:color="auto"/>
            <w:bottom w:val="none" w:sz="0" w:space="0" w:color="auto"/>
            <w:right w:val="none" w:sz="0" w:space="0" w:color="auto"/>
          </w:divBdr>
        </w:div>
        <w:div w:id="1741757500">
          <w:marLeft w:val="0"/>
          <w:marRight w:val="0"/>
          <w:marTop w:val="0"/>
          <w:marBottom w:val="0"/>
          <w:divBdr>
            <w:top w:val="none" w:sz="0" w:space="0" w:color="auto"/>
            <w:left w:val="none" w:sz="0" w:space="0" w:color="auto"/>
            <w:bottom w:val="none" w:sz="0" w:space="0" w:color="auto"/>
            <w:right w:val="none" w:sz="0" w:space="0" w:color="auto"/>
          </w:divBdr>
        </w:div>
        <w:div w:id="1830824392">
          <w:marLeft w:val="0"/>
          <w:marRight w:val="0"/>
          <w:marTop w:val="0"/>
          <w:marBottom w:val="0"/>
          <w:divBdr>
            <w:top w:val="none" w:sz="0" w:space="0" w:color="auto"/>
            <w:left w:val="none" w:sz="0" w:space="0" w:color="auto"/>
            <w:bottom w:val="none" w:sz="0" w:space="0" w:color="auto"/>
            <w:right w:val="none" w:sz="0" w:space="0" w:color="auto"/>
          </w:divBdr>
        </w:div>
        <w:div w:id="1920599984">
          <w:marLeft w:val="0"/>
          <w:marRight w:val="0"/>
          <w:marTop w:val="0"/>
          <w:marBottom w:val="0"/>
          <w:divBdr>
            <w:top w:val="none" w:sz="0" w:space="0" w:color="auto"/>
            <w:left w:val="none" w:sz="0" w:space="0" w:color="auto"/>
            <w:bottom w:val="none" w:sz="0" w:space="0" w:color="auto"/>
            <w:right w:val="none" w:sz="0" w:space="0" w:color="auto"/>
          </w:divBdr>
        </w:div>
        <w:div w:id="1938753298">
          <w:marLeft w:val="0"/>
          <w:marRight w:val="0"/>
          <w:marTop w:val="0"/>
          <w:marBottom w:val="0"/>
          <w:divBdr>
            <w:top w:val="none" w:sz="0" w:space="0" w:color="auto"/>
            <w:left w:val="none" w:sz="0" w:space="0" w:color="auto"/>
            <w:bottom w:val="none" w:sz="0" w:space="0" w:color="auto"/>
            <w:right w:val="none" w:sz="0" w:space="0" w:color="auto"/>
          </w:divBdr>
        </w:div>
        <w:div w:id="1979216032">
          <w:marLeft w:val="0"/>
          <w:marRight w:val="0"/>
          <w:marTop w:val="0"/>
          <w:marBottom w:val="0"/>
          <w:divBdr>
            <w:top w:val="none" w:sz="0" w:space="0" w:color="auto"/>
            <w:left w:val="none" w:sz="0" w:space="0" w:color="auto"/>
            <w:bottom w:val="none" w:sz="0" w:space="0" w:color="auto"/>
            <w:right w:val="none" w:sz="0" w:space="0" w:color="auto"/>
          </w:divBdr>
        </w:div>
        <w:div w:id="2115055647">
          <w:marLeft w:val="0"/>
          <w:marRight w:val="0"/>
          <w:marTop w:val="0"/>
          <w:marBottom w:val="0"/>
          <w:divBdr>
            <w:top w:val="none" w:sz="0" w:space="0" w:color="auto"/>
            <w:left w:val="none" w:sz="0" w:space="0" w:color="auto"/>
            <w:bottom w:val="none" w:sz="0" w:space="0" w:color="auto"/>
            <w:right w:val="none" w:sz="0" w:space="0" w:color="auto"/>
          </w:divBdr>
        </w:div>
      </w:divsChild>
    </w:div>
    <w:div w:id="992874023">
      <w:bodyDiv w:val="1"/>
      <w:marLeft w:val="0"/>
      <w:marRight w:val="0"/>
      <w:marTop w:val="0"/>
      <w:marBottom w:val="0"/>
      <w:divBdr>
        <w:top w:val="none" w:sz="0" w:space="0" w:color="auto"/>
        <w:left w:val="none" w:sz="0" w:space="0" w:color="auto"/>
        <w:bottom w:val="none" w:sz="0" w:space="0" w:color="auto"/>
        <w:right w:val="none" w:sz="0" w:space="0" w:color="auto"/>
      </w:divBdr>
    </w:div>
    <w:div w:id="1145045872">
      <w:bodyDiv w:val="1"/>
      <w:marLeft w:val="0"/>
      <w:marRight w:val="0"/>
      <w:marTop w:val="0"/>
      <w:marBottom w:val="0"/>
      <w:divBdr>
        <w:top w:val="none" w:sz="0" w:space="0" w:color="auto"/>
        <w:left w:val="none" w:sz="0" w:space="0" w:color="auto"/>
        <w:bottom w:val="none" w:sz="0" w:space="0" w:color="auto"/>
        <w:right w:val="none" w:sz="0" w:space="0" w:color="auto"/>
      </w:divBdr>
    </w:div>
    <w:div w:id="1406564336">
      <w:bodyDiv w:val="1"/>
      <w:marLeft w:val="0"/>
      <w:marRight w:val="0"/>
      <w:marTop w:val="0"/>
      <w:marBottom w:val="0"/>
      <w:divBdr>
        <w:top w:val="none" w:sz="0" w:space="0" w:color="auto"/>
        <w:left w:val="none" w:sz="0" w:space="0" w:color="auto"/>
        <w:bottom w:val="none" w:sz="0" w:space="0" w:color="auto"/>
        <w:right w:val="none" w:sz="0" w:space="0" w:color="auto"/>
      </w:divBdr>
    </w:div>
    <w:div w:id="1434742361">
      <w:bodyDiv w:val="1"/>
      <w:marLeft w:val="0"/>
      <w:marRight w:val="0"/>
      <w:marTop w:val="0"/>
      <w:marBottom w:val="0"/>
      <w:divBdr>
        <w:top w:val="none" w:sz="0" w:space="0" w:color="auto"/>
        <w:left w:val="none" w:sz="0" w:space="0" w:color="auto"/>
        <w:bottom w:val="none" w:sz="0" w:space="0" w:color="auto"/>
        <w:right w:val="none" w:sz="0" w:space="0" w:color="auto"/>
      </w:divBdr>
    </w:div>
    <w:div w:id="1752894711">
      <w:bodyDiv w:val="1"/>
      <w:marLeft w:val="0"/>
      <w:marRight w:val="0"/>
      <w:marTop w:val="0"/>
      <w:marBottom w:val="0"/>
      <w:divBdr>
        <w:top w:val="none" w:sz="0" w:space="0" w:color="auto"/>
        <w:left w:val="none" w:sz="0" w:space="0" w:color="auto"/>
        <w:bottom w:val="none" w:sz="0" w:space="0" w:color="auto"/>
        <w:right w:val="none" w:sz="0" w:space="0" w:color="auto"/>
      </w:divBdr>
      <w:divsChild>
        <w:div w:id="1275212723">
          <w:marLeft w:val="0"/>
          <w:marRight w:val="0"/>
          <w:marTop w:val="0"/>
          <w:marBottom w:val="0"/>
          <w:divBdr>
            <w:top w:val="none" w:sz="0" w:space="0" w:color="auto"/>
            <w:left w:val="none" w:sz="0" w:space="0" w:color="auto"/>
            <w:bottom w:val="none" w:sz="0" w:space="0" w:color="auto"/>
            <w:right w:val="none" w:sz="0" w:space="0" w:color="auto"/>
          </w:divBdr>
        </w:div>
      </w:divsChild>
    </w:div>
    <w:div w:id="1804233914">
      <w:bodyDiv w:val="1"/>
      <w:marLeft w:val="0"/>
      <w:marRight w:val="0"/>
      <w:marTop w:val="0"/>
      <w:marBottom w:val="0"/>
      <w:divBdr>
        <w:top w:val="none" w:sz="0" w:space="0" w:color="auto"/>
        <w:left w:val="none" w:sz="0" w:space="0" w:color="auto"/>
        <w:bottom w:val="none" w:sz="0" w:space="0" w:color="auto"/>
        <w:right w:val="none" w:sz="0" w:space="0" w:color="auto"/>
      </w:divBdr>
    </w:div>
    <w:div w:id="1804271644">
      <w:bodyDiv w:val="1"/>
      <w:marLeft w:val="0"/>
      <w:marRight w:val="0"/>
      <w:marTop w:val="0"/>
      <w:marBottom w:val="0"/>
      <w:divBdr>
        <w:top w:val="none" w:sz="0" w:space="0" w:color="auto"/>
        <w:left w:val="none" w:sz="0" w:space="0" w:color="auto"/>
        <w:bottom w:val="none" w:sz="0" w:space="0" w:color="auto"/>
        <w:right w:val="none" w:sz="0" w:space="0" w:color="auto"/>
      </w:divBdr>
    </w:div>
    <w:div w:id="186601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hancock@osc.gov.on.ca" TargetMode="External"/><Relationship Id="rId18" Type="http://schemas.openxmlformats.org/officeDocument/2006/relationships/hyperlink" Target="mailto:Frank.McBrearty@fcnb.c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genevieve.laporte@lautorite.qc.ca" TargetMode="External"/><Relationship Id="rId2" Type="http://schemas.openxmlformats.org/officeDocument/2006/relationships/customXml" Target="../customXml/item2.xml"/><Relationship Id="rId16" Type="http://schemas.openxmlformats.org/officeDocument/2006/relationships/hyperlink" Target="mailto:nadine.gamelin@lautorite.qc.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Anthony.Potter@asc.ca"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lcreta\AppData\Local\Microsoft\Windows\INetCache\Content.Outlook\JFXSRSMS\scao@osc.gov.on.ca"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osc.gov.on.ca/en/SecuritiesLaw_csa_20180906_52-112_notice-request-for-comment.htm" TargetMode="External"/><Relationship Id="rId1" Type="http://schemas.openxmlformats.org/officeDocument/2006/relationships/hyperlink" Target="https://www.securities-administrators.ca/aboutcsa.aspx?id=188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5452E57ACA31489A81912B932C5E1F" ma:contentTypeVersion="7" ma:contentTypeDescription="Create a new document." ma:contentTypeScope="" ma:versionID="26c6cf28474f3010748b0d4a30702140">
  <xsd:schema xmlns:xsd="http://www.w3.org/2001/XMLSchema" xmlns:xs="http://www.w3.org/2001/XMLSchema" xmlns:p="http://schemas.microsoft.com/office/2006/metadata/properties" xmlns:ns3="b7ec29b2-818d-40aa-832b-21c1f114e9be" xmlns:ns4="01133ce4-7fb0-4665-a147-8c87e1ab2ee3" targetNamespace="http://schemas.microsoft.com/office/2006/metadata/properties" ma:root="true" ma:fieldsID="8619ae99cd23958ab8a22155e3473d53" ns3:_="" ns4:_="">
    <xsd:import namespace="b7ec29b2-818d-40aa-832b-21c1f114e9be"/>
    <xsd:import namespace="01133ce4-7fb0-4665-a147-8c87e1ab2e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c29b2-818d-40aa-832b-21c1f114e9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1133ce4-7fb0-4665-a147-8c87e1ab2ee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834B1-F42A-4196-A58E-3DA3F2EBC099}">
  <ds:schemaRefs>
    <ds:schemaRef ds:uri="http://purl.org/dc/elements/1.1/"/>
    <ds:schemaRef ds:uri="http://purl.org/dc/terms/"/>
    <ds:schemaRef ds:uri="http://schemas.openxmlformats.org/package/2006/metadata/core-properties"/>
    <ds:schemaRef ds:uri="01133ce4-7fb0-4665-a147-8c87e1ab2ee3"/>
    <ds:schemaRef ds:uri="http://schemas.microsoft.com/office/2006/metadata/properties"/>
    <ds:schemaRef ds:uri="http://schemas.microsoft.com/office/2006/documentManagement/types"/>
    <ds:schemaRef ds:uri="b7ec29b2-818d-40aa-832b-21c1f114e9be"/>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B5646FC6-F23B-421F-880B-B9A0C539CC9F}">
  <ds:schemaRefs>
    <ds:schemaRef ds:uri="http://schemas.microsoft.com/sharepoint/v3/contenttype/forms"/>
  </ds:schemaRefs>
</ds:datastoreItem>
</file>

<file path=customXml/itemProps3.xml><?xml version="1.0" encoding="utf-8"?>
<ds:datastoreItem xmlns:ds="http://schemas.openxmlformats.org/officeDocument/2006/customXml" ds:itemID="{F912DB36-1D68-4F60-A9E5-DAE6B42C5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c29b2-818d-40aa-832b-21c1f114e9be"/>
    <ds:schemaRef ds:uri="01133ce4-7fb0-4665-a147-8c87e1ab2e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294F7E-406F-42AE-B29A-A12C18298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11183</Words>
  <Characters>63749</Characters>
  <Application>Microsoft Office Word</Application>
  <DocSecurity>4</DocSecurity>
  <Lines>531</Lines>
  <Paragraphs>149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TE4 CSA Notice_CSA Staff Notice_Multilateral Notice_Multilateral Staff Notice_VF_Sept2017</vt:lpstr>
      <vt:lpstr>TE4 CSA Notice_CSA Staff Notice_Multilateral Notice_Multilateral Staff Notice_VF_Sept2017</vt:lpstr>
    </vt:vector>
  </TitlesOfParts>
  <LinksUpToDate>false</LinksUpToDate>
  <CharactersWithSpaces>74783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TE4 CSA Notice_CSA Staff Notice_Multilateral Notice_Multilateral Staff Notice_VF_Sept2017</dc:title>
  <dc:subject/>
  <dc:creator/>
  <cp:keywords/>
  <dc:description/>
  <cp:lastModifiedBy/>
  <cp:revision>1</cp:revision>
  <dcterms:created xsi:type="dcterms:W3CDTF">2021-02-24T19:24:00Z</dcterms:created>
  <dcterms:modified xsi:type="dcterms:W3CDTF">2021-02-24T19:24:00Z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DMNumber">
    <vt:lpwstr>5348732</vt:lpwstr>
  </property>
  <property fmtid="{D5CDD505-2E9C-101B-9397-08002B2CF9AE}" pid="5" name="DMFooterText">
    <vt:lpwstr>#5348732 v2</vt:lpwstr>
  </property>
  <property fmtid="{D5CDD505-2E9C-101B-9397-08002B2CF9AE}" pid="6" name="ContentTypeId">
    <vt:lpwstr>0x010100B15452E57ACA31489A81912B932C5E1F</vt:lpwstr>
  </property>
</Properties>
</file>