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77" w:rsidRPr="003C0AA9" w:rsidRDefault="000D6F77" w:rsidP="000D6F77">
      <w:pPr>
        <w:pStyle w:val="a3"/>
        <w:widowControl/>
        <w:spacing w:line="240" w:lineRule="auto"/>
        <w:ind w:left="-540" w:right="0"/>
        <w:rPr>
          <w:sz w:val="22"/>
          <w:szCs w:val="22"/>
        </w:rPr>
      </w:pPr>
      <w:r w:rsidRPr="003C0AA9">
        <w:rPr>
          <w:sz w:val="22"/>
          <w:szCs w:val="22"/>
        </w:rPr>
        <w:t>Министерство науки и высшего образования РФ</w:t>
      </w:r>
    </w:p>
    <w:p w:rsidR="000D6F77" w:rsidRPr="002727E1" w:rsidRDefault="000D6F77" w:rsidP="000D6F77">
      <w:pPr>
        <w:pStyle w:val="a3"/>
        <w:widowControl/>
        <w:spacing w:before="60" w:line="240" w:lineRule="auto"/>
        <w:ind w:left="-539" w:right="0"/>
        <w:rPr>
          <w:szCs w:val="24"/>
        </w:rPr>
      </w:pPr>
      <w:r w:rsidRPr="002727E1">
        <w:rPr>
          <w:szCs w:val="24"/>
        </w:rPr>
        <w:t xml:space="preserve">Федеральное государственное бюджетное образовательное учреждение </w:t>
      </w:r>
    </w:p>
    <w:p w:rsidR="000D6F77" w:rsidRPr="002727E1" w:rsidRDefault="000D6F77" w:rsidP="000D6F77">
      <w:pPr>
        <w:pStyle w:val="a3"/>
        <w:widowControl/>
        <w:spacing w:line="240" w:lineRule="auto"/>
        <w:ind w:left="-539" w:right="0"/>
        <w:rPr>
          <w:szCs w:val="24"/>
        </w:rPr>
      </w:pPr>
      <w:r w:rsidRPr="002727E1">
        <w:rPr>
          <w:szCs w:val="24"/>
        </w:rPr>
        <w:t>высшего образования</w:t>
      </w:r>
    </w:p>
    <w:p w:rsidR="000D6F77" w:rsidRPr="002727E1" w:rsidRDefault="000D6F77" w:rsidP="000D6F77">
      <w:pPr>
        <w:spacing w:before="60" w:line="240" w:lineRule="auto"/>
        <w:ind w:left="-539"/>
        <w:jc w:val="center"/>
        <w:rPr>
          <w:bCs/>
          <w:caps/>
          <w:sz w:val="26"/>
          <w:szCs w:val="26"/>
        </w:rPr>
      </w:pPr>
      <w:r w:rsidRPr="002727E1">
        <w:rPr>
          <w:bCs/>
          <w:caps/>
          <w:sz w:val="26"/>
          <w:szCs w:val="26"/>
        </w:rPr>
        <w:t>«Томский государственный университет систем управления</w:t>
      </w:r>
    </w:p>
    <w:p w:rsidR="000D6F77" w:rsidRPr="002727E1" w:rsidRDefault="000D6F77" w:rsidP="000D6F77">
      <w:pPr>
        <w:spacing w:line="240" w:lineRule="auto"/>
        <w:ind w:left="-540"/>
        <w:jc w:val="center"/>
        <w:rPr>
          <w:bCs/>
          <w:caps/>
          <w:sz w:val="26"/>
          <w:szCs w:val="26"/>
        </w:rPr>
      </w:pPr>
      <w:r w:rsidRPr="002727E1">
        <w:rPr>
          <w:bCs/>
          <w:caps/>
          <w:sz w:val="26"/>
          <w:szCs w:val="26"/>
        </w:rPr>
        <w:t>и радиоэлектроники» (ТУСУР)</w:t>
      </w:r>
    </w:p>
    <w:p w:rsidR="000D6F77" w:rsidRPr="00072736" w:rsidRDefault="000D6F77" w:rsidP="000D6F77">
      <w:pPr>
        <w:spacing w:line="240" w:lineRule="auto"/>
        <w:ind w:firstLine="0"/>
      </w:pPr>
    </w:p>
    <w:p w:rsidR="000D6F77" w:rsidRDefault="000D6F77" w:rsidP="000D6F77">
      <w:pPr>
        <w:spacing w:line="240" w:lineRule="auto"/>
        <w:jc w:val="center"/>
      </w:pPr>
      <w:r>
        <w:t>Кафедра автоматизированной обработки информации (АОИ)</w:t>
      </w: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ind w:firstLine="0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  <w:rPr>
          <w:b/>
        </w:rPr>
      </w:pPr>
      <w:r w:rsidRPr="004A63CC">
        <w:rPr>
          <w:b/>
        </w:rPr>
        <w:t>О</w:t>
      </w:r>
      <w:r>
        <w:rPr>
          <w:b/>
        </w:rPr>
        <w:t>ДНОФАКТОРНЫЙ ДИСПЕРСИОННЫЙ АНАЛИЗ</w:t>
      </w:r>
    </w:p>
    <w:p w:rsidR="000D6F77" w:rsidRDefault="000D6F77" w:rsidP="000D6F77">
      <w:pPr>
        <w:spacing w:line="240" w:lineRule="auto"/>
        <w:jc w:val="center"/>
      </w:pPr>
    </w:p>
    <w:p w:rsidR="000D6F77" w:rsidRPr="004A63CC" w:rsidRDefault="000D6F77" w:rsidP="000D6F77">
      <w:pPr>
        <w:spacing w:line="240" w:lineRule="auto"/>
        <w:jc w:val="center"/>
      </w:pPr>
      <w:r>
        <w:t>Отчет по лабораторной работе № 4</w:t>
      </w:r>
    </w:p>
    <w:p w:rsidR="000D6F77" w:rsidRDefault="000D6F77" w:rsidP="000D6F77">
      <w:pPr>
        <w:tabs>
          <w:tab w:val="center" w:pos="4677"/>
          <w:tab w:val="left" w:pos="7275"/>
        </w:tabs>
        <w:spacing w:line="240" w:lineRule="auto"/>
        <w:jc w:val="left"/>
      </w:pPr>
      <w:r>
        <w:tab/>
      </w:r>
      <w:r w:rsidRPr="004A63CC">
        <w:t>По дисциплине «</w:t>
      </w:r>
      <w:r>
        <w:t xml:space="preserve">Теория вероятностей и </w:t>
      </w:r>
      <w:r>
        <w:tab/>
      </w:r>
    </w:p>
    <w:p w:rsidR="000D6F77" w:rsidRDefault="000D6F77" w:rsidP="000D6F77">
      <w:pPr>
        <w:spacing w:line="240" w:lineRule="auto"/>
        <w:jc w:val="center"/>
      </w:pPr>
      <w:r>
        <w:t>математическая статистика</w:t>
      </w:r>
      <w:r w:rsidRPr="004A63CC">
        <w:t>»</w:t>
      </w: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  <w:r>
        <w:t>Вариант №2</w:t>
      </w: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ind w:left="5245"/>
        <w:jc w:val="left"/>
      </w:pPr>
      <w:r>
        <w:t>Выполнил:</w:t>
      </w:r>
    </w:p>
    <w:p w:rsidR="000D6F77" w:rsidRDefault="000D6F77" w:rsidP="000D6F77">
      <w:pPr>
        <w:spacing w:line="240" w:lineRule="auto"/>
        <w:ind w:left="5245"/>
        <w:jc w:val="left"/>
      </w:pPr>
      <w:r>
        <w:t>Студент гр. 429-3</w:t>
      </w:r>
    </w:p>
    <w:p w:rsidR="000D6F77" w:rsidRPr="007B786C" w:rsidRDefault="000D6F77" w:rsidP="000D6F77">
      <w:pPr>
        <w:spacing w:line="240" w:lineRule="auto"/>
        <w:ind w:left="5245"/>
        <w:jc w:val="left"/>
      </w:pPr>
      <w:proofErr w:type="spellStart"/>
      <w:r>
        <w:t>Бабец</w:t>
      </w:r>
      <w:proofErr w:type="spellEnd"/>
      <w:r>
        <w:t xml:space="preserve"> А.А.</w:t>
      </w:r>
    </w:p>
    <w:p w:rsidR="000D6F77" w:rsidRDefault="000D6F77" w:rsidP="000D6F77">
      <w:pPr>
        <w:spacing w:line="240" w:lineRule="auto"/>
        <w:ind w:left="5245"/>
        <w:jc w:val="left"/>
      </w:pPr>
    </w:p>
    <w:p w:rsidR="000D6F77" w:rsidRDefault="000D6F77" w:rsidP="000D6F77">
      <w:pPr>
        <w:spacing w:line="240" w:lineRule="auto"/>
        <w:ind w:firstLine="0"/>
        <w:jc w:val="left"/>
      </w:pPr>
    </w:p>
    <w:p w:rsidR="000D6F77" w:rsidRDefault="000D6F77" w:rsidP="000D6F77">
      <w:pPr>
        <w:spacing w:line="240" w:lineRule="auto"/>
        <w:ind w:left="5245"/>
        <w:jc w:val="left"/>
      </w:pPr>
      <w:r>
        <w:t>Принял:</w:t>
      </w:r>
    </w:p>
    <w:p w:rsidR="000D6F77" w:rsidRDefault="000D6F77" w:rsidP="000D6F77">
      <w:pPr>
        <w:spacing w:line="240" w:lineRule="auto"/>
        <w:ind w:left="5245"/>
        <w:jc w:val="left"/>
      </w:pPr>
      <w:r>
        <w:t>Доцент каф. Математики</w:t>
      </w:r>
    </w:p>
    <w:p w:rsidR="000D6F77" w:rsidRDefault="000D6F77" w:rsidP="000D6F77">
      <w:pPr>
        <w:spacing w:line="240" w:lineRule="auto"/>
        <w:ind w:left="5245"/>
        <w:jc w:val="left"/>
      </w:pPr>
      <w:proofErr w:type="spellStart"/>
      <w:r>
        <w:t>Лугина</w:t>
      </w:r>
      <w:proofErr w:type="spellEnd"/>
      <w:r>
        <w:t xml:space="preserve"> Н.Э.</w:t>
      </w:r>
    </w:p>
    <w:p w:rsidR="000D6F77" w:rsidRDefault="000D6F77" w:rsidP="000D6F77">
      <w:pPr>
        <w:spacing w:line="240" w:lineRule="auto"/>
        <w:ind w:left="5245"/>
        <w:jc w:val="left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</w:p>
    <w:p w:rsidR="000D6F77" w:rsidRDefault="000D6F77" w:rsidP="000D6F77">
      <w:pPr>
        <w:spacing w:line="240" w:lineRule="auto"/>
        <w:jc w:val="center"/>
      </w:pPr>
      <w:r>
        <w:t>Томск 20</w:t>
      </w:r>
      <w:r w:rsidRPr="00881832">
        <w:t>2</w:t>
      </w:r>
      <w:r>
        <w:t>1</w:t>
      </w:r>
      <w:r>
        <w:br w:type="page"/>
      </w:r>
    </w:p>
    <w:p w:rsidR="00407E23" w:rsidRDefault="002C11A1" w:rsidP="002C11A1">
      <w:pPr>
        <w:pStyle w:val="1"/>
      </w:pPr>
      <w:r>
        <w:lastRenderedPageBreak/>
        <w:t>Постановка задачи</w:t>
      </w:r>
    </w:p>
    <w:p w:rsidR="002C11A1" w:rsidRDefault="002C11A1" w:rsidP="002C11A1"/>
    <w:p w:rsidR="002C11A1" w:rsidRDefault="002C11A1" w:rsidP="002C11A1">
      <w:r>
        <w:t xml:space="preserve">Разработчики игр проводят исследование: «Влияние </w:t>
      </w:r>
      <w:r w:rsidR="00E111D7">
        <w:t>класса персонажа</w:t>
      </w:r>
      <w:r>
        <w:t xml:space="preserve"> на скорость прохождения подземелий». Присутствуют</w:t>
      </w:r>
      <w:r w:rsidR="00D22641">
        <w:t xml:space="preserve"> шесть</w:t>
      </w:r>
      <w:r>
        <w:t xml:space="preserve"> игроков, которые проходят одно и тоже подземелье</w:t>
      </w:r>
      <w:r w:rsidR="00EE794D">
        <w:t xml:space="preserve"> (на персонаже подходящего уровня и с подходящей экипировкой)</w:t>
      </w:r>
      <w:r w:rsidR="008156D2">
        <w:t xml:space="preserve"> на</w:t>
      </w:r>
      <w:r w:rsidR="00D22641">
        <w:t xml:space="preserve"> четырёх</w:t>
      </w:r>
      <w:r w:rsidR="008156D2">
        <w:t xml:space="preserve"> последовательных этапах игры,</w:t>
      </w:r>
      <w:r>
        <w:t xml:space="preserve"> после 10, 25, 50</w:t>
      </w:r>
      <w:r w:rsidR="00D22641">
        <w:t xml:space="preserve"> </w:t>
      </w:r>
      <w:r>
        <w:t>и</w:t>
      </w:r>
      <w:r w:rsidR="00D22641">
        <w:t xml:space="preserve"> 10</w:t>
      </w:r>
      <w:r>
        <w:t>0 часов, проведённых в игре</w:t>
      </w:r>
      <w:r w:rsidR="008156D2">
        <w:t xml:space="preserve"> соответственно</w:t>
      </w:r>
      <w:r>
        <w:t>. В таблицу выведено время прохождения подземелья</w:t>
      </w:r>
      <w:r w:rsidR="008156D2">
        <w:t xml:space="preserve"> в минутах.</w:t>
      </w:r>
      <w:r w:rsidR="00EE794D">
        <w:t xml:space="preserve"> </w:t>
      </w:r>
    </w:p>
    <w:p w:rsidR="008156D2" w:rsidRDefault="008156D2" w:rsidP="002C11A1">
      <w:r>
        <w:t xml:space="preserve">Фактор </w:t>
      </w:r>
      <w:r>
        <w:rPr>
          <w:lang w:val="en-US"/>
        </w:rPr>
        <w:t>F</w:t>
      </w:r>
      <w:r>
        <w:t xml:space="preserve"> – </w:t>
      </w:r>
      <w:r w:rsidR="00E111D7">
        <w:t>класс персонажа</w:t>
      </w:r>
      <w:r>
        <w:t>. Наблюдение – время прохождения подземелья.</w:t>
      </w:r>
    </w:p>
    <w:p w:rsidR="008156D2" w:rsidRDefault="008156D2" w:rsidP="002C11A1">
      <w:r>
        <w:t>Н</w:t>
      </w:r>
      <w:r>
        <w:rPr>
          <w:vertAlign w:val="subscript"/>
        </w:rPr>
        <w:t>0</w:t>
      </w:r>
      <w:r>
        <w:t>:</w:t>
      </w:r>
      <w:r w:rsidR="00E111D7">
        <w:t xml:space="preserve"> </w:t>
      </w:r>
      <w:bookmarkStart w:id="0" w:name="_Hlk68596892"/>
      <w:r w:rsidR="00E111D7">
        <w:t>класс персонажа</w:t>
      </w:r>
      <w:r w:rsidR="00EE794D">
        <w:t xml:space="preserve"> </w:t>
      </w:r>
      <w:bookmarkEnd w:id="0"/>
      <w:r w:rsidR="00EE794D">
        <w:t>не влияет существенно на время прохождения подземелья</w:t>
      </w:r>
      <w:r>
        <w:t xml:space="preserve">; </w:t>
      </w:r>
      <w:proofErr w:type="spellStart"/>
      <w:r>
        <w:rPr>
          <w:lang w:val="en-US"/>
        </w:rPr>
        <w:t>Df</w:t>
      </w:r>
      <w:proofErr w:type="spellEnd"/>
      <w:r w:rsidRPr="008156D2">
        <w:t xml:space="preserve"> = </w:t>
      </w:r>
      <w:r>
        <w:rPr>
          <w:lang w:val="en-US"/>
        </w:rPr>
        <w:t>Deps</w:t>
      </w:r>
      <w:r>
        <w:t>.</w:t>
      </w:r>
    </w:p>
    <w:p w:rsidR="008156D2" w:rsidRDefault="008156D2" w:rsidP="002C11A1">
      <w:r>
        <w:t>Н</w:t>
      </w:r>
      <w:r>
        <w:rPr>
          <w:vertAlign w:val="subscript"/>
        </w:rPr>
        <w:t>1</w:t>
      </w:r>
      <w:r>
        <w:t>:</w:t>
      </w:r>
      <w:r w:rsidR="00EE794D">
        <w:t xml:space="preserve"> </w:t>
      </w:r>
      <w:bookmarkStart w:id="1" w:name="_Hlk68596570"/>
      <w:r w:rsidR="00E111D7">
        <w:t>класс персонажа</w:t>
      </w:r>
      <w:r w:rsidR="00EE794D">
        <w:t xml:space="preserve"> влияет на скорость прохождения подземелья</w:t>
      </w:r>
      <w:bookmarkEnd w:id="1"/>
      <w:r>
        <w:t xml:space="preserve">; </w:t>
      </w:r>
      <w:proofErr w:type="spellStart"/>
      <w:proofErr w:type="gramStart"/>
      <w:r>
        <w:rPr>
          <w:lang w:val="en-US"/>
        </w:rPr>
        <w:t>Df</w:t>
      </w:r>
      <w:proofErr w:type="spellEnd"/>
      <w:r w:rsidRPr="008156D2">
        <w:t xml:space="preserve"> &gt;</w:t>
      </w:r>
      <w:proofErr w:type="gramEnd"/>
      <w:r w:rsidRPr="008156D2">
        <w:t xml:space="preserve"> </w:t>
      </w:r>
      <w:r>
        <w:rPr>
          <w:lang w:val="en-US"/>
        </w:rPr>
        <w:t>Deps</w:t>
      </w:r>
      <w:r>
        <w:t>.</w:t>
      </w:r>
    </w:p>
    <w:p w:rsidR="008156D2" w:rsidRDefault="008156D2" w:rsidP="002C11A1">
      <w:r>
        <w:t>Полученные данные оценки скорости прохождения представлены в таблице:</w:t>
      </w:r>
    </w:p>
    <w:p w:rsidR="00BB0A92" w:rsidRPr="00BB0A92" w:rsidRDefault="00BB0A92" w:rsidP="002C11A1">
      <w:pPr>
        <w:rPr>
          <w:sz w:val="24"/>
          <w:szCs w:val="24"/>
        </w:rPr>
      </w:pPr>
      <w:r>
        <w:rPr>
          <w:sz w:val="24"/>
          <w:szCs w:val="24"/>
        </w:rPr>
        <w:t>Таблица 1.1 -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9"/>
        <w:gridCol w:w="950"/>
        <w:gridCol w:w="1266"/>
        <w:gridCol w:w="1266"/>
        <w:gridCol w:w="1266"/>
        <w:gridCol w:w="1266"/>
        <w:gridCol w:w="1266"/>
        <w:gridCol w:w="1266"/>
      </w:tblGrid>
      <w:tr w:rsidR="008156D2" w:rsidTr="00AF14DE">
        <w:tc>
          <w:tcPr>
            <w:tcW w:w="667" w:type="dxa"/>
          </w:tcPr>
          <w:p w:rsidR="008156D2" w:rsidRDefault="00D22641" w:rsidP="002C11A1">
            <w:pPr>
              <w:ind w:firstLine="0"/>
            </w:pPr>
            <w:r>
              <w:t>Этап</w:t>
            </w:r>
          </w:p>
        </w:tc>
        <w:tc>
          <w:tcPr>
            <w:tcW w:w="668" w:type="dxa"/>
          </w:tcPr>
          <w:p w:rsidR="008156D2" w:rsidRDefault="00D22641" w:rsidP="002C11A1">
            <w:pPr>
              <w:ind w:firstLine="0"/>
            </w:pPr>
            <w:r>
              <w:t>Игрок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2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3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5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6</w:t>
            </w:r>
          </w:p>
        </w:tc>
      </w:tr>
      <w:tr w:rsidR="008156D2" w:rsidTr="008156D2">
        <w:tc>
          <w:tcPr>
            <w:tcW w:w="1335" w:type="dxa"/>
            <w:gridSpan w:val="2"/>
          </w:tcPr>
          <w:p w:rsidR="008156D2" w:rsidRDefault="008156D2" w:rsidP="00D22641">
            <w:pPr>
              <w:ind w:firstLine="0"/>
            </w:pPr>
            <w:r>
              <w:t xml:space="preserve">1-ый </w:t>
            </w:r>
            <w:bookmarkStart w:id="2" w:name="_Hlk68554491"/>
            <w:r w:rsidR="00D22641">
              <w:t>этап</w:t>
            </w:r>
            <w:bookmarkEnd w:id="2"/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53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52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45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43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48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54</w:t>
            </w:r>
          </w:p>
        </w:tc>
      </w:tr>
      <w:tr w:rsidR="008156D2" w:rsidTr="008156D2">
        <w:tc>
          <w:tcPr>
            <w:tcW w:w="1335" w:type="dxa"/>
            <w:gridSpan w:val="2"/>
          </w:tcPr>
          <w:p w:rsidR="008156D2" w:rsidRDefault="008156D2" w:rsidP="002C11A1">
            <w:pPr>
              <w:ind w:firstLine="0"/>
            </w:pPr>
            <w:r>
              <w:t xml:space="preserve">2-ой </w:t>
            </w:r>
            <w:r w:rsidR="00D22641">
              <w:t>этап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49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55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38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47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46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49</w:t>
            </w:r>
          </w:p>
        </w:tc>
      </w:tr>
      <w:tr w:rsidR="008156D2" w:rsidTr="008156D2">
        <w:tc>
          <w:tcPr>
            <w:tcW w:w="1335" w:type="dxa"/>
            <w:gridSpan w:val="2"/>
          </w:tcPr>
          <w:p w:rsidR="008156D2" w:rsidRDefault="008156D2" w:rsidP="002C11A1">
            <w:pPr>
              <w:ind w:firstLine="0"/>
            </w:pPr>
            <w:r>
              <w:t xml:space="preserve">3-ий </w:t>
            </w:r>
            <w:r w:rsidR="00D22641">
              <w:t>этап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48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50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51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54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52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46</w:t>
            </w:r>
          </w:p>
        </w:tc>
      </w:tr>
      <w:tr w:rsidR="008156D2" w:rsidTr="008156D2">
        <w:tc>
          <w:tcPr>
            <w:tcW w:w="1335" w:type="dxa"/>
            <w:gridSpan w:val="2"/>
          </w:tcPr>
          <w:p w:rsidR="008156D2" w:rsidRDefault="008156D2" w:rsidP="002C11A1">
            <w:pPr>
              <w:ind w:firstLine="0"/>
            </w:pPr>
            <w:r>
              <w:t xml:space="preserve">4-ый </w:t>
            </w:r>
            <w:r w:rsidR="00D22641">
              <w:t>этап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44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47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46</w:t>
            </w:r>
          </w:p>
        </w:tc>
        <w:tc>
          <w:tcPr>
            <w:tcW w:w="1335" w:type="dxa"/>
          </w:tcPr>
          <w:p w:rsidR="008156D2" w:rsidRDefault="008156D2" w:rsidP="008156D2">
            <w:pPr>
              <w:ind w:firstLine="0"/>
            </w:pPr>
            <w:r>
              <w:t>49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50</w:t>
            </w:r>
          </w:p>
        </w:tc>
        <w:tc>
          <w:tcPr>
            <w:tcW w:w="1335" w:type="dxa"/>
          </w:tcPr>
          <w:p w:rsidR="008156D2" w:rsidRDefault="008156D2" w:rsidP="002C11A1">
            <w:pPr>
              <w:ind w:firstLine="0"/>
            </w:pPr>
            <w:r>
              <w:t>42</w:t>
            </w:r>
          </w:p>
        </w:tc>
      </w:tr>
    </w:tbl>
    <w:p w:rsidR="008156D2" w:rsidRDefault="008156D2" w:rsidP="002C11A1"/>
    <w:p w:rsidR="00BB0A92" w:rsidRDefault="00BB0A92" w:rsidP="002C11A1">
      <w:r>
        <w:t xml:space="preserve">Кол-во факторов </w:t>
      </w:r>
      <w:r>
        <w:rPr>
          <w:lang w:val="en-US"/>
        </w:rPr>
        <w:t>r</w:t>
      </w:r>
      <w:r w:rsidRPr="00BB0A92">
        <w:t xml:space="preserve"> </w:t>
      </w:r>
      <w:r>
        <w:t xml:space="preserve">= 4, кол-во наблюдений </w:t>
      </w:r>
      <w:r>
        <w:rPr>
          <w:lang w:val="en-US"/>
        </w:rPr>
        <w:t>k</w:t>
      </w:r>
      <w:r w:rsidRPr="00BB0A92">
        <w:t xml:space="preserve"> = 6</w:t>
      </w:r>
      <w:r>
        <w:t xml:space="preserve">, общее кол-во наблюдений </w:t>
      </w:r>
      <w:r>
        <w:rPr>
          <w:lang w:val="en-US"/>
        </w:rPr>
        <w:t>n</w:t>
      </w:r>
      <w:r w:rsidRPr="00BB0A92">
        <w:t xml:space="preserve"> = 24</w:t>
      </w:r>
      <w:r>
        <w:t xml:space="preserve">, </w:t>
      </w:r>
      <w:r>
        <w:rPr>
          <w:lang w:val="en-US"/>
        </w:rPr>
        <w:t>α</w:t>
      </w:r>
      <w:r>
        <w:t xml:space="preserve"> примем за 0,01.</w:t>
      </w:r>
    </w:p>
    <w:p w:rsidR="00BB0A92" w:rsidRDefault="00BB0A92">
      <w:pPr>
        <w:spacing w:after="160" w:line="259" w:lineRule="auto"/>
        <w:ind w:firstLine="0"/>
        <w:jc w:val="left"/>
      </w:pPr>
      <w:r>
        <w:br w:type="page"/>
      </w:r>
    </w:p>
    <w:p w:rsidR="00BB0A92" w:rsidRDefault="00BB0A92" w:rsidP="00BB0A92">
      <w:pPr>
        <w:pStyle w:val="1"/>
      </w:pPr>
      <w:r>
        <w:lastRenderedPageBreak/>
        <w:t>Классическая схема</w:t>
      </w:r>
    </w:p>
    <w:p w:rsidR="00D22641" w:rsidRPr="00D22641" w:rsidRDefault="00D22641" w:rsidP="00D22641">
      <w:pPr>
        <w:pStyle w:val="2"/>
      </w:pPr>
      <w:r>
        <w:t>Теория</w:t>
      </w:r>
    </w:p>
    <w:p w:rsidR="00BB0A92" w:rsidRDefault="00BB0A92" w:rsidP="00BB0A92"/>
    <w:p w:rsidR="00BB0A92" w:rsidRDefault="00BB0A92" w:rsidP="00BB0A92">
      <w:pPr>
        <w:rPr>
          <w:szCs w:val="28"/>
        </w:rPr>
      </w:pPr>
      <w:r>
        <w:t xml:space="preserve">В классической схеме однофакторного дисперсионного анализа на некую СВ Х действует некий фактор </w:t>
      </w:r>
      <w:r>
        <w:rPr>
          <w:lang w:val="en-US"/>
        </w:rPr>
        <w:t>F</w:t>
      </w:r>
      <w:r>
        <w:t xml:space="preserve"> имеющий </w:t>
      </w:r>
      <w:r>
        <w:rPr>
          <w:lang w:val="en-US"/>
        </w:rPr>
        <w:t>r</w:t>
      </w:r>
      <w:r>
        <w:t xml:space="preserve"> уровней. С помощью дисперсионного анализа можно дать ответ на вопрос: «Влияет ли данный фактор на эту СВ?». На каждом уровне производится ряд наблюдений исследуемого признака, рассматриваемых как независимые выборочные значения из генеральных совокупностей Х</w:t>
      </w:r>
      <w:r>
        <w:rPr>
          <w:vertAlign w:val="subscript"/>
        </w:rPr>
        <w:t>1</w:t>
      </w:r>
      <w:r>
        <w:t>, Х</w:t>
      </w:r>
      <w:r>
        <w:rPr>
          <w:vertAlign w:val="subscript"/>
        </w:rPr>
        <w:t>2</w:t>
      </w:r>
      <w:r>
        <w:t>, …, Х</w:t>
      </w:r>
      <w:r>
        <w:rPr>
          <w:vertAlign w:val="subscript"/>
          <w:lang w:val="en-US"/>
        </w:rPr>
        <w:t>r</w:t>
      </w:r>
      <w:r>
        <w:t>, распределённых по нормальному закону с одинаковыми, хоть неизвестными дисперсиями и мат. ожиданиями.</w:t>
      </w:r>
      <w:r w:rsidR="003A4B64">
        <w:t xml:space="preserve"> </w:t>
      </w:r>
      <w:r w:rsidR="003A4B64" w:rsidRPr="001C6F41">
        <w:rPr>
          <w:szCs w:val="28"/>
        </w:rPr>
        <w:t>При этом предполагается, что ошибки наблюдений распределены нормально с нулевым математическим ожиданием и одинаковыми дисперсиями. Задача дисперсионного анализа формулируется как задача о равенстве всех математических ожиданий</w:t>
      </w:r>
    </w:p>
    <w:p w:rsidR="003A4B64" w:rsidRDefault="003A4B64" w:rsidP="00BB0A92">
      <w:pPr>
        <w:rPr>
          <w:lang w:val="en-US"/>
        </w:rPr>
      </w:pPr>
      <w:r>
        <w:rPr>
          <w:noProof/>
        </w:rPr>
        <w:drawing>
          <wp:inline distT="0" distB="0" distL="0" distR="0">
            <wp:extent cx="272415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64" w:rsidRDefault="003A4B64" w:rsidP="00BB0A92">
      <w:r>
        <w:t>Основная идея дисперсионного анализа состоит в переходе от задачи 1 к эквивалентной ей задаче сравнения дисперсий: «факторной» дисперсии, оценивающей разброс, вносимый в результате воздействия фактора F и «остаточной» дисперсии, оценивающей разброс, возникший в результате случайных причин.</w:t>
      </w:r>
    </w:p>
    <w:p w:rsidR="003A4B64" w:rsidRDefault="003A4B64" w:rsidP="00BB0A92">
      <w:r>
        <w:t xml:space="preserve">Основные требования к экспериментальным данным: </w:t>
      </w:r>
    </w:p>
    <w:p w:rsidR="003A4B64" w:rsidRDefault="003A4B64" w:rsidP="003A4B64">
      <w:pPr>
        <w:pStyle w:val="a6"/>
        <w:numPr>
          <w:ilvl w:val="0"/>
          <w:numId w:val="6"/>
        </w:numPr>
        <w:ind w:left="0"/>
      </w:pPr>
      <w:r>
        <w:t xml:space="preserve">результаты наблюдений на разных уровнях рассматриваются как независимые выборочные значения из генеральных совокупностей, распределенных по нормальному закону </w:t>
      </w:r>
    </w:p>
    <w:p w:rsidR="003A4B64" w:rsidRDefault="003A4B64" w:rsidP="003A4B64">
      <w:pPr>
        <w:pStyle w:val="a6"/>
        <w:numPr>
          <w:ilvl w:val="0"/>
          <w:numId w:val="6"/>
        </w:numPr>
        <w:ind w:left="0"/>
      </w:pPr>
      <w:r>
        <w:t xml:space="preserve">с одинаковыми </w:t>
      </w:r>
      <w:r w:rsidRPr="003A4B64">
        <w:rPr>
          <w:rFonts w:ascii="Cambria Math" w:hAnsi="Cambria Math" w:cs="Cambria Math"/>
        </w:rPr>
        <w:t>𝜎</w:t>
      </w:r>
      <w:r w:rsidRPr="003A4B64">
        <w:rPr>
          <w:vertAlign w:val="subscript"/>
        </w:rPr>
        <w:t>1</w:t>
      </w:r>
      <w:r>
        <w:t xml:space="preserve"> = </w:t>
      </w:r>
      <w:r w:rsidRPr="003A4B64">
        <w:rPr>
          <w:rFonts w:ascii="Cambria Math" w:hAnsi="Cambria Math" w:cs="Cambria Math"/>
        </w:rPr>
        <w:t>𝜎</w:t>
      </w:r>
      <w:r w:rsidRPr="003A4B64">
        <w:rPr>
          <w:vertAlign w:val="subscript"/>
        </w:rPr>
        <w:t>2</w:t>
      </w:r>
      <w:r>
        <w:t xml:space="preserve"> = </w:t>
      </w:r>
      <w:r w:rsidRPr="003A4B64">
        <w:rPr>
          <w:rFonts w:ascii="Cambria Math" w:hAnsi="Cambria Math" w:cs="Cambria Math"/>
        </w:rPr>
        <w:t>⋯</w:t>
      </w:r>
      <w:r>
        <w:t xml:space="preserve"> = </w:t>
      </w:r>
      <w:r w:rsidRPr="003A4B64">
        <w:rPr>
          <w:rFonts w:ascii="Cambria Math" w:hAnsi="Cambria Math" w:cs="Cambria Math"/>
        </w:rPr>
        <w:t>𝜎</w:t>
      </w:r>
      <w:r w:rsidRPr="003A4B64">
        <w:rPr>
          <w:rFonts w:ascii="Cambria Math" w:hAnsi="Cambria Math" w:cs="Cambria Math"/>
          <w:vertAlign w:val="subscript"/>
        </w:rPr>
        <w:t>𝑟</w:t>
      </w:r>
      <w:r>
        <w:t xml:space="preserve">, хотя и </w:t>
      </w:r>
      <w:proofErr w:type="gramStart"/>
      <w:r>
        <w:t>неизвестными дисперсиями</w:t>
      </w:r>
      <w:proofErr w:type="gramEnd"/>
      <w:r>
        <w:t xml:space="preserve"> и математическими ожиданиями </w:t>
      </w:r>
      <w:r w:rsidRPr="003A4B64">
        <w:rPr>
          <w:rFonts w:ascii="Cambria Math" w:hAnsi="Cambria Math" w:cs="Cambria Math"/>
        </w:rPr>
        <w:t>𝑚</w:t>
      </w:r>
      <w:r w:rsidRPr="003A4B64">
        <w:rPr>
          <w:vertAlign w:val="subscript"/>
        </w:rPr>
        <w:t>1</w:t>
      </w:r>
      <w:r>
        <w:t xml:space="preserve">, </w:t>
      </w:r>
      <w:r w:rsidRPr="003A4B64">
        <w:rPr>
          <w:rFonts w:ascii="Cambria Math" w:hAnsi="Cambria Math" w:cs="Cambria Math"/>
        </w:rPr>
        <w:t>𝑚</w:t>
      </w:r>
      <w:r w:rsidRPr="003A4B64">
        <w:rPr>
          <w:vertAlign w:val="subscript"/>
        </w:rPr>
        <w:t>2</w:t>
      </w:r>
      <w:r>
        <w:t xml:space="preserve">, …, </w:t>
      </w:r>
      <w:r w:rsidRPr="003A4B64">
        <w:rPr>
          <w:rFonts w:ascii="Cambria Math" w:hAnsi="Cambria Math" w:cs="Cambria Math"/>
        </w:rPr>
        <w:t>𝑚</w:t>
      </w:r>
      <w:r w:rsidRPr="003A4B64">
        <w:rPr>
          <w:rFonts w:ascii="Cambria Math" w:hAnsi="Cambria Math" w:cs="Cambria Math"/>
          <w:vertAlign w:val="subscript"/>
        </w:rPr>
        <w:t>𝑟</w:t>
      </w:r>
      <w:r>
        <w:t xml:space="preserve">. </w:t>
      </w:r>
    </w:p>
    <w:p w:rsidR="003A4B64" w:rsidRDefault="003A4B64" w:rsidP="003A4B64">
      <w:pPr>
        <w:pStyle w:val="a6"/>
        <w:numPr>
          <w:ilvl w:val="0"/>
          <w:numId w:val="6"/>
        </w:numPr>
        <w:ind w:left="0"/>
      </w:pPr>
      <w:r>
        <w:t xml:space="preserve">математическое ожидание возмущения </w:t>
      </w:r>
      <w:r w:rsidRPr="003A4B64">
        <w:rPr>
          <w:rFonts w:ascii="Cambria Math" w:hAnsi="Cambria Math" w:cs="Cambria Math"/>
        </w:rPr>
        <w:t>𝜀</w:t>
      </w:r>
      <w:r w:rsidRPr="003A4B64">
        <w:rPr>
          <w:rFonts w:ascii="Cambria Math" w:hAnsi="Cambria Math" w:cs="Cambria Math"/>
          <w:vertAlign w:val="subscript"/>
        </w:rPr>
        <w:t>𝑖𝑗</w:t>
      </w:r>
      <w:r>
        <w:t xml:space="preserve"> для любого i равно нулю: </w:t>
      </w:r>
      <w:r w:rsidRPr="003A4B64">
        <w:rPr>
          <w:rFonts w:ascii="Cambria Math" w:hAnsi="Cambria Math" w:cs="Cambria Math"/>
        </w:rPr>
        <w:t>𝑀</w:t>
      </w:r>
      <w:r>
        <w:t>[</w:t>
      </w:r>
      <w:r w:rsidRPr="003A4B64">
        <w:rPr>
          <w:rFonts w:ascii="Cambria Math" w:hAnsi="Cambria Math" w:cs="Cambria Math"/>
        </w:rPr>
        <w:t>𝜀</w:t>
      </w:r>
      <w:r w:rsidRPr="003A4B64">
        <w:rPr>
          <w:rFonts w:ascii="Cambria Math" w:hAnsi="Cambria Math" w:cs="Cambria Math"/>
          <w:vertAlign w:val="subscript"/>
        </w:rPr>
        <w:t>𝑖𝑗</w:t>
      </w:r>
      <w:r>
        <w:t xml:space="preserve">] = 0; возмущения </w:t>
      </w:r>
      <w:r w:rsidRPr="003A4B64">
        <w:rPr>
          <w:rFonts w:ascii="Cambria Math" w:hAnsi="Cambria Math" w:cs="Cambria Math"/>
        </w:rPr>
        <w:t>𝜀</w:t>
      </w:r>
      <w:r w:rsidRPr="003A4B64">
        <w:rPr>
          <w:rFonts w:ascii="Cambria Math" w:hAnsi="Cambria Math" w:cs="Cambria Math"/>
          <w:vertAlign w:val="subscript"/>
        </w:rPr>
        <w:t>𝑖𝑗</w:t>
      </w:r>
      <w:r>
        <w:t xml:space="preserve"> взаимно независимы; дисперсия возмущения </w:t>
      </w:r>
      <w:r w:rsidRPr="003A4B64">
        <w:rPr>
          <w:rFonts w:ascii="Cambria Math" w:hAnsi="Cambria Math" w:cs="Cambria Math"/>
        </w:rPr>
        <w:t>𝜀</w:t>
      </w:r>
      <w:r w:rsidRPr="003A4B64">
        <w:rPr>
          <w:rFonts w:ascii="Cambria Math" w:hAnsi="Cambria Math" w:cs="Cambria Math"/>
          <w:vertAlign w:val="subscript"/>
        </w:rPr>
        <w:t>𝑖𝑗</w:t>
      </w:r>
      <w:r>
        <w:t xml:space="preserve"> (или </w:t>
      </w:r>
      <w:r>
        <w:lastRenderedPageBreak/>
        <w:t xml:space="preserve">переменной </w:t>
      </w:r>
      <w:r w:rsidRPr="003A4B64">
        <w:rPr>
          <w:rFonts w:ascii="Cambria Math" w:hAnsi="Cambria Math" w:cs="Cambria Math"/>
        </w:rPr>
        <w:t>𝑥</w:t>
      </w:r>
      <w:r w:rsidRPr="003A4B64">
        <w:rPr>
          <w:rFonts w:ascii="Cambria Math" w:hAnsi="Cambria Math" w:cs="Cambria Math"/>
          <w:vertAlign w:val="subscript"/>
        </w:rPr>
        <w:t>𝑖𝑗</w:t>
      </w:r>
      <w:r>
        <w:t xml:space="preserve">) постоянна для любых i, j, то есть </w:t>
      </w:r>
      <w:r w:rsidRPr="003A4B64">
        <w:rPr>
          <w:rFonts w:ascii="Cambria Math" w:hAnsi="Cambria Math" w:cs="Cambria Math"/>
        </w:rPr>
        <w:t>𝐷</w:t>
      </w:r>
      <w:r>
        <w:t>[</w:t>
      </w:r>
      <w:r w:rsidRPr="003A4B64">
        <w:rPr>
          <w:rFonts w:ascii="Cambria Math" w:hAnsi="Cambria Math" w:cs="Cambria Math"/>
        </w:rPr>
        <w:t>𝜀</w:t>
      </w:r>
      <w:r w:rsidRPr="003A4B64">
        <w:rPr>
          <w:rFonts w:ascii="Cambria Math" w:hAnsi="Cambria Math" w:cs="Cambria Math"/>
          <w:vertAlign w:val="subscript"/>
        </w:rPr>
        <w:t>𝑖𝑗</w:t>
      </w:r>
      <w:r>
        <w:t xml:space="preserve">] = </w:t>
      </w:r>
      <w:r w:rsidRPr="003A4B64">
        <w:rPr>
          <w:rFonts w:ascii="Cambria Math" w:hAnsi="Cambria Math" w:cs="Cambria Math"/>
        </w:rPr>
        <w:t>𝜎</w:t>
      </w:r>
      <w:r w:rsidRPr="003A4B64">
        <w:rPr>
          <w:vertAlign w:val="superscript"/>
        </w:rPr>
        <w:t>2</w:t>
      </w:r>
      <w:r>
        <w:t xml:space="preserve">; возмущение </w:t>
      </w:r>
      <w:r w:rsidRPr="003A4B64">
        <w:rPr>
          <w:rFonts w:ascii="Cambria Math" w:hAnsi="Cambria Math" w:cs="Cambria Math"/>
        </w:rPr>
        <w:t>𝜀</w:t>
      </w:r>
      <w:r w:rsidRPr="003A4B64">
        <w:rPr>
          <w:rFonts w:ascii="Cambria Math" w:hAnsi="Cambria Math" w:cs="Cambria Math"/>
          <w:vertAlign w:val="subscript"/>
        </w:rPr>
        <w:t>𝑖𝑗</w:t>
      </w:r>
      <w:r>
        <w:t xml:space="preserve"> (или переменной </w:t>
      </w:r>
      <w:r w:rsidRPr="003A4B64">
        <w:rPr>
          <w:rFonts w:ascii="Cambria Math" w:hAnsi="Cambria Math" w:cs="Cambria Math"/>
        </w:rPr>
        <w:t>𝑥</w:t>
      </w:r>
      <w:r w:rsidRPr="003A4B64">
        <w:rPr>
          <w:rFonts w:ascii="Cambria Math" w:hAnsi="Cambria Math" w:cs="Cambria Math"/>
          <w:vertAlign w:val="subscript"/>
        </w:rPr>
        <w:t>𝑖𝑗</w:t>
      </w:r>
      <w:r>
        <w:t xml:space="preserve">) имеет нормальный закон распределения </w:t>
      </w:r>
      <w:r w:rsidRPr="003A4B64">
        <w:rPr>
          <w:rFonts w:ascii="Cambria Math" w:hAnsi="Cambria Math" w:cs="Cambria Math"/>
        </w:rPr>
        <w:t>𝜀</w:t>
      </w:r>
      <w:r w:rsidRPr="003A4B64">
        <w:rPr>
          <w:rFonts w:ascii="Cambria Math" w:hAnsi="Cambria Math" w:cs="Cambria Math"/>
          <w:vertAlign w:val="subscript"/>
        </w:rPr>
        <w:t>𝑖𝑗</w:t>
      </w:r>
      <w:r>
        <w:t>~</w:t>
      </w:r>
      <w:proofErr w:type="gramStart"/>
      <w:r w:rsidRPr="003A4B64">
        <w:rPr>
          <w:rFonts w:ascii="Cambria Math" w:hAnsi="Cambria Math" w:cs="Cambria Math"/>
        </w:rPr>
        <w:t>𝑁</w:t>
      </w:r>
      <w:r>
        <w:t>(</w:t>
      </w:r>
      <w:proofErr w:type="gramEnd"/>
      <w:r>
        <w:t xml:space="preserve">0, </w:t>
      </w:r>
      <w:r w:rsidRPr="003A4B64">
        <w:rPr>
          <w:rFonts w:ascii="Cambria Math" w:hAnsi="Cambria Math" w:cs="Cambria Math"/>
        </w:rPr>
        <w:t>𝜎</w:t>
      </w:r>
      <w:r w:rsidRPr="003A4B64">
        <w:rPr>
          <w:rFonts w:ascii="Cambria Math" w:hAnsi="Cambria Math" w:cs="Cambria Math"/>
          <w:vertAlign w:val="subscript"/>
        </w:rPr>
        <w:t>𝜀</w:t>
      </w:r>
      <w:r>
        <w:t xml:space="preserve"> ).</w:t>
      </w:r>
    </w:p>
    <w:p w:rsidR="003A4B64" w:rsidRDefault="003A4B64" w:rsidP="003A4B64">
      <w:r>
        <w:t>Схема решения:</w:t>
      </w:r>
    </w:p>
    <w:p w:rsidR="003A4B64" w:rsidRDefault="003A4B64" w:rsidP="003A4B64">
      <w:pPr>
        <w:pStyle w:val="a6"/>
        <w:numPr>
          <w:ilvl w:val="0"/>
          <w:numId w:val="7"/>
        </w:numPr>
        <w:ind w:left="0" w:firstLine="709"/>
      </w:pPr>
      <w:r>
        <w:t>формулируем основную и альтернативную гипотезы (сформулированы выше);</w:t>
      </w:r>
    </w:p>
    <w:p w:rsidR="003A4B64" w:rsidRDefault="00D22641" w:rsidP="003A4B64">
      <w:pPr>
        <w:pStyle w:val="a6"/>
        <w:numPr>
          <w:ilvl w:val="0"/>
          <w:numId w:val="7"/>
        </w:numPr>
        <w:ind w:left="0" w:firstLine="709"/>
      </w:pPr>
      <w:r>
        <w:t xml:space="preserve">задаём уровень значимости </w:t>
      </w:r>
      <w:r>
        <w:rPr>
          <w:lang w:val="en-US"/>
        </w:rPr>
        <w:t>α</w:t>
      </w:r>
      <w:r>
        <w:t>;</w:t>
      </w:r>
    </w:p>
    <w:p w:rsidR="00D22641" w:rsidRDefault="00D22641" w:rsidP="003A4B64">
      <w:pPr>
        <w:pStyle w:val="a6"/>
        <w:numPr>
          <w:ilvl w:val="0"/>
          <w:numId w:val="7"/>
        </w:numPr>
        <w:ind w:left="0" w:firstLine="709"/>
      </w:pPr>
      <w:r>
        <w:t xml:space="preserve">вычисляем </w:t>
      </w:r>
      <w:r>
        <w:rPr>
          <w:noProof/>
        </w:rPr>
        <w:drawing>
          <wp:inline distT="0" distB="0" distL="0" distR="0" wp14:anchorId="11425D76" wp14:editId="682B6CDA">
            <wp:extent cx="8382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:rsidR="00D22641" w:rsidRDefault="00D22641" w:rsidP="003A4B64">
      <w:pPr>
        <w:pStyle w:val="a6"/>
        <w:numPr>
          <w:ilvl w:val="0"/>
          <w:numId w:val="7"/>
        </w:numPr>
        <w:ind w:left="0" w:firstLine="709"/>
      </w:pPr>
      <w:r>
        <w:t xml:space="preserve">находим границу критической области </w:t>
      </w:r>
      <w:r>
        <w:rPr>
          <w:noProof/>
        </w:rPr>
        <w:drawing>
          <wp:inline distT="0" distB="0" distL="0" distR="0" wp14:anchorId="29AEB229" wp14:editId="1ADD9DD7">
            <wp:extent cx="144780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критическая область правосторонняя </w:t>
      </w:r>
      <w:r>
        <w:rPr>
          <w:noProof/>
        </w:rPr>
        <w:drawing>
          <wp:inline distT="0" distB="0" distL="0" distR="0" wp14:anchorId="223C6758" wp14:editId="5CA94887">
            <wp:extent cx="88582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:rsidR="00D22641" w:rsidRDefault="00D22641" w:rsidP="003A4B64">
      <w:pPr>
        <w:pStyle w:val="a6"/>
        <w:numPr>
          <w:ilvl w:val="0"/>
          <w:numId w:val="7"/>
        </w:numPr>
        <w:ind w:left="0" w:firstLine="709"/>
      </w:pPr>
      <w:r>
        <w:t>делаем вывод о принятии или отвержении гипотезы.</w:t>
      </w:r>
    </w:p>
    <w:p w:rsidR="00D22641" w:rsidRDefault="00D22641" w:rsidP="00D22641">
      <w:pPr>
        <w:spacing w:after="160" w:line="259" w:lineRule="auto"/>
        <w:ind w:firstLine="0"/>
        <w:jc w:val="left"/>
      </w:pPr>
    </w:p>
    <w:p w:rsidR="00D22641" w:rsidRDefault="00D22641" w:rsidP="00D22641">
      <w:pPr>
        <w:pStyle w:val="2"/>
      </w:pPr>
      <w:r>
        <w:t>Решение</w:t>
      </w:r>
    </w:p>
    <w:p w:rsidR="00D22641" w:rsidRDefault="00D22641" w:rsidP="00D22641"/>
    <w:p w:rsidR="00D22641" w:rsidRDefault="00D22641" w:rsidP="00D22641">
      <w:r>
        <w:t xml:space="preserve">Сначала находим средние значения по уровням фактора и по всем данным (используем функцию </w:t>
      </w:r>
      <w:bookmarkStart w:id="3" w:name="_Hlk68560005"/>
      <w:r>
        <w:rPr>
          <w:lang w:val="en-US"/>
        </w:rPr>
        <w:t>Microsoft EX</w:t>
      </w:r>
      <w:r w:rsidR="00416BF1">
        <w:rPr>
          <w:lang w:val="en-US"/>
        </w:rPr>
        <w:t>C</w:t>
      </w:r>
      <w:r>
        <w:rPr>
          <w:lang w:val="en-US"/>
        </w:rPr>
        <w:t xml:space="preserve">EL </w:t>
      </w:r>
      <w:bookmarkEnd w:id="3"/>
      <w:r>
        <w:t>СРЗНАЧ).</w:t>
      </w:r>
    </w:p>
    <w:p w:rsidR="00D22641" w:rsidRPr="00D22641" w:rsidRDefault="00D22641" w:rsidP="00D22641">
      <w:pPr>
        <w:rPr>
          <w:sz w:val="24"/>
        </w:rPr>
      </w:pPr>
      <w:r w:rsidRPr="00D22641">
        <w:rPr>
          <w:sz w:val="24"/>
        </w:rPr>
        <w:t>Таблица 2.2.1 – Средние значения</w:t>
      </w:r>
    </w:p>
    <w:tbl>
      <w:tblPr>
        <w:tblW w:w="5245" w:type="dxa"/>
        <w:tblInd w:w="-5" w:type="dxa"/>
        <w:tblLook w:val="04A0" w:firstRow="1" w:lastRow="0" w:firstColumn="1" w:lastColumn="0" w:noHBand="0" w:noVBand="1"/>
      </w:tblPr>
      <w:tblGrid>
        <w:gridCol w:w="1013"/>
        <w:gridCol w:w="328"/>
        <w:gridCol w:w="439"/>
        <w:gridCol w:w="439"/>
        <w:gridCol w:w="439"/>
        <w:gridCol w:w="439"/>
        <w:gridCol w:w="439"/>
        <w:gridCol w:w="439"/>
        <w:gridCol w:w="1386"/>
      </w:tblGrid>
      <w:tr w:rsidR="00BC71C7" w:rsidRPr="00D22641" w:rsidTr="00BC71C7">
        <w:trPr>
          <w:trHeight w:val="330"/>
        </w:trPr>
        <w:tc>
          <w:tcPr>
            <w:tcW w:w="13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D22641">
              <w:rPr>
                <w:rFonts w:ascii="Calibri" w:hAnsi="Calibri" w:cs="Calibri"/>
                <w:b/>
                <w:bCs/>
                <w:sz w:val="22"/>
              </w:rPr>
              <w:t>Номер уровня</w:t>
            </w:r>
          </w:p>
        </w:tc>
        <w:tc>
          <w:tcPr>
            <w:tcW w:w="26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D22641">
              <w:rPr>
                <w:rFonts w:ascii="Calibri" w:hAnsi="Calibri" w:cs="Calibri"/>
                <w:b/>
                <w:bCs/>
                <w:sz w:val="22"/>
              </w:rPr>
              <w:t>Номер наблюдения</w:t>
            </w:r>
          </w:p>
        </w:tc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D22641">
              <w:rPr>
                <w:rFonts w:ascii="Calibri" w:hAnsi="Calibri" w:cs="Calibri"/>
                <w:b/>
                <w:bCs/>
                <w:sz w:val="22"/>
              </w:rPr>
              <w:t>Среднее по уровням</w:t>
            </w:r>
          </w:p>
        </w:tc>
      </w:tr>
      <w:tr w:rsidR="00BC71C7" w:rsidRPr="00D22641" w:rsidTr="00BC71C7">
        <w:trPr>
          <w:trHeight w:val="412"/>
        </w:trPr>
        <w:tc>
          <w:tcPr>
            <w:tcW w:w="13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12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</w:rPr>
            </w:pPr>
          </w:p>
        </w:tc>
      </w:tr>
      <w:tr w:rsidR="00BC71C7" w:rsidRPr="00D22641" w:rsidTr="00BC71C7">
        <w:trPr>
          <w:trHeight w:val="330"/>
        </w:trPr>
        <w:tc>
          <w:tcPr>
            <w:tcW w:w="10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D22641">
              <w:rPr>
                <w:rFonts w:ascii="Calibri" w:hAnsi="Calibri" w:cs="Calibri"/>
                <w:b/>
                <w:bCs/>
                <w:sz w:val="22"/>
              </w:rPr>
              <w:t>Уровни фактора F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49,16666667</w:t>
            </w:r>
          </w:p>
        </w:tc>
      </w:tr>
      <w:tr w:rsidR="00BC71C7" w:rsidRPr="00D22641" w:rsidTr="00BC71C7">
        <w:trPr>
          <w:trHeight w:val="330"/>
        </w:trPr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47,33333333</w:t>
            </w:r>
          </w:p>
        </w:tc>
      </w:tr>
      <w:tr w:rsidR="00BC71C7" w:rsidRPr="00D22641" w:rsidTr="00BC71C7">
        <w:trPr>
          <w:trHeight w:val="330"/>
        </w:trPr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50,16666667</w:t>
            </w:r>
          </w:p>
        </w:tc>
      </w:tr>
      <w:tr w:rsidR="00BC71C7" w:rsidRPr="00D22641" w:rsidTr="00BC71C7">
        <w:trPr>
          <w:trHeight w:val="330"/>
        </w:trPr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22641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46,33333333</w:t>
            </w:r>
          </w:p>
        </w:tc>
      </w:tr>
      <w:tr w:rsidR="00D22641" w:rsidRPr="00D22641" w:rsidTr="00BC71C7">
        <w:trPr>
          <w:trHeight w:val="330"/>
        </w:trPr>
        <w:tc>
          <w:tcPr>
            <w:tcW w:w="39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D22641">
              <w:rPr>
                <w:rFonts w:ascii="Calibri" w:hAnsi="Calibri" w:cs="Calibri"/>
                <w:b/>
                <w:bCs/>
                <w:sz w:val="22"/>
              </w:rPr>
              <w:t>Среднее значение по всей таблице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641" w:rsidRPr="00D22641" w:rsidRDefault="00D22641" w:rsidP="00D2264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22641">
              <w:rPr>
                <w:rFonts w:ascii="Calibri" w:hAnsi="Calibri" w:cs="Calibri"/>
                <w:sz w:val="22"/>
              </w:rPr>
              <w:t>48,25</w:t>
            </w:r>
          </w:p>
        </w:tc>
      </w:tr>
    </w:tbl>
    <w:p w:rsidR="00D22641" w:rsidRDefault="00D22641" w:rsidP="00D22641"/>
    <w:p w:rsidR="00D22641" w:rsidRDefault="00BC71C7" w:rsidP="00D22641">
      <w:r>
        <w:t xml:space="preserve">Для этого сумма квадратов отклонений наблюдаемых значений от их общего среднего по всей таблице </w:t>
      </w:r>
      <w:r>
        <w:rPr>
          <w:rFonts w:ascii="Cambria Math" w:hAnsi="Cambria Math" w:cs="Cambria Math"/>
        </w:rPr>
        <w:t>𝑥</w:t>
      </w:r>
      <w:r>
        <w:t>̅разлагается на две части в виде основного дисперсионного тождества.</w:t>
      </w:r>
    </w:p>
    <w:p w:rsidR="00BC71C7" w:rsidRDefault="00BC71C7" w:rsidP="00D22641">
      <w:r>
        <w:rPr>
          <w:noProof/>
        </w:rPr>
        <w:drawing>
          <wp:inline distT="0" distB="0" distL="0" distR="0" wp14:anchorId="6BAA839E" wp14:editId="765331FA">
            <wp:extent cx="447675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C7" w:rsidRPr="00D22641" w:rsidRDefault="00BC71C7" w:rsidP="00D22641">
      <w:r>
        <w:lastRenderedPageBreak/>
        <w:t xml:space="preserve">В этом тождестве левая часть обозначается </w:t>
      </w:r>
      <w:r>
        <w:rPr>
          <w:rFonts w:ascii="Cambria Math" w:hAnsi="Cambria Math" w:cs="Cambria Math"/>
        </w:rPr>
        <w:t>𝑄</w:t>
      </w:r>
      <w:r w:rsidRPr="00BC71C7">
        <w:rPr>
          <w:vertAlign w:val="superscript"/>
        </w:rPr>
        <w:t>2</w:t>
      </w:r>
      <w:r w:rsidRPr="00BC71C7">
        <w:rPr>
          <w:vertAlign w:val="subscript"/>
        </w:rPr>
        <w:t>общ</w:t>
      </w:r>
      <w:r>
        <w:t xml:space="preserve"> и служит для оценки общего разброса в наблюдаемых данных; первое слагаемое в правой части – </w:t>
      </w:r>
      <w:r>
        <w:rPr>
          <w:rFonts w:ascii="Cambria Math" w:hAnsi="Cambria Math" w:cs="Cambria Math"/>
        </w:rPr>
        <w:t>𝑄</w:t>
      </w:r>
      <w:r w:rsidRPr="00BC71C7">
        <w:rPr>
          <w:rFonts w:ascii="Cambria Math" w:hAnsi="Cambria Math" w:cs="Cambria Math"/>
          <w:vertAlign w:val="superscript"/>
        </w:rPr>
        <w:t>2</w:t>
      </w:r>
      <w:r w:rsidRPr="00BC71C7">
        <w:rPr>
          <w:rFonts w:ascii="Cambria Math" w:hAnsi="Cambria Math" w:cs="Cambria Math"/>
          <w:vertAlign w:val="subscript"/>
        </w:rPr>
        <w:t>𝐹</w:t>
      </w:r>
      <w:r>
        <w:t xml:space="preserve"> – для оценки «факторного» разброса; второе слагаемое в правой части – </w:t>
      </w:r>
      <w:r>
        <w:rPr>
          <w:rFonts w:ascii="Cambria Math" w:hAnsi="Cambria Math" w:cs="Cambria Math"/>
        </w:rPr>
        <w:t>𝑄</w:t>
      </w:r>
      <w:r w:rsidRPr="00BC71C7">
        <w:rPr>
          <w:rFonts w:ascii="Cambria Math" w:hAnsi="Cambria Math" w:cs="Cambria Math"/>
          <w:vertAlign w:val="superscript"/>
        </w:rPr>
        <w:t>2</w:t>
      </w:r>
      <w:r w:rsidRPr="00BC71C7">
        <w:rPr>
          <w:rFonts w:ascii="Cambria Math" w:hAnsi="Cambria Math" w:cs="Cambria Math"/>
          <w:vertAlign w:val="subscript"/>
        </w:rPr>
        <w:t>𝜀</w:t>
      </w:r>
      <w:r>
        <w:t xml:space="preserve"> – для оценки «случайного» разброса в данных.</w:t>
      </w:r>
    </w:p>
    <w:p w:rsidR="003A4B64" w:rsidRDefault="00BC71C7" w:rsidP="00BB0A92">
      <w:r>
        <w:rPr>
          <w:noProof/>
        </w:rPr>
        <w:drawing>
          <wp:inline distT="0" distB="0" distL="0" distR="0" wp14:anchorId="70BCD289" wp14:editId="0739CBDD">
            <wp:extent cx="14287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C7" w:rsidRDefault="00BC71C7" w:rsidP="00BB0A92">
      <w:r>
        <w:t xml:space="preserve">Таким образом, </w:t>
      </w:r>
    </w:p>
    <w:p w:rsidR="00BC71C7" w:rsidRDefault="00BC71C7" w:rsidP="00BB0A92">
      <w:r>
        <w:rPr>
          <w:rFonts w:ascii="Cambria Math" w:hAnsi="Cambria Math" w:cs="Cambria Math"/>
        </w:rPr>
        <w:t>𝑄</w:t>
      </w:r>
      <w:r w:rsidRPr="00BC71C7">
        <w:rPr>
          <w:rFonts w:ascii="Cambria Math" w:hAnsi="Cambria Math" w:cs="Cambria Math"/>
          <w:vertAlign w:val="superscript"/>
        </w:rPr>
        <w:t>2</w:t>
      </w:r>
      <w:r w:rsidRPr="00BC71C7">
        <w:rPr>
          <w:vertAlign w:val="subscript"/>
        </w:rPr>
        <w:t>общ</w:t>
      </w:r>
      <w:r>
        <w:t xml:space="preserve"> – общая или полная сумма квадратов отклонений; </w:t>
      </w:r>
    </w:p>
    <w:p w:rsidR="00BC71C7" w:rsidRDefault="00BC71C7" w:rsidP="00BB0A92">
      <w:r>
        <w:rPr>
          <w:rFonts w:ascii="Cambria Math" w:hAnsi="Cambria Math" w:cs="Cambria Math"/>
        </w:rPr>
        <w:t>𝑄</w:t>
      </w:r>
      <w:r w:rsidRPr="00BC71C7">
        <w:rPr>
          <w:rFonts w:ascii="Cambria Math" w:hAnsi="Cambria Math" w:cs="Cambria Math"/>
          <w:vertAlign w:val="superscript"/>
        </w:rPr>
        <w:t>2</w:t>
      </w:r>
      <w:r w:rsidRPr="00BC71C7">
        <w:rPr>
          <w:rFonts w:ascii="Cambria Math" w:hAnsi="Cambria Math" w:cs="Cambria Math"/>
          <w:vertAlign w:val="subscript"/>
        </w:rPr>
        <w:t>𝐹</w:t>
      </w:r>
      <w:r>
        <w:t xml:space="preserve"> – сумма квадратов отклонений групповых средних от общей средней, или межгрупповая (факторная) сумма квадратов отклонений; </w:t>
      </w:r>
    </w:p>
    <w:p w:rsidR="00BC71C7" w:rsidRDefault="00BC71C7" w:rsidP="00BB0A92">
      <w:r>
        <w:rPr>
          <w:rFonts w:ascii="Cambria Math" w:hAnsi="Cambria Math" w:cs="Cambria Math"/>
        </w:rPr>
        <w:t>𝑄</w:t>
      </w:r>
      <w:r w:rsidRPr="00BC71C7">
        <w:rPr>
          <w:rFonts w:ascii="Cambria Math" w:hAnsi="Cambria Math" w:cs="Cambria Math"/>
          <w:vertAlign w:val="superscript"/>
        </w:rPr>
        <w:t>2</w:t>
      </w:r>
      <w:r w:rsidRPr="00BC71C7">
        <w:rPr>
          <w:rFonts w:ascii="Cambria Math" w:hAnsi="Cambria Math" w:cs="Cambria Math"/>
          <w:vertAlign w:val="subscript"/>
        </w:rPr>
        <w:t>𝜀</w:t>
      </w:r>
      <w:r>
        <w:t xml:space="preserve"> – сумма квадратов отклонений наблюдений от групповых средних, или внутригрупповая (остаточная)сумма квадратов отклонений.</w:t>
      </w:r>
    </w:p>
    <w:p w:rsidR="00BC71C7" w:rsidRDefault="003A7E70" w:rsidP="003A7E70">
      <w:r>
        <w:t>В основном дисперсионном тождестве заключена основная идея дисперсионного анализа. Если поделить обе части равенство на число наблюдений, то получим рассмотренное ранее в теории вероятностей правило сложения дисперсий. В дисперсионном анализе анализируются не сами суммы квадратов отклонений, а так называемые средние квадраты, являющиеся несмещенными оценками соответствующих дисперсий, которые получаются делением сумм квадратов на соответствующее число степеней свободы.</w:t>
      </w:r>
    </w:p>
    <w:p w:rsidR="003A7E70" w:rsidRDefault="003A7E70" w:rsidP="003A7E70">
      <w:r>
        <w:t>Находим дисперсии:</w:t>
      </w:r>
    </w:p>
    <w:p w:rsidR="003A7E70" w:rsidRDefault="003A7E70" w:rsidP="003A7E70">
      <w:pPr>
        <w:pStyle w:val="a6"/>
        <w:numPr>
          <w:ilvl w:val="0"/>
          <w:numId w:val="8"/>
        </w:numPr>
        <w:ind w:left="0" w:firstLine="709"/>
      </w:pPr>
      <w:r>
        <w:t xml:space="preserve">Общая дисперсия </w:t>
      </w:r>
      <w:r>
        <w:rPr>
          <w:noProof/>
        </w:rPr>
        <w:drawing>
          <wp:inline distT="0" distB="0" distL="0" distR="0" wp14:anchorId="5523F6CF" wp14:editId="781E1965">
            <wp:extent cx="1724025" cy="60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70" w:rsidRDefault="003A7E70" w:rsidP="003A7E70">
      <w:pPr>
        <w:pStyle w:val="a6"/>
        <w:numPr>
          <w:ilvl w:val="0"/>
          <w:numId w:val="8"/>
        </w:numPr>
        <w:ind w:left="0" w:firstLine="709"/>
      </w:pPr>
      <w:r>
        <w:t>Межгрупповая дисперсия</w:t>
      </w:r>
      <w:r w:rsidR="000A6596">
        <w:rPr>
          <w:noProof/>
        </w:rPr>
        <w:drawing>
          <wp:inline distT="0" distB="0" distL="0" distR="0" wp14:anchorId="2D563F03" wp14:editId="2217EB6F">
            <wp:extent cx="1524000" cy="56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96" w:rsidRDefault="000A6596" w:rsidP="003A7E70">
      <w:pPr>
        <w:pStyle w:val="a6"/>
        <w:numPr>
          <w:ilvl w:val="0"/>
          <w:numId w:val="8"/>
        </w:numPr>
        <w:ind w:left="0" w:firstLine="709"/>
      </w:pPr>
      <w:r>
        <w:t xml:space="preserve">Внутригрупповая дисперсия </w:t>
      </w:r>
      <w:r>
        <w:rPr>
          <w:noProof/>
        </w:rPr>
        <w:drawing>
          <wp:inline distT="0" distB="0" distL="0" distR="0" wp14:anchorId="29440725" wp14:editId="309ABCDE">
            <wp:extent cx="113347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96" w:rsidRDefault="000A6596" w:rsidP="000A6596"/>
    <w:p w:rsidR="000A6596" w:rsidRDefault="000A6596" w:rsidP="000A6596">
      <w:r>
        <w:t>Упростим формулы выше:</w:t>
      </w:r>
    </w:p>
    <w:p w:rsidR="000A6596" w:rsidRDefault="000A6596" w:rsidP="000A6596">
      <w:pPr>
        <w:pStyle w:val="a6"/>
        <w:numPr>
          <w:ilvl w:val="0"/>
          <w:numId w:val="9"/>
        </w:numPr>
        <w:ind w:left="0" w:firstLine="709"/>
      </w:pPr>
      <w:r>
        <w:rPr>
          <w:noProof/>
        </w:rPr>
        <w:drawing>
          <wp:inline distT="0" distB="0" distL="0" distR="0" wp14:anchorId="54D94040" wp14:editId="08C25D30">
            <wp:extent cx="243840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96" w:rsidRDefault="000A6596" w:rsidP="000A6596">
      <w:pPr>
        <w:pStyle w:val="a6"/>
        <w:numPr>
          <w:ilvl w:val="0"/>
          <w:numId w:val="9"/>
        </w:numPr>
        <w:ind w:left="0" w:firstLine="709"/>
      </w:pPr>
      <w:r>
        <w:rPr>
          <w:noProof/>
        </w:rPr>
        <w:lastRenderedPageBreak/>
        <w:drawing>
          <wp:inline distT="0" distB="0" distL="0" distR="0" wp14:anchorId="187C3A18" wp14:editId="3A8A2B0B">
            <wp:extent cx="2714625" cy="495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96" w:rsidRDefault="000A6596" w:rsidP="000A6596">
      <w:pPr>
        <w:pStyle w:val="a6"/>
        <w:numPr>
          <w:ilvl w:val="0"/>
          <w:numId w:val="9"/>
        </w:numPr>
        <w:ind w:left="0" w:firstLine="709"/>
      </w:pPr>
      <w:r>
        <w:rPr>
          <w:noProof/>
        </w:rPr>
        <w:drawing>
          <wp:inline distT="0" distB="0" distL="0" distR="0" wp14:anchorId="0A49B8D3" wp14:editId="311B2D76">
            <wp:extent cx="22574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96" w:rsidRDefault="000A6596" w:rsidP="000A6596"/>
    <w:p w:rsidR="000A6596" w:rsidRDefault="000A6596" w:rsidP="000A6596">
      <w:r>
        <w:t>Для упрощения вычислений по этим формулам находим следующие суммы:</w:t>
      </w:r>
    </w:p>
    <w:p w:rsidR="000A6596" w:rsidRDefault="000A6596" w:rsidP="000A6596">
      <w:pPr>
        <w:pStyle w:val="a6"/>
        <w:numPr>
          <w:ilvl w:val="0"/>
          <w:numId w:val="10"/>
        </w:numPr>
        <w:ind w:left="0" w:firstLine="709"/>
      </w:pPr>
      <w:r>
        <w:rPr>
          <w:noProof/>
        </w:rPr>
        <w:drawing>
          <wp:inline distT="0" distB="0" distL="0" distR="0" wp14:anchorId="3D5CF677" wp14:editId="7B90BBD2">
            <wp:extent cx="819150" cy="657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96" w:rsidRDefault="000A6596" w:rsidP="000A6596">
      <w:pPr>
        <w:pStyle w:val="a6"/>
        <w:numPr>
          <w:ilvl w:val="0"/>
          <w:numId w:val="10"/>
        </w:numPr>
        <w:ind w:left="0" w:firstLine="709"/>
      </w:pPr>
      <w:r>
        <w:rPr>
          <w:noProof/>
        </w:rPr>
        <w:drawing>
          <wp:inline distT="0" distB="0" distL="0" distR="0" wp14:anchorId="23EED8DA" wp14:editId="524DAACE">
            <wp:extent cx="647700" cy="561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96" w:rsidRDefault="000A6596" w:rsidP="000A6596">
      <w:pPr>
        <w:pStyle w:val="a6"/>
        <w:numPr>
          <w:ilvl w:val="0"/>
          <w:numId w:val="10"/>
        </w:numPr>
        <w:ind w:left="0" w:firstLine="709"/>
      </w:pPr>
      <w:r>
        <w:rPr>
          <w:noProof/>
        </w:rPr>
        <w:drawing>
          <wp:inline distT="0" distB="0" distL="0" distR="0" wp14:anchorId="562F358D" wp14:editId="2DE11CB8">
            <wp:extent cx="1028700" cy="695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96" w:rsidRDefault="000A6596" w:rsidP="000A6596"/>
    <w:p w:rsidR="000A6596" w:rsidRDefault="000A6596" w:rsidP="000A6596">
      <w:r>
        <w:t>Вычисление данных сумм на рисунке 2.2.1</w:t>
      </w:r>
    </w:p>
    <w:p w:rsidR="000A6596" w:rsidRDefault="000A6596" w:rsidP="000A6596">
      <w:r>
        <w:rPr>
          <w:noProof/>
        </w:rPr>
        <w:drawing>
          <wp:inline distT="0" distB="0" distL="0" distR="0" wp14:anchorId="5B7F8183" wp14:editId="44717CCD">
            <wp:extent cx="1857375" cy="2200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96" w:rsidRDefault="000A6596" w:rsidP="000A6596">
      <w:pPr>
        <w:rPr>
          <w:sz w:val="24"/>
        </w:rPr>
      </w:pPr>
      <w:r>
        <w:rPr>
          <w:sz w:val="24"/>
        </w:rPr>
        <w:t>Рисунок 2.2.1 – Вычисление сумм</w:t>
      </w:r>
    </w:p>
    <w:p w:rsidR="000A6596" w:rsidRDefault="00CC79F0" w:rsidP="000A6596">
      <w:r>
        <w:t>По этим суммам вычисляем компоненты дисперсии</w:t>
      </w:r>
    </w:p>
    <w:p w:rsidR="00CC79F0" w:rsidRDefault="00CC79F0" w:rsidP="000A6596">
      <w:pPr>
        <w:rPr>
          <w:sz w:val="24"/>
        </w:rPr>
      </w:pPr>
      <w:r>
        <w:rPr>
          <w:sz w:val="24"/>
        </w:rPr>
        <w:t>Таблица 2.2.2 – Компоненты дисперсии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2400"/>
        <w:gridCol w:w="2400"/>
      </w:tblGrid>
      <w:tr w:rsidR="00CC79F0" w:rsidRPr="00CC79F0" w:rsidTr="00CC79F0">
        <w:trPr>
          <w:trHeight w:val="300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F0" w:rsidRPr="00CC79F0" w:rsidRDefault="00CC79F0" w:rsidP="00CC79F0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  <w:r w:rsidRPr="00CC79F0">
              <w:rPr>
                <w:rFonts w:ascii="Calibri" w:hAnsi="Calibri" w:cs="Calibri"/>
                <w:sz w:val="22"/>
              </w:rPr>
              <w:t>Компоненты дисперсии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F0" w:rsidRPr="00CC79F0" w:rsidRDefault="00CC79F0" w:rsidP="00CC79F0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CC79F0">
              <w:rPr>
                <w:rFonts w:ascii="Calibri" w:hAnsi="Calibri" w:cs="Calibri"/>
                <w:sz w:val="22"/>
              </w:rPr>
              <w:t>Сумма квадратов</w:t>
            </w:r>
          </w:p>
        </w:tc>
      </w:tr>
      <w:tr w:rsidR="00CC79F0" w:rsidRPr="00CC79F0" w:rsidTr="00CC79F0">
        <w:trPr>
          <w:trHeight w:val="300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9F0" w:rsidRPr="00CC79F0" w:rsidRDefault="00CC79F0" w:rsidP="00CC79F0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9F0" w:rsidRPr="00CC79F0" w:rsidRDefault="00CC79F0" w:rsidP="00CC79F0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CC79F0" w:rsidRPr="00CC79F0" w:rsidTr="00CC79F0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9F0" w:rsidRPr="00CC79F0" w:rsidRDefault="00CC79F0" w:rsidP="00CC79F0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CC79F0">
              <w:rPr>
                <w:rFonts w:ascii="Calibri" w:hAnsi="Calibri" w:cs="Calibri"/>
                <w:sz w:val="22"/>
              </w:rPr>
              <w:t>Общая(T)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79F0" w:rsidRPr="00CC79F0" w:rsidRDefault="00CC79F0" w:rsidP="00CC79F0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CC79F0">
              <w:rPr>
                <w:rFonts w:ascii="Calibri" w:hAnsi="Calibri" w:cs="Calibri"/>
                <w:sz w:val="22"/>
              </w:rPr>
              <w:t>396,5</w:t>
            </w:r>
          </w:p>
        </w:tc>
      </w:tr>
      <w:tr w:rsidR="00CC79F0" w:rsidRPr="00CC79F0" w:rsidTr="00CC79F0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9F0" w:rsidRPr="00CC79F0" w:rsidRDefault="00CC79F0" w:rsidP="00CC79F0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CC79F0">
              <w:rPr>
                <w:rFonts w:ascii="Calibri" w:hAnsi="Calibri" w:cs="Calibri"/>
                <w:sz w:val="22"/>
              </w:rPr>
              <w:t>Межгрупповая(F)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9F0" w:rsidRPr="00CC79F0" w:rsidRDefault="00CC79F0" w:rsidP="00CC79F0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CC79F0">
              <w:rPr>
                <w:rFonts w:ascii="Calibri" w:hAnsi="Calibri" w:cs="Calibri"/>
                <w:sz w:val="22"/>
              </w:rPr>
              <w:t>54,16666667</w:t>
            </w:r>
          </w:p>
        </w:tc>
      </w:tr>
      <w:tr w:rsidR="00CC79F0" w:rsidRPr="00CC79F0" w:rsidTr="00CC79F0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9F0" w:rsidRPr="00CC79F0" w:rsidRDefault="00CC79F0" w:rsidP="00CC79F0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CC79F0">
              <w:rPr>
                <w:rFonts w:ascii="Calibri" w:hAnsi="Calibri" w:cs="Calibri"/>
                <w:sz w:val="22"/>
              </w:rPr>
              <w:t>Внутригрупповая(R)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9F0" w:rsidRPr="00CC79F0" w:rsidRDefault="00CC79F0" w:rsidP="00CC79F0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CC79F0">
              <w:rPr>
                <w:rFonts w:ascii="Calibri" w:hAnsi="Calibri" w:cs="Calibri"/>
                <w:sz w:val="22"/>
              </w:rPr>
              <w:t>342,3333333</w:t>
            </w:r>
          </w:p>
        </w:tc>
      </w:tr>
    </w:tbl>
    <w:p w:rsidR="00CC79F0" w:rsidRDefault="00CC79F0" w:rsidP="000A6596">
      <w:r>
        <w:lastRenderedPageBreak/>
        <w:t xml:space="preserve">Напомним определение. Число степеней свободы определяется как общее число наблюдений минус число связывающих их уравнений. Поэтому для среднего квадрата </w:t>
      </w:r>
      <w:r>
        <w:rPr>
          <w:rFonts w:ascii="Cambria Math" w:hAnsi="Cambria Math" w:cs="Cambria Math"/>
        </w:rPr>
        <w:t>𝑆</w:t>
      </w:r>
      <w:r w:rsidRPr="00CC79F0">
        <w:rPr>
          <w:rFonts w:ascii="Cambria Math" w:hAnsi="Cambria Math" w:cs="Cambria Math"/>
          <w:vertAlign w:val="superscript"/>
        </w:rPr>
        <w:t>2</w:t>
      </w:r>
      <w:r w:rsidRPr="00CC79F0">
        <w:rPr>
          <w:rFonts w:ascii="Cambria Math" w:hAnsi="Cambria Math" w:cs="Cambria Math"/>
          <w:vertAlign w:val="subscript"/>
        </w:rPr>
        <w:t>𝐹</w:t>
      </w:r>
      <w:r>
        <w:t xml:space="preserve">, являющегося несмещенной оценкой межгрупповой дисперсии, число степеней свободы </w:t>
      </w:r>
      <w:r>
        <w:rPr>
          <w:rFonts w:ascii="Cambria Math" w:hAnsi="Cambria Math" w:cs="Cambria Math"/>
        </w:rPr>
        <w:t>𝑟</w:t>
      </w:r>
      <w:r>
        <w:t xml:space="preserve"> − 1, так как при его расчете имеется r групповых средних, связанных между собой одним (1) уравнением (формула для расчета групповых средних </w:t>
      </w:r>
      <w:r>
        <w:rPr>
          <w:rFonts w:ascii="Cambria Math" w:hAnsi="Cambria Math" w:cs="Cambria Math"/>
        </w:rPr>
        <w:t>𝑥</w:t>
      </w:r>
      <w:r>
        <w:t>̅</w:t>
      </w:r>
      <w:r w:rsidRPr="00CC79F0">
        <w:rPr>
          <w:rFonts w:ascii="Cambria Math" w:hAnsi="Cambria Math" w:cs="Cambria Math"/>
          <w:vertAlign w:val="subscript"/>
        </w:rPr>
        <w:t>𝑖</w:t>
      </w:r>
      <w:r>
        <w:t xml:space="preserve"> = 1 </w:t>
      </w:r>
      <w:r>
        <w:rPr>
          <w:rFonts w:ascii="Cambria Math" w:hAnsi="Cambria Math" w:cs="Cambria Math"/>
        </w:rPr>
        <w:t>𝑘</w:t>
      </w:r>
      <w:r w:rsidRPr="00CC79F0">
        <w:rPr>
          <w:rFonts w:ascii="Cambria Math" w:hAnsi="Cambria Math" w:cs="Cambria Math"/>
          <w:vertAlign w:val="subscript"/>
        </w:rPr>
        <w:t>𝑖</w:t>
      </w:r>
      <w:r>
        <w:t xml:space="preserve"> ∑ </w:t>
      </w:r>
      <w:r w:rsidRPr="00CC79F0">
        <w:rPr>
          <w:rFonts w:ascii="Cambria Math" w:hAnsi="Cambria Math" w:cs="Cambria Math"/>
          <w:vertAlign w:val="superscript"/>
        </w:rPr>
        <w:t>𝑘𝑖</w:t>
      </w:r>
      <w:bookmarkStart w:id="4" w:name="_Hlk68557312"/>
      <w:r w:rsidRPr="00CC79F0">
        <w:rPr>
          <w:rFonts w:ascii="Cambria Math" w:hAnsi="Cambria Math" w:cs="Cambria Math"/>
        </w:rPr>
        <w:t xml:space="preserve"> </w:t>
      </w:r>
      <w:r w:rsidRPr="00CC79F0">
        <w:rPr>
          <w:rFonts w:ascii="Cambria Math" w:hAnsi="Cambria Math" w:cs="Cambria Math"/>
          <w:vertAlign w:val="subscript"/>
        </w:rPr>
        <w:t>𝑗</w:t>
      </w:r>
      <w:r w:rsidRPr="00CC79F0">
        <w:rPr>
          <w:vertAlign w:val="subscript"/>
        </w:rPr>
        <w:t>=1</w:t>
      </w:r>
      <w:bookmarkEnd w:id="4"/>
      <w:r>
        <w:rPr>
          <w:rFonts w:ascii="Cambria Math" w:hAnsi="Cambria Math" w:cs="Cambria Math"/>
        </w:rPr>
        <w:t xml:space="preserve"> 𝑥</w:t>
      </w:r>
      <w:r w:rsidRPr="00CC79F0">
        <w:rPr>
          <w:rFonts w:ascii="Cambria Math" w:hAnsi="Cambria Math" w:cs="Cambria Math"/>
          <w:vertAlign w:val="subscript"/>
        </w:rPr>
        <w:t>𝑖𝑗</w:t>
      </w:r>
      <w:r>
        <w:t xml:space="preserve">). А для среднего квадрата </w:t>
      </w:r>
      <w:r>
        <w:rPr>
          <w:rFonts w:ascii="Cambria Math" w:hAnsi="Cambria Math" w:cs="Cambria Math"/>
        </w:rPr>
        <w:t>𝑆</w:t>
      </w:r>
      <w:r w:rsidRPr="00CC79F0">
        <w:rPr>
          <w:rFonts w:ascii="Cambria Math" w:hAnsi="Cambria Math" w:cs="Cambria Math"/>
          <w:vertAlign w:val="superscript"/>
        </w:rPr>
        <w:t>2</w:t>
      </w:r>
      <w:r w:rsidRPr="00CC79F0">
        <w:rPr>
          <w:rFonts w:ascii="Cambria Math" w:hAnsi="Cambria Math" w:cs="Cambria Math"/>
          <w:vertAlign w:val="subscript"/>
        </w:rPr>
        <w:t>𝑅</w:t>
      </w:r>
      <w:r>
        <w:t xml:space="preserve">, являющегося несмещенной оценкой внутригрупповой дисперсии, число степеней свободы </w:t>
      </w:r>
      <w:r>
        <w:rPr>
          <w:rFonts w:ascii="Cambria Math" w:hAnsi="Cambria Math" w:cs="Cambria Math"/>
        </w:rPr>
        <w:t>𝑛</w:t>
      </w:r>
      <w:r>
        <w:t xml:space="preserve"> − </w:t>
      </w:r>
      <w:r>
        <w:rPr>
          <w:rFonts w:ascii="Cambria Math" w:hAnsi="Cambria Math" w:cs="Cambria Math"/>
        </w:rPr>
        <w:t>𝑟</w:t>
      </w:r>
      <w:r>
        <w:t xml:space="preserve">, так как при расчете имеется n наблюдений связаны между собой уравнениями </w:t>
      </w:r>
      <w:r>
        <w:rPr>
          <w:noProof/>
        </w:rPr>
        <w:drawing>
          <wp:inline distT="0" distB="0" distL="0" distR="0" wp14:anchorId="5DDB928D" wp14:editId="27575E86">
            <wp:extent cx="771525" cy="400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:rsidR="00CC79F0" w:rsidRDefault="00CC79F0" w:rsidP="000A6596">
      <w:pPr>
        <w:rPr>
          <w:noProof/>
        </w:rPr>
      </w:pPr>
      <w:r>
        <w:t>Таким образом, могут быть найдены несмещенные оценки межгрупповой и внутригрупповой дисперсий:</w:t>
      </w:r>
      <w:r w:rsidRPr="00CC79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B86B6B" wp14:editId="69B63192">
            <wp:extent cx="1695450" cy="419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:rsidR="00CC79F0" w:rsidRDefault="00CC79F0" w:rsidP="000A6596">
      <w:r w:rsidRPr="00CC79F0">
        <w:t>В данном</w:t>
      </w:r>
      <w:r>
        <w:t xml:space="preserve"> случае оценки равны 10,8 и 17,1 соответственно.</w:t>
      </w:r>
    </w:p>
    <w:p w:rsidR="00CC79F0" w:rsidRPr="004221C5" w:rsidRDefault="00CC79F0" w:rsidP="00CC79F0">
      <w:pPr>
        <w:ind w:firstLine="708"/>
      </w:pPr>
      <w:r w:rsidRPr="004221C5">
        <w:t xml:space="preserve">Находим </w:t>
      </w:r>
      <w:proofErr w:type="spellStart"/>
      <w:r w:rsidRPr="004221C5">
        <w:t>F</w:t>
      </w:r>
      <w:r w:rsidRPr="004221C5">
        <w:rPr>
          <w:vertAlign w:val="subscript"/>
        </w:rPr>
        <w:t>набл</w:t>
      </w:r>
      <w:proofErr w:type="spellEnd"/>
      <w:r w:rsidRPr="004221C5">
        <w:t xml:space="preserve"> по формуле</w:t>
      </w:r>
      <w:r>
        <w:t xml:space="preserve"> (с помощью </w:t>
      </w:r>
      <w:r w:rsidRPr="00385220">
        <w:rPr>
          <w:szCs w:val="28"/>
        </w:rPr>
        <w:t xml:space="preserve">функции </w:t>
      </w:r>
      <w:proofErr w:type="spellStart"/>
      <w:r w:rsidRPr="00385220">
        <w:rPr>
          <w:szCs w:val="28"/>
        </w:rPr>
        <w:t>excel</w:t>
      </w:r>
      <w:proofErr w:type="spellEnd"/>
      <w:r>
        <w:t xml:space="preserve"> </w:t>
      </w:r>
      <w:r w:rsidRPr="0098614A">
        <w:t>F.ОБР.ПХ</w:t>
      </w:r>
      <w:r>
        <w:t>)</w:t>
      </w:r>
      <w:r w:rsidRPr="004221C5">
        <w:t xml:space="preserve">: </w:t>
      </w:r>
    </w:p>
    <w:p w:rsidR="00CC79F0" w:rsidRDefault="00CC79F0" w:rsidP="000A6596">
      <w:r>
        <w:rPr>
          <w:noProof/>
        </w:rPr>
        <w:drawing>
          <wp:inline distT="0" distB="0" distL="0" distR="0" wp14:anchorId="53F7B190" wp14:editId="0A674980">
            <wp:extent cx="847725" cy="428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F0" w:rsidRDefault="00CC79F0" w:rsidP="000A6596">
      <w:r>
        <w:t>Получилось значение равное 0,63.</w:t>
      </w:r>
    </w:p>
    <w:p w:rsidR="007A126F" w:rsidRPr="007A126F" w:rsidRDefault="00CC79F0" w:rsidP="000A6596">
      <w:r>
        <w:t>Находим границу критической области</w:t>
      </w:r>
      <w:r w:rsidR="007A126F">
        <w:t xml:space="preserve"> по параметрам α, </w:t>
      </w:r>
      <w:r w:rsidR="007A126F">
        <w:rPr>
          <w:lang w:val="en-US"/>
        </w:rPr>
        <w:t>r</w:t>
      </w:r>
      <w:r w:rsidR="007A126F" w:rsidRPr="007A126F">
        <w:t xml:space="preserve">-1, </w:t>
      </w:r>
      <w:r w:rsidR="007A126F">
        <w:rPr>
          <w:lang w:val="en-US"/>
        </w:rPr>
        <w:t>n</w:t>
      </w:r>
      <w:r w:rsidR="007A126F" w:rsidRPr="007A126F">
        <w:t>-</w:t>
      </w:r>
      <w:r w:rsidR="007A126F">
        <w:rPr>
          <w:lang w:val="en-US"/>
        </w:rPr>
        <w:t>r</w:t>
      </w:r>
    </w:p>
    <w:p w:rsidR="007A126F" w:rsidRDefault="007A126F" w:rsidP="000A6596">
      <w:r>
        <w:rPr>
          <w:noProof/>
        </w:rPr>
        <w:drawing>
          <wp:inline distT="0" distB="0" distL="0" distR="0" wp14:anchorId="44A1A2EF" wp14:editId="5FDD8AFD">
            <wp:extent cx="1466850" cy="295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F0" w:rsidRDefault="00CC79F0" w:rsidP="000A6596">
      <w:r>
        <w:t xml:space="preserve"> </w:t>
      </w:r>
      <w:r w:rsidR="007A126F">
        <w:t xml:space="preserve">Получаем значение равное </w:t>
      </w:r>
      <w:r>
        <w:t>4,1</w:t>
      </w:r>
      <w:r w:rsidR="007A126F">
        <w:t>.</w:t>
      </w:r>
    </w:p>
    <w:p w:rsidR="007A126F" w:rsidRDefault="007A126F" w:rsidP="007A126F">
      <w:r w:rsidRPr="00087C4D">
        <w:t xml:space="preserve">Вывод: так как </w:t>
      </w:r>
      <w:proofErr w:type="spellStart"/>
      <w:r w:rsidRPr="00087C4D">
        <w:t>F</w:t>
      </w:r>
      <w:r w:rsidRPr="00087C4D">
        <w:rPr>
          <w:vertAlign w:val="subscript"/>
        </w:rPr>
        <w:t>набл</w:t>
      </w:r>
      <w:proofErr w:type="spellEnd"/>
      <w:r w:rsidRPr="00087C4D">
        <w:t xml:space="preserve"> </w:t>
      </w:r>
      <w:proofErr w:type="gramStart"/>
      <w:r w:rsidRPr="00087C4D">
        <w:t xml:space="preserve">&lt; </w:t>
      </w:r>
      <w:proofErr w:type="spellStart"/>
      <w:r w:rsidRPr="00087C4D">
        <w:t>F</w:t>
      </w:r>
      <w:proofErr w:type="gramEnd"/>
      <w:r w:rsidRPr="00087C4D">
        <w:rPr>
          <w:vertAlign w:val="subscript"/>
        </w:rPr>
        <w:t>крит</w:t>
      </w:r>
      <w:proofErr w:type="spellEnd"/>
      <w:r w:rsidRPr="00087C4D">
        <w:t>, то нет оснований</w:t>
      </w:r>
      <w:r>
        <w:t xml:space="preserve"> отвергать основную гипотезу, </w:t>
      </w:r>
      <w:bookmarkStart w:id="5" w:name="_Hlk68560347"/>
      <w:r>
        <w:t xml:space="preserve">следовательно </w:t>
      </w:r>
      <w:bookmarkStart w:id="6" w:name="_Hlk68597143"/>
      <w:r w:rsidR="00E111D7">
        <w:t>класс персонажа</w:t>
      </w:r>
      <w:bookmarkEnd w:id="6"/>
      <w:r w:rsidR="00EE794D">
        <w:t xml:space="preserve"> не</w:t>
      </w:r>
      <w:r>
        <w:t xml:space="preserve"> влияет </w:t>
      </w:r>
      <w:r w:rsidR="00EE794D">
        <w:t xml:space="preserve">существенно </w:t>
      </w:r>
      <w:r>
        <w:t>на скорость прохождения подземелья</w:t>
      </w:r>
      <w:bookmarkEnd w:id="5"/>
      <w:r w:rsidRPr="00087C4D">
        <w:t>.</w:t>
      </w:r>
    </w:p>
    <w:p w:rsidR="007A126F" w:rsidRDefault="007A126F" w:rsidP="000A6596"/>
    <w:p w:rsidR="00416BF1" w:rsidRDefault="00416BF1">
      <w:pPr>
        <w:spacing w:after="160" w:line="259" w:lineRule="auto"/>
        <w:ind w:firstLine="0"/>
        <w:jc w:val="left"/>
      </w:pPr>
      <w:r>
        <w:br w:type="page"/>
      </w:r>
    </w:p>
    <w:p w:rsidR="00416BF1" w:rsidRDefault="00416BF1" w:rsidP="00416BF1">
      <w:pPr>
        <w:pStyle w:val="1"/>
      </w:pPr>
      <w:r>
        <w:lastRenderedPageBreak/>
        <w:t xml:space="preserve">Критерий </w:t>
      </w:r>
      <w:proofErr w:type="spellStart"/>
      <w:r>
        <w:t>Крускала-Уоллиса</w:t>
      </w:r>
      <w:proofErr w:type="spellEnd"/>
    </w:p>
    <w:p w:rsidR="00416BF1" w:rsidRPr="00416BF1" w:rsidRDefault="00416BF1" w:rsidP="00416BF1"/>
    <w:p w:rsidR="00416BF1" w:rsidRDefault="00416BF1" w:rsidP="00416BF1">
      <w:pPr>
        <w:pStyle w:val="2"/>
      </w:pPr>
      <w:r>
        <w:t>Теория</w:t>
      </w:r>
    </w:p>
    <w:p w:rsidR="00416BF1" w:rsidRDefault="00416BF1" w:rsidP="00416BF1"/>
    <w:p w:rsidR="00416BF1" w:rsidRDefault="00416BF1" w:rsidP="00416BF1">
      <w:r>
        <w:t xml:space="preserve">Классическая схема однофакторного дисперсионного анализа требует </w:t>
      </w:r>
    </w:p>
    <w:p w:rsidR="00416BF1" w:rsidRDefault="00416BF1" w:rsidP="00416BF1">
      <w:pPr>
        <w:pStyle w:val="a6"/>
        <w:numPr>
          <w:ilvl w:val="0"/>
          <w:numId w:val="12"/>
        </w:numPr>
        <w:ind w:left="0" w:firstLine="709"/>
      </w:pPr>
      <w:r>
        <w:t xml:space="preserve">нормальности распределения исследуемого признака; </w:t>
      </w:r>
    </w:p>
    <w:p w:rsidR="00416BF1" w:rsidRDefault="00416BF1" w:rsidP="00416BF1">
      <w:pPr>
        <w:pStyle w:val="a6"/>
        <w:numPr>
          <w:ilvl w:val="0"/>
          <w:numId w:val="12"/>
        </w:numPr>
        <w:ind w:left="0" w:firstLine="709"/>
      </w:pPr>
      <w:r>
        <w:t xml:space="preserve">нормальности распределения ошибок наблюдений. </w:t>
      </w:r>
    </w:p>
    <w:p w:rsidR="00416BF1" w:rsidRDefault="00416BF1" w:rsidP="00416BF1">
      <w:r>
        <w:t xml:space="preserve">Если эти условия не выполняются, то для решения задачи о равенстве средних более предпочтительными являются непараметрические методы. </w:t>
      </w:r>
    </w:p>
    <w:p w:rsidR="00416BF1" w:rsidRDefault="00416BF1" w:rsidP="00416BF1">
      <w:r>
        <w:t xml:space="preserve">Критерий </w:t>
      </w:r>
      <w:proofErr w:type="spellStart"/>
      <w:r>
        <w:t>Крускала</w:t>
      </w:r>
      <w:proofErr w:type="spellEnd"/>
      <w:r>
        <w:t xml:space="preserve"> – </w:t>
      </w:r>
      <w:proofErr w:type="spellStart"/>
      <w:r>
        <w:t>Уоллиса</w:t>
      </w:r>
      <w:proofErr w:type="spellEnd"/>
      <w:r>
        <w:t xml:space="preserve"> позволяет проверить гипотезу о равенстве средних с минимальными требованиями к выборочным данным.</w:t>
      </w:r>
    </w:p>
    <w:p w:rsidR="00416BF1" w:rsidRDefault="00416BF1" w:rsidP="00416BF1">
      <w:r>
        <w:t xml:space="preserve">Предполагается, что ошибки наблюдений </w:t>
      </w:r>
      <w:r>
        <w:rPr>
          <w:rFonts w:ascii="Cambria Math" w:hAnsi="Cambria Math" w:cs="Cambria Math"/>
        </w:rPr>
        <w:t>𝜀</w:t>
      </w:r>
      <w:r w:rsidRPr="00416BF1">
        <w:rPr>
          <w:rFonts w:ascii="Cambria Math" w:hAnsi="Cambria Math" w:cs="Cambria Math"/>
          <w:vertAlign w:val="subscript"/>
        </w:rPr>
        <w:t>𝑖𝑗</w:t>
      </w:r>
      <w:r>
        <w:t xml:space="preserve"> </w:t>
      </w:r>
    </w:p>
    <w:p w:rsidR="00416BF1" w:rsidRDefault="00416BF1" w:rsidP="00416BF1">
      <w:pPr>
        <w:pStyle w:val="a6"/>
        <w:numPr>
          <w:ilvl w:val="0"/>
          <w:numId w:val="12"/>
        </w:numPr>
        <w:ind w:left="0" w:firstLine="993"/>
      </w:pPr>
      <w:r>
        <w:t xml:space="preserve">независимы; </w:t>
      </w:r>
    </w:p>
    <w:p w:rsidR="00416BF1" w:rsidRDefault="00416BF1" w:rsidP="00416BF1">
      <w:pPr>
        <w:pStyle w:val="a6"/>
        <w:numPr>
          <w:ilvl w:val="0"/>
          <w:numId w:val="12"/>
        </w:numPr>
        <w:ind w:left="0" w:firstLine="993"/>
      </w:pPr>
      <w:r>
        <w:t>имеют непрерывное распределение.</w:t>
      </w:r>
    </w:p>
    <w:p w:rsidR="00416BF1" w:rsidRDefault="00416BF1" w:rsidP="00416BF1"/>
    <w:p w:rsidR="00416BF1" w:rsidRDefault="00416BF1" w:rsidP="00416BF1">
      <w:r>
        <w:t>Алгоритм проверки основной гипотезы H</w:t>
      </w:r>
      <w:r w:rsidRPr="00E111D7">
        <w:rPr>
          <w:vertAlign w:val="subscript"/>
        </w:rPr>
        <w:t>0</w:t>
      </w:r>
      <w:r>
        <w:t xml:space="preserve"> о равенстве средних </w:t>
      </w:r>
    </w:p>
    <w:p w:rsidR="00416BF1" w:rsidRDefault="00416BF1" w:rsidP="00416BF1">
      <w:pPr>
        <w:pStyle w:val="a6"/>
        <w:numPr>
          <w:ilvl w:val="0"/>
          <w:numId w:val="14"/>
        </w:numPr>
        <w:ind w:left="0" w:firstLine="709"/>
      </w:pPr>
      <w:r>
        <w:t xml:space="preserve">Выборочные значения </w:t>
      </w:r>
      <w:r w:rsidRPr="00416BF1">
        <w:rPr>
          <w:rFonts w:ascii="Cambria Math" w:hAnsi="Cambria Math" w:cs="Cambria Math"/>
        </w:rPr>
        <w:t>𝑥</w:t>
      </w:r>
      <w:r w:rsidRPr="00416BF1">
        <w:rPr>
          <w:rFonts w:ascii="Cambria Math" w:hAnsi="Cambria Math" w:cs="Cambria Math"/>
          <w:vertAlign w:val="subscript"/>
        </w:rPr>
        <w:t>𝑖𝑗</w:t>
      </w:r>
      <w:r>
        <w:t xml:space="preserve"> заменяют их рангами </w:t>
      </w:r>
      <w:r w:rsidRPr="00416BF1">
        <w:rPr>
          <w:rFonts w:ascii="Cambria Math" w:hAnsi="Cambria Math" w:cs="Cambria Math"/>
        </w:rPr>
        <w:t>𝑥</w:t>
      </w:r>
      <w:r w:rsidRPr="00416BF1">
        <w:rPr>
          <w:rFonts w:ascii="Cambria Math" w:hAnsi="Cambria Math" w:cs="Cambria Math"/>
          <w:vertAlign w:val="subscript"/>
        </w:rPr>
        <w:t>𝑖𝑗</w:t>
      </w:r>
      <w:r>
        <w:t>′. Напомним, что</w:t>
      </w:r>
      <w:r w:rsidRPr="00416BF1">
        <w:t xml:space="preserve"> </w:t>
      </w:r>
      <w:r>
        <w:t>ранг – это число, соответствующее порядковому номеру наблюдаемого значения в выборке.</w:t>
      </w:r>
    </w:p>
    <w:p w:rsidR="00416BF1" w:rsidRDefault="00416BF1" w:rsidP="00416BF1">
      <w:pPr>
        <w:pStyle w:val="a6"/>
        <w:numPr>
          <w:ilvl w:val="0"/>
          <w:numId w:val="14"/>
        </w:numPr>
        <w:ind w:left="0" w:firstLine="709"/>
      </w:pPr>
      <w:r>
        <w:t xml:space="preserve">Для каждого уровня вычисляется средний ранг </w:t>
      </w:r>
      <w:r>
        <w:rPr>
          <w:noProof/>
        </w:rPr>
        <w:drawing>
          <wp:inline distT="0" distB="0" distL="0" distR="0" wp14:anchorId="5F6A4C57" wp14:editId="68440D7C">
            <wp:extent cx="1924050" cy="419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BF1">
        <w:t xml:space="preserve"> </w:t>
      </w:r>
      <w:r>
        <w:t>и сравнивается с общим средним рангом, который в предположении справедливости гипотезы H</w:t>
      </w:r>
      <w:r w:rsidRPr="00416BF1">
        <w:rPr>
          <w:vertAlign w:val="subscript"/>
        </w:rPr>
        <w:t>0</w:t>
      </w:r>
      <w:r>
        <w:t xml:space="preserve">, равен </w:t>
      </w:r>
      <w:r>
        <w:rPr>
          <w:noProof/>
        </w:rPr>
        <w:drawing>
          <wp:inline distT="0" distB="0" distL="0" distR="0" wp14:anchorId="2F62B893" wp14:editId="4B1585C4">
            <wp:extent cx="619125" cy="352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416BF1" w:rsidRDefault="00416BF1" w:rsidP="00416BF1">
      <w:pPr>
        <w:pStyle w:val="a6"/>
        <w:numPr>
          <w:ilvl w:val="0"/>
          <w:numId w:val="14"/>
        </w:numPr>
        <w:ind w:left="0" w:firstLine="709"/>
      </w:pPr>
      <w:r>
        <w:t xml:space="preserve">Средний ранг сравниваем с общим средним рангом </w:t>
      </w:r>
      <w:r>
        <w:rPr>
          <w:noProof/>
        </w:rPr>
        <w:drawing>
          <wp:inline distT="0" distB="0" distL="0" distR="0" wp14:anchorId="5E9BB083" wp14:editId="54670975">
            <wp:extent cx="1466850" cy="304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F1" w:rsidRDefault="00416BF1" w:rsidP="00416BF1">
      <w:pPr>
        <w:pStyle w:val="a6"/>
        <w:numPr>
          <w:ilvl w:val="0"/>
          <w:numId w:val="14"/>
        </w:numPr>
        <w:ind w:left="0" w:firstLine="709"/>
      </w:pPr>
      <w:r>
        <w:lastRenderedPageBreak/>
        <w:t xml:space="preserve">Для сравнения используется статистика </w:t>
      </w:r>
      <w:proofErr w:type="spellStart"/>
      <w:r>
        <w:t>Крускала</w:t>
      </w:r>
      <w:proofErr w:type="spellEnd"/>
      <w:r>
        <w:t>–</w:t>
      </w:r>
      <w:proofErr w:type="spellStart"/>
      <w:r>
        <w:t>Уоллиса</w:t>
      </w:r>
      <w:proofErr w:type="spellEnd"/>
      <w:r>
        <w:t xml:space="preserve">, критические точки которой приведены в таблице. </w:t>
      </w:r>
      <w:r>
        <w:br/>
      </w:r>
      <w:r>
        <w:rPr>
          <w:noProof/>
        </w:rPr>
        <w:drawing>
          <wp:inline distT="0" distB="0" distL="0" distR="0" wp14:anchorId="7152B29C" wp14:editId="1C5AF689">
            <wp:extent cx="2790825" cy="11239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F1" w:rsidRDefault="00416BF1" w:rsidP="00416BF1">
      <w:r>
        <w:t>Критическая область в данной задаче тоже является правосторонней.</w:t>
      </w:r>
    </w:p>
    <w:p w:rsidR="00416BF1" w:rsidRDefault="00416BF1" w:rsidP="00416BF1"/>
    <w:p w:rsidR="00416BF1" w:rsidRDefault="00416BF1" w:rsidP="00416BF1">
      <w:pPr>
        <w:pStyle w:val="2"/>
      </w:pPr>
      <w:r>
        <w:t>Решение</w:t>
      </w:r>
    </w:p>
    <w:p w:rsidR="00416BF1" w:rsidRDefault="00416BF1" w:rsidP="00416BF1"/>
    <w:p w:rsidR="00416BF1" w:rsidRDefault="00416BF1" w:rsidP="00416BF1">
      <w:r>
        <w:t xml:space="preserve">Сначала вычислим ранги с помощью функции </w:t>
      </w:r>
      <w:r>
        <w:rPr>
          <w:lang w:val="en-US"/>
        </w:rPr>
        <w:t>Microsoft</w:t>
      </w:r>
      <w:r w:rsidRPr="00416BF1">
        <w:t xml:space="preserve"> </w:t>
      </w:r>
      <w:r>
        <w:rPr>
          <w:lang w:val="en-US"/>
        </w:rPr>
        <w:t>EXCEL</w:t>
      </w:r>
      <w:r w:rsidRPr="00416BF1">
        <w:t xml:space="preserve"> </w:t>
      </w:r>
      <w:r>
        <w:t>РАНГ.СР, также находим общий ранг, средние ранги и разности среднего ранга уровня и общего ранга (разности находим для упрощения дальнейших вычислений)</w:t>
      </w:r>
      <w:r w:rsidRPr="00416BF1">
        <w:t xml:space="preserve"> (</w:t>
      </w:r>
      <w:r>
        <w:t>таблица 3.2.1</w:t>
      </w:r>
      <w:r w:rsidRPr="00416BF1">
        <w:t>)</w:t>
      </w:r>
      <w:r>
        <w:t>.</w:t>
      </w:r>
    </w:p>
    <w:p w:rsidR="00416BF1" w:rsidRDefault="00416BF1" w:rsidP="00416BF1">
      <w:pPr>
        <w:rPr>
          <w:sz w:val="24"/>
        </w:rPr>
      </w:pPr>
      <w:r>
        <w:rPr>
          <w:sz w:val="24"/>
        </w:rPr>
        <w:t>Таблица 3.2.1 – Ранги</w:t>
      </w:r>
    </w:p>
    <w:tbl>
      <w:tblPr>
        <w:tblW w:w="7371" w:type="dxa"/>
        <w:tblInd w:w="-5" w:type="dxa"/>
        <w:tblLook w:val="04A0" w:firstRow="1" w:lastRow="0" w:firstColumn="1" w:lastColumn="0" w:noHBand="0" w:noVBand="1"/>
      </w:tblPr>
      <w:tblGrid>
        <w:gridCol w:w="925"/>
        <w:gridCol w:w="606"/>
        <w:gridCol w:w="606"/>
        <w:gridCol w:w="440"/>
        <w:gridCol w:w="606"/>
        <w:gridCol w:w="606"/>
        <w:gridCol w:w="606"/>
        <w:gridCol w:w="1386"/>
        <w:gridCol w:w="1590"/>
      </w:tblGrid>
      <w:tr w:rsidR="00416BF1" w:rsidRPr="00416BF1" w:rsidTr="00416BF1">
        <w:trPr>
          <w:trHeight w:val="261"/>
        </w:trPr>
        <w:tc>
          <w:tcPr>
            <w:tcW w:w="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Уровни</w:t>
            </w:r>
          </w:p>
        </w:tc>
        <w:tc>
          <w:tcPr>
            <w:tcW w:w="34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Ранги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Средний ранг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(</w:t>
            </w:r>
            <w:proofErr w:type="spellStart"/>
            <w:r w:rsidRPr="00416BF1">
              <w:rPr>
                <w:rFonts w:ascii="Calibri" w:hAnsi="Calibri" w:cs="Calibri"/>
                <w:b/>
                <w:bCs/>
                <w:sz w:val="22"/>
              </w:rPr>
              <w:t>Ri</w:t>
            </w:r>
            <w:proofErr w:type="spellEnd"/>
            <w:r w:rsidRPr="00416BF1">
              <w:rPr>
                <w:rFonts w:ascii="Calibri" w:hAnsi="Calibri" w:cs="Calibri"/>
                <w:b/>
                <w:bCs/>
                <w:sz w:val="22"/>
              </w:rPr>
              <w:t>-R)</w:t>
            </w:r>
          </w:p>
        </w:tc>
      </w:tr>
      <w:tr w:rsidR="00416BF1" w:rsidRPr="00416BF1" w:rsidTr="00416BF1">
        <w:trPr>
          <w:trHeight w:val="261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6</w:t>
            </w:r>
          </w:p>
        </w:tc>
        <w:tc>
          <w:tcPr>
            <w:tcW w:w="138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159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</w:rPr>
            </w:pPr>
          </w:p>
        </w:tc>
      </w:tr>
      <w:tr w:rsidR="00416BF1" w:rsidRPr="00416BF1" w:rsidTr="00416BF1">
        <w:trPr>
          <w:trHeight w:val="106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19,5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11,5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22,5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13,75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1,25</w:t>
            </w:r>
          </w:p>
        </w:tc>
      </w:tr>
      <w:tr w:rsidR="00416BF1" w:rsidRPr="00416BF1" w:rsidTr="00416BF1">
        <w:trPr>
          <w:trHeight w:val="261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9,5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11,58333333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-0,916666667</w:t>
            </w:r>
          </w:p>
        </w:tc>
      </w:tr>
      <w:tr w:rsidR="00416BF1" w:rsidRPr="00416BF1" w:rsidTr="00416BF1">
        <w:trPr>
          <w:trHeight w:val="261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11,5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16,5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22,5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19,5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15,83333333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3,333333333</w:t>
            </w:r>
          </w:p>
        </w:tc>
      </w:tr>
      <w:tr w:rsidR="00416BF1" w:rsidRPr="00416BF1" w:rsidTr="00416BF1">
        <w:trPr>
          <w:trHeight w:val="261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416BF1">
              <w:rPr>
                <w:rFonts w:ascii="Calibri" w:hAnsi="Calibri" w:cs="Calibri"/>
                <w:b/>
                <w:bCs/>
                <w:sz w:val="22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9,5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16,5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8,833333333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BF1" w:rsidRPr="00416BF1" w:rsidRDefault="00416BF1" w:rsidP="00416BF1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416BF1">
              <w:rPr>
                <w:rFonts w:ascii="Calibri" w:hAnsi="Calibri" w:cs="Calibri"/>
                <w:sz w:val="22"/>
              </w:rPr>
              <w:t>-3,666666667</w:t>
            </w:r>
          </w:p>
        </w:tc>
      </w:tr>
    </w:tbl>
    <w:p w:rsidR="00416BF1" w:rsidRDefault="00416BF1" w:rsidP="00416BF1"/>
    <w:p w:rsidR="00416BF1" w:rsidRDefault="00416BF1" w:rsidP="00416BF1">
      <w:r>
        <w:t>Общий ранг равен 12,5.</w:t>
      </w:r>
    </w:p>
    <w:p w:rsidR="00624F46" w:rsidRPr="00ED573E" w:rsidRDefault="00624F46" w:rsidP="00624F46">
      <w:pPr>
        <w:ind w:firstLine="708"/>
        <w:rPr>
          <w:szCs w:val="28"/>
        </w:rPr>
      </w:pPr>
      <w:r w:rsidRPr="00385220">
        <w:rPr>
          <w:szCs w:val="28"/>
          <w:lang w:val="en-US"/>
        </w:rPr>
        <w:t>K</w:t>
      </w:r>
      <w:proofErr w:type="spellStart"/>
      <w:r w:rsidRPr="00385220">
        <w:rPr>
          <w:szCs w:val="28"/>
          <w:vertAlign w:val="subscript"/>
        </w:rPr>
        <w:t>крит</w:t>
      </w:r>
      <w:proofErr w:type="spellEnd"/>
      <w:r>
        <w:rPr>
          <w:szCs w:val="28"/>
        </w:rPr>
        <w:t xml:space="preserve"> вычисляем </w:t>
      </w:r>
      <w:r w:rsidRPr="00385220">
        <w:rPr>
          <w:szCs w:val="28"/>
        </w:rPr>
        <w:t xml:space="preserve">с помощью функции </w:t>
      </w:r>
      <w:proofErr w:type="spellStart"/>
      <w:r w:rsidRPr="00385220">
        <w:rPr>
          <w:szCs w:val="28"/>
        </w:rPr>
        <w:t>excel</w:t>
      </w:r>
      <w:proofErr w:type="spellEnd"/>
      <w:r>
        <w:rPr>
          <w:szCs w:val="28"/>
        </w:rPr>
        <w:t xml:space="preserve"> </w:t>
      </w:r>
      <w:r w:rsidRPr="0098614A">
        <w:rPr>
          <w:szCs w:val="28"/>
        </w:rPr>
        <w:t>ХИ2.ОБР.ПХ</w:t>
      </w:r>
      <w:r>
        <w:rPr>
          <w:szCs w:val="28"/>
        </w:rPr>
        <w:t>.</w:t>
      </w:r>
    </w:p>
    <w:p w:rsidR="00624F46" w:rsidRDefault="00624F46" w:rsidP="00624F46">
      <w:pPr>
        <w:ind w:firstLine="708"/>
        <w:rPr>
          <w:szCs w:val="28"/>
        </w:rPr>
      </w:pPr>
      <w:r w:rsidRPr="00385220">
        <w:rPr>
          <w:szCs w:val="28"/>
          <w:lang w:val="en-US"/>
        </w:rPr>
        <w:t>K</w:t>
      </w:r>
      <w:r w:rsidRPr="00385220">
        <w:rPr>
          <w:szCs w:val="28"/>
          <w:vertAlign w:val="subscript"/>
        </w:rPr>
        <w:t>набл</w:t>
      </w:r>
      <w:r w:rsidRPr="00385220">
        <w:rPr>
          <w:szCs w:val="28"/>
        </w:rPr>
        <w:t xml:space="preserve"> </w:t>
      </w:r>
      <w:r>
        <w:rPr>
          <w:szCs w:val="28"/>
        </w:rPr>
        <w:t>и</w:t>
      </w:r>
      <w:r w:rsidRPr="00385220">
        <w:rPr>
          <w:szCs w:val="28"/>
        </w:rPr>
        <w:t xml:space="preserve"> </w:t>
      </w:r>
      <w:r w:rsidRPr="00385220">
        <w:rPr>
          <w:szCs w:val="28"/>
          <w:lang w:val="en-US"/>
        </w:rPr>
        <w:t>K</w:t>
      </w:r>
      <w:proofErr w:type="spellStart"/>
      <w:r w:rsidRPr="00385220">
        <w:rPr>
          <w:szCs w:val="28"/>
          <w:vertAlign w:val="subscript"/>
        </w:rPr>
        <w:t>крит</w:t>
      </w:r>
      <w:proofErr w:type="spellEnd"/>
      <w:r w:rsidRPr="00984C85">
        <w:rPr>
          <w:szCs w:val="28"/>
        </w:rPr>
        <w:t xml:space="preserve"> </w:t>
      </w:r>
      <w:r>
        <w:rPr>
          <w:szCs w:val="28"/>
        </w:rPr>
        <w:t>равны 3,36 и 11,34 соответственно.</w:t>
      </w:r>
    </w:p>
    <w:p w:rsidR="00624F46" w:rsidRDefault="00624F46" w:rsidP="00624F46">
      <w:pPr>
        <w:ind w:firstLine="708"/>
        <w:rPr>
          <w:szCs w:val="28"/>
        </w:rPr>
      </w:pPr>
      <w:r w:rsidRPr="00087C4D">
        <w:rPr>
          <w:szCs w:val="28"/>
        </w:rPr>
        <w:t xml:space="preserve">Вывод: так как </w:t>
      </w:r>
      <w:r w:rsidRPr="00385220">
        <w:rPr>
          <w:szCs w:val="28"/>
          <w:lang w:val="en-US"/>
        </w:rPr>
        <w:t>K</w:t>
      </w:r>
      <w:r w:rsidRPr="00385220">
        <w:rPr>
          <w:szCs w:val="28"/>
          <w:vertAlign w:val="subscript"/>
        </w:rPr>
        <w:t>набл</w:t>
      </w:r>
      <w:r>
        <w:rPr>
          <w:szCs w:val="28"/>
        </w:rPr>
        <w:t xml:space="preserve"> </w:t>
      </w:r>
      <w:proofErr w:type="gramStart"/>
      <w:r w:rsidRPr="00FE47E3">
        <w:rPr>
          <w:szCs w:val="28"/>
        </w:rPr>
        <w:t>&lt;</w:t>
      </w:r>
      <w:r>
        <w:rPr>
          <w:szCs w:val="28"/>
        </w:rPr>
        <w:t xml:space="preserve"> </w:t>
      </w:r>
      <w:r w:rsidRPr="00385220">
        <w:rPr>
          <w:szCs w:val="28"/>
          <w:lang w:val="en-US"/>
        </w:rPr>
        <w:t>K</w:t>
      </w:r>
      <w:proofErr w:type="spellStart"/>
      <w:proofErr w:type="gramEnd"/>
      <w:r w:rsidRPr="00385220">
        <w:rPr>
          <w:szCs w:val="28"/>
          <w:vertAlign w:val="subscript"/>
        </w:rPr>
        <w:t>крит</w:t>
      </w:r>
      <w:proofErr w:type="spellEnd"/>
      <w:r w:rsidRPr="00087C4D">
        <w:rPr>
          <w:szCs w:val="28"/>
        </w:rPr>
        <w:t xml:space="preserve">, то нет оснований отвергать основную гипотезу, </w:t>
      </w:r>
      <w:r>
        <w:t xml:space="preserve">следовательно </w:t>
      </w:r>
      <w:r w:rsidR="00E111D7">
        <w:t>класс персонажа</w:t>
      </w:r>
      <w:r w:rsidR="00E111D7">
        <w:t xml:space="preserve"> не влияет существенно</w:t>
      </w:r>
      <w:bookmarkStart w:id="7" w:name="_GoBack"/>
      <w:bookmarkEnd w:id="7"/>
      <w:r>
        <w:t xml:space="preserve"> на скорость прохождения подземелья</w:t>
      </w:r>
      <w:r w:rsidRPr="00087C4D">
        <w:rPr>
          <w:szCs w:val="28"/>
        </w:rPr>
        <w:t>.</w:t>
      </w:r>
    </w:p>
    <w:p w:rsidR="00624F46" w:rsidRDefault="00624F46" w:rsidP="00416BF1"/>
    <w:p w:rsidR="00416BF1" w:rsidRPr="00416BF1" w:rsidRDefault="00416BF1" w:rsidP="00416BF1"/>
    <w:sectPr w:rsidR="00416BF1" w:rsidRPr="00416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6FC4"/>
    <w:multiLevelType w:val="hybridMultilevel"/>
    <w:tmpl w:val="50202AA0"/>
    <w:lvl w:ilvl="0" w:tplc="C9CADD3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C71B29"/>
    <w:multiLevelType w:val="hybridMultilevel"/>
    <w:tmpl w:val="69F2F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C67490"/>
    <w:multiLevelType w:val="hybridMultilevel"/>
    <w:tmpl w:val="0EBEE8F2"/>
    <w:lvl w:ilvl="0" w:tplc="C9CADD3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C247DA"/>
    <w:multiLevelType w:val="hybridMultilevel"/>
    <w:tmpl w:val="CFF45890"/>
    <w:lvl w:ilvl="0" w:tplc="1B8AE568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840F2A"/>
    <w:multiLevelType w:val="hybridMultilevel"/>
    <w:tmpl w:val="1EE8061A"/>
    <w:lvl w:ilvl="0" w:tplc="C9CADD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871134"/>
    <w:multiLevelType w:val="hybridMultilevel"/>
    <w:tmpl w:val="50202AA0"/>
    <w:lvl w:ilvl="0" w:tplc="C9CADD3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A91FC2"/>
    <w:multiLevelType w:val="hybridMultilevel"/>
    <w:tmpl w:val="E01071F4"/>
    <w:lvl w:ilvl="0" w:tplc="C9CADD3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7D1C98"/>
    <w:multiLevelType w:val="hybridMultilevel"/>
    <w:tmpl w:val="FA263392"/>
    <w:lvl w:ilvl="0" w:tplc="C9CADD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1B651D"/>
    <w:multiLevelType w:val="hybridMultilevel"/>
    <w:tmpl w:val="FA263392"/>
    <w:lvl w:ilvl="0" w:tplc="C9CADD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007A29"/>
    <w:multiLevelType w:val="hybridMultilevel"/>
    <w:tmpl w:val="70828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DF"/>
    <w:rsid w:val="000A6596"/>
    <w:rsid w:val="000B335F"/>
    <w:rsid w:val="000D6F77"/>
    <w:rsid w:val="002C11A1"/>
    <w:rsid w:val="002F323B"/>
    <w:rsid w:val="003A4B64"/>
    <w:rsid w:val="003A7E70"/>
    <w:rsid w:val="00407E23"/>
    <w:rsid w:val="00416BF1"/>
    <w:rsid w:val="00624F46"/>
    <w:rsid w:val="007A126F"/>
    <w:rsid w:val="008156D2"/>
    <w:rsid w:val="00BB0A92"/>
    <w:rsid w:val="00BC71C7"/>
    <w:rsid w:val="00CC79F0"/>
    <w:rsid w:val="00D22641"/>
    <w:rsid w:val="00E111D7"/>
    <w:rsid w:val="00EE794D"/>
    <w:rsid w:val="00F1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759C"/>
  <w15:chartTrackingRefBased/>
  <w15:docId w15:val="{59C6A587-2476-4733-B495-7A19AF65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BF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D6F77"/>
    <w:pPr>
      <w:keepNext/>
      <w:keepLines/>
      <w:numPr>
        <w:numId w:val="4"/>
      </w:numPr>
      <w:spacing w:after="0" w:line="360" w:lineRule="auto"/>
      <w:jc w:val="center"/>
      <w:outlineLvl w:val="0"/>
    </w:pPr>
    <w:rPr>
      <w:rFonts w:ascii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0D6F77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D6F77"/>
    <w:rPr>
      <w:rFonts w:ascii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link w:val="2"/>
    <w:uiPriority w:val="9"/>
    <w:rsid w:val="000D6F77"/>
    <w:rPr>
      <w:rFonts w:ascii="Times New Roman" w:hAnsi="Times New Roman" w:cs="Times New Roman"/>
      <w:b/>
      <w:color w:val="000000"/>
      <w:sz w:val="28"/>
      <w:lang w:eastAsia="ru-RU"/>
    </w:rPr>
  </w:style>
  <w:style w:type="paragraph" w:styleId="a3">
    <w:name w:val="Title"/>
    <w:basedOn w:val="a"/>
    <w:link w:val="a4"/>
    <w:qFormat/>
    <w:rsid w:val="000D6F77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Заголовок Знак"/>
    <w:basedOn w:val="a0"/>
    <w:link w:val="a3"/>
    <w:rsid w:val="000D6F77"/>
    <w:rPr>
      <w:rFonts w:ascii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39"/>
    <w:rsid w:val="0081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A4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6</cp:revision>
  <dcterms:created xsi:type="dcterms:W3CDTF">2021-04-05T14:48:00Z</dcterms:created>
  <dcterms:modified xsi:type="dcterms:W3CDTF">2021-04-06T03:27:00Z</dcterms:modified>
</cp:coreProperties>
</file>