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C572F" w14:textId="68C3BB64" w:rsidR="005B40FB" w:rsidRDefault="004271B5" w:rsidP="00DA498F">
      <w:pPr>
        <w:pStyle w:val="2"/>
      </w:pPr>
      <w:r>
        <w:rPr>
          <w:rFonts w:hint="eastAsia"/>
        </w:rPr>
        <w:t>变量</w:t>
      </w:r>
    </w:p>
    <w:p w14:paraId="5C72C3FA" w14:textId="77777777" w:rsidR="004271B5" w:rsidRPr="004271B5" w:rsidRDefault="004271B5" w:rsidP="004271B5">
      <w:pPr>
        <w:ind w:firstLineChars="200" w:firstLine="440"/>
        <w:rPr>
          <w:rFonts w:ascii="Times New Roman" w:hAnsi="Times New Roman" w:cs="Times New Roman"/>
          <w:sz w:val="22"/>
        </w:rPr>
      </w:pPr>
      <w:r w:rsidRPr="004271B5">
        <w:rPr>
          <w:rFonts w:ascii="Times New Roman" w:hAnsi="Times New Roman" w:cs="Times New Roman" w:hint="eastAsia"/>
          <w:sz w:val="22"/>
        </w:rPr>
        <w:t>自变量是文字与颜色是否匹配</w:t>
      </w:r>
    </w:p>
    <w:p w14:paraId="39D53812" w14:textId="77777777" w:rsidR="004271B5" w:rsidRPr="004271B5" w:rsidRDefault="004271B5" w:rsidP="004271B5">
      <w:pPr>
        <w:ind w:firstLineChars="200" w:firstLine="440"/>
        <w:rPr>
          <w:rFonts w:ascii="Times New Roman" w:hAnsi="Times New Roman" w:cs="Times New Roman"/>
          <w:sz w:val="22"/>
        </w:rPr>
      </w:pPr>
      <w:r w:rsidRPr="004271B5">
        <w:rPr>
          <w:rFonts w:ascii="Times New Roman" w:hAnsi="Times New Roman" w:cs="Times New Roman" w:hint="eastAsia"/>
          <w:sz w:val="22"/>
        </w:rPr>
        <w:t>因变量是参与者全部完成所使用的时间</w:t>
      </w:r>
    </w:p>
    <w:p w14:paraId="606BCCAB" w14:textId="67DBC09A" w:rsidR="004271B5" w:rsidRDefault="004271B5" w:rsidP="004271B5">
      <w:pPr>
        <w:pStyle w:val="2"/>
      </w:pPr>
      <w:r>
        <w:rPr>
          <w:rFonts w:hint="eastAsia"/>
        </w:rPr>
        <w:t>假设</w:t>
      </w:r>
    </w:p>
    <w:p w14:paraId="0BD1A0D1" w14:textId="77777777" w:rsidR="004271B5" w:rsidRDefault="004271B5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适当假设：当文字与颜色匹配时，参与者全部完成所使用的的时间更少。</w:t>
      </w:r>
    </w:p>
    <w:p w14:paraId="04132CC0" w14:textId="77777777" w:rsidR="004271B5" w:rsidRDefault="004271B5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零假设：文字与颜色匹配不匹配，参与者全部完成所使用的时间没明显差异。</w:t>
      </w:r>
    </w:p>
    <w:p w14:paraId="242A0C9A" w14:textId="77777777" w:rsidR="004271B5" w:rsidRDefault="004271B5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对立假设：文字与颜色匹配时，参与者全部完成所使用的的时间更少。</w:t>
      </w:r>
      <w:r>
        <w:rPr>
          <w:rFonts w:ascii="Times New Roman" w:hAnsi="Times New Roman" w:cs="Times New Roman" w:hint="eastAsia"/>
        </w:rPr>
        <w:t xml:space="preserve"> </w:t>
      </w:r>
    </w:p>
    <w:p w14:paraId="4D477F08" w14:textId="7F326E4C" w:rsidR="004271B5" w:rsidRDefault="004271B5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这里用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表示零假设，用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表示对立假设，用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 w:hint="eastAsia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>表示文字与颜色匹配时参与者使用时间的总体均值，用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表示文字与颜色不匹配时参与者使用时间的总体均值。</w:t>
      </w:r>
    </w:p>
    <w:p w14:paraId="4AE1228F" w14:textId="53147D45" w:rsidR="004271B5" w:rsidRDefault="00CE55DA" w:rsidP="004271B5">
      <w:pPr>
        <w:ind w:left="284"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4271B5">
        <w:rPr>
          <w:rFonts w:ascii="Times New Roman" w:hAnsi="Times New Roman" w:cs="Times New Roman"/>
        </w:rPr>
        <w:t xml:space="preserve"> </w:t>
      </w:r>
      <w:r w:rsidR="004271B5"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4271B5">
        <w:rPr>
          <w:rFonts w:ascii="Times New Roman" w:hAnsi="Times New Roman" w:cs="Times New Roman" w:hint="eastAsia"/>
        </w:rPr>
        <w:t>=</w:t>
      </w:r>
      <w:r w:rsidR="004271B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39F79AD2" w14:textId="778720E4" w:rsidR="004271B5" w:rsidRDefault="00CE55DA" w:rsidP="004271B5">
      <w:pPr>
        <w:ind w:left="284"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271B5">
        <w:rPr>
          <w:rFonts w:ascii="Times New Roman" w:hAnsi="Times New Roman" w:cs="Times New Roman"/>
        </w:rPr>
        <w:t xml:space="preserve"> </w:t>
      </w:r>
      <w:r w:rsidR="004271B5"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4271B5">
        <w:rPr>
          <w:rFonts w:ascii="Times New Roman" w:hAnsi="Times New Roman" w:cs="Times New Roman" w:hint="eastAsia"/>
        </w:rPr>
        <w:t xml:space="preserve"> </w:t>
      </w:r>
      <w:r w:rsidR="004271B5">
        <w:rPr>
          <w:rFonts w:ascii="Times New Roman" w:hAnsi="Times New Roman" w:cs="Times New Roman"/>
        </w:rPr>
        <w:t>&lt;</w:t>
      </w:r>
      <w:r w:rsidR="004271B5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7478D1D2" w14:textId="426CFC19" w:rsidR="004271B5" w:rsidRDefault="004271B5" w:rsidP="004271B5">
      <w:pPr>
        <w:pStyle w:val="2"/>
      </w:pPr>
      <w:r>
        <w:rPr>
          <w:rFonts w:hint="eastAsia"/>
        </w:rPr>
        <w:t>统计检验</w:t>
      </w:r>
    </w:p>
    <w:p w14:paraId="17F71879" w14:textId="6F71DEB4" w:rsidR="00EC6B9A" w:rsidRDefault="00CE7045" w:rsidP="00EC6B9A">
      <w:r w:rsidRPr="000123FA">
        <w:rPr>
          <w:noProof/>
        </w:rPr>
        <mc:AlternateContent>
          <mc:Choice Requires="cx">
            <w:drawing>
              <wp:inline distT="0" distB="0" distL="0" distR="0" wp14:anchorId="26893F03" wp14:editId="7CFC2059">
                <wp:extent cx="4572000" cy="2743200"/>
                <wp:effectExtent l="0" t="0" r="0" b="0"/>
                <wp:docPr id="8" name="图表 8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26893F03" wp14:editId="7CFC2059">
                <wp:extent cx="4572000" cy="2743200"/>
                <wp:effectExtent l="0" t="0" r="0" b="0"/>
                <wp:docPr id="8" name="图表 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表 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D729D8A" w14:textId="41B89407" w:rsidR="00EC6B9A" w:rsidRDefault="00CE7045" w:rsidP="00EC6B9A">
      <w:r w:rsidRPr="000123FA">
        <w:rPr>
          <w:noProof/>
        </w:rPr>
        <w:lastRenderedPageBreak/>
        <mc:AlternateContent>
          <mc:Choice Requires="cx">
            <w:drawing>
              <wp:inline distT="0" distB="0" distL="0" distR="0" wp14:anchorId="3B954B99" wp14:editId="328F623D">
                <wp:extent cx="4572000" cy="2743200"/>
                <wp:effectExtent l="0" t="0" r="0" b="0"/>
                <wp:docPr id="9" name="图表 9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3B954B99" wp14:editId="328F623D">
                <wp:extent cx="4572000" cy="2743200"/>
                <wp:effectExtent l="0" t="0" r="0" b="0"/>
                <wp:docPr id="9" name="图表 9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表 9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350C7C2" w14:textId="77777777" w:rsidR="001D6297" w:rsidRDefault="00C86B19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 w:hint="eastAsia"/>
        </w:rPr>
        <w:t>检验</w:t>
      </w:r>
      <w:r w:rsidR="004271B5">
        <w:rPr>
          <w:rFonts w:ascii="Times New Roman" w:hAnsi="Times New Roman" w:cs="Times New Roman" w:hint="eastAsia"/>
        </w:rPr>
        <w:t>适用于知道总体参数</w:t>
      </w:r>
      <w:r w:rsidR="004271B5">
        <w:rPr>
          <w:rFonts w:ascii="Times New Roman" w:hAnsi="Times New Roman" w:cs="Times New Roman" w:hint="eastAsia"/>
        </w:rPr>
        <w:t>(</w:t>
      </w:r>
      <w:r w:rsidR="004271B5">
        <w:rPr>
          <w:rFonts w:ascii="Times New Roman" w:hAnsi="Times New Roman" w:cs="Times New Roman" w:hint="eastAsia"/>
        </w:rPr>
        <w:t>如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  <m:r>
          <m:rPr>
            <m:sty m:val="p"/>
          </m:rPr>
          <w:rPr>
            <w:rFonts w:ascii="Cambria Math" w:hAnsi="Cambria Math" w:cs="Times New Roman" w:hint="eastAsia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4271B5">
        <w:rPr>
          <w:rFonts w:ascii="Times New Roman" w:hAnsi="Times New Roman" w:cs="Times New Roman"/>
        </w:rPr>
        <w:t>)</w:t>
      </w:r>
      <w:r w:rsidR="004271B5">
        <w:rPr>
          <w:rFonts w:ascii="Times New Roman" w:hAnsi="Times New Roman" w:cs="Times New Roman" w:hint="eastAsia"/>
        </w:rPr>
        <w:t>的情况，而这里并不知道总</w:t>
      </w:r>
      <w:r>
        <w:rPr>
          <w:rFonts w:ascii="Times New Roman" w:hAnsi="Times New Roman" w:cs="Times New Roman" w:hint="eastAsia"/>
        </w:rPr>
        <w:t>体参数，只有样本，需要比较两个样本之间的差异，来推断总体的情况</w:t>
      </w:r>
      <w:r w:rsidR="00F03D7E">
        <w:rPr>
          <w:rFonts w:ascii="Times New Roman" w:hAnsi="Times New Roman" w:cs="Times New Roman" w:hint="eastAsia"/>
        </w:rPr>
        <w:t>，故而考虑</w:t>
      </w:r>
      <w:r w:rsidR="00F03D7E">
        <w:rPr>
          <w:rFonts w:ascii="Times New Roman" w:hAnsi="Times New Roman" w:cs="Times New Roman" w:hint="eastAsia"/>
        </w:rPr>
        <w:t>t</w:t>
      </w:r>
      <w:r w:rsidR="00F03D7E">
        <w:rPr>
          <w:rFonts w:ascii="Times New Roman" w:hAnsi="Times New Roman" w:cs="Times New Roman" w:hint="eastAsia"/>
        </w:rPr>
        <w:t>检验</w:t>
      </w:r>
      <w:r>
        <w:rPr>
          <w:rFonts w:ascii="Times New Roman" w:hAnsi="Times New Roman" w:cs="Times New Roman" w:hint="eastAsia"/>
        </w:rPr>
        <w:t>。</w:t>
      </w:r>
    </w:p>
    <w:p w14:paraId="084894E3" w14:textId="77777777" w:rsidR="001D6297" w:rsidRDefault="00F03D7E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检验的前提条件是总体服从正态分布</w:t>
      </w:r>
      <w:r w:rsidR="001D6297">
        <w:rPr>
          <w:rFonts w:ascii="Times New Roman" w:hAnsi="Times New Roman" w:cs="Times New Roman" w:hint="eastAsia"/>
        </w:rPr>
        <w:t>和方差齐性</w:t>
      </w:r>
      <w:r>
        <w:rPr>
          <w:rFonts w:ascii="Times New Roman" w:hAnsi="Times New Roman" w:cs="Times New Roman" w:hint="eastAsia"/>
        </w:rPr>
        <w:t>。</w:t>
      </w:r>
    </w:p>
    <w:p w14:paraId="6C5FE08C" w14:textId="77777777" w:rsidR="001D6297" w:rsidRDefault="00CE7045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对两个样本进行分析，其均表现出类似正态分布（如上图所示）</w:t>
      </w:r>
      <w:r w:rsidR="00BD7073">
        <w:rPr>
          <w:rFonts w:ascii="Times New Roman" w:hAnsi="Times New Roman" w:cs="Times New Roman" w:hint="eastAsia"/>
        </w:rPr>
        <w:t>。且实验参与者是从人群中随机挑选的，并没有条件限制，故实验样本是随机样本。因此可以推测其总体满足正态分布。</w:t>
      </w:r>
    </w:p>
    <w:p w14:paraId="6E337D8A" w14:textId="43FB7D68" w:rsidR="00F03D7E" w:rsidRDefault="001D6297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此实验是统计同一组参与者对文字与颜色是否匹配所使用的时间，因此这两个样本是相关样本。故而可以推断其总体的方差近似相等。</w:t>
      </w:r>
    </w:p>
    <w:p w14:paraId="399F7EA5" w14:textId="4B51D000" w:rsidR="00665826" w:rsidRDefault="001D6297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综上，选择</w:t>
      </w:r>
      <w:r w:rsidR="004271B5">
        <w:rPr>
          <w:rFonts w:ascii="Times New Roman" w:hAnsi="Times New Roman" w:cs="Times New Roman" w:hint="eastAsia"/>
        </w:rPr>
        <w:t>用</w:t>
      </w:r>
      <w:r w:rsidR="00665826">
        <w:rPr>
          <w:rFonts w:ascii="Times New Roman" w:hAnsi="Times New Roman" w:cs="Times New Roman" w:hint="eastAsia"/>
        </w:rPr>
        <w:t>相关样本均值差异的匹对</w:t>
      </w:r>
      <w:r w:rsidR="004271B5">
        <w:rPr>
          <w:rFonts w:ascii="Times New Roman" w:hAnsi="Times New Roman" w:cs="Times New Roman" w:hint="eastAsia"/>
        </w:rPr>
        <w:t>t</w:t>
      </w:r>
      <w:r w:rsidR="00C86B19">
        <w:rPr>
          <w:rFonts w:ascii="Times New Roman" w:hAnsi="Times New Roman" w:cs="Times New Roman" w:hint="eastAsia"/>
        </w:rPr>
        <w:t>检验</w:t>
      </w:r>
      <w:r w:rsidR="004271B5">
        <w:rPr>
          <w:rFonts w:ascii="Times New Roman" w:hAnsi="Times New Roman" w:cs="Times New Roman" w:hint="eastAsia"/>
        </w:rPr>
        <w:t>。</w:t>
      </w:r>
    </w:p>
    <w:p w14:paraId="50A9018A" w14:textId="6E9BF0D0" w:rsidR="004271B5" w:rsidRDefault="004271B5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包含方向，所以采用单尾检验。</w:t>
      </w:r>
    </w:p>
    <w:p w14:paraId="6F7258B1" w14:textId="66591810" w:rsidR="00382EBC" w:rsidRDefault="00382EBC" w:rsidP="004271B5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选取显著性水平</w:t>
      </w:r>
      <w:r>
        <w:object w:dxaOrig="880" w:dyaOrig="279" w14:anchorId="10C16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11" o:title=""/>
          </v:shape>
          <o:OLEObject Type="Embed" ProgID="Unknown" ShapeID="_x0000_i1025" DrawAspect="Content" ObjectID="_1566589377" r:id="rId12"/>
        </w:object>
      </w:r>
    </w:p>
    <w:p w14:paraId="4EE76727" w14:textId="2C964936" w:rsidR="004271B5" w:rsidRDefault="004271B5" w:rsidP="00DF7CEA">
      <w:pPr>
        <w:pStyle w:val="2"/>
      </w:pPr>
      <w:r w:rsidRPr="00B41751">
        <w:rPr>
          <w:rFonts w:hint="eastAsia"/>
        </w:rPr>
        <w:t>样本数据</w:t>
      </w:r>
      <w:r>
        <w:rPr>
          <w:rFonts w:hint="eastAsia"/>
        </w:rPr>
        <w:t>可视化</w:t>
      </w:r>
    </w:p>
    <w:p w14:paraId="1C835F75" w14:textId="5A9490AD" w:rsidR="006C1802" w:rsidRPr="006C1802" w:rsidRDefault="006C1802" w:rsidP="006C1802">
      <w:r>
        <w:rPr>
          <w:rFonts w:hint="eastAsia"/>
        </w:rPr>
        <w:t>箱形图：</w:t>
      </w:r>
    </w:p>
    <w:p w14:paraId="771B9FD1" w14:textId="0106D66A" w:rsidR="00FF24E0" w:rsidRDefault="00AF788F" w:rsidP="004271B5">
      <w:r w:rsidRPr="002726D4">
        <w:rPr>
          <w:noProof/>
        </w:rPr>
        <mc:AlternateContent>
          <mc:Choice Requires="cx">
            <w:drawing>
              <wp:inline distT="0" distB="0" distL="0" distR="0" wp14:anchorId="2AF7EF9C" wp14:editId="20A7EB4A">
                <wp:extent cx="4572000" cy="2743200"/>
                <wp:effectExtent l="0" t="0" r="0" b="0"/>
                <wp:docPr id="6" name="图表 6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2AF7EF9C" wp14:editId="20A7EB4A">
                <wp:extent cx="4572000" cy="2743200"/>
                <wp:effectExtent l="0" t="0" r="0" b="0"/>
                <wp:docPr id="6" name="图表 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表 6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4D4829B" w14:textId="77067E05" w:rsidR="00A366B5" w:rsidRDefault="00A366B5" w:rsidP="004271B5">
      <w:r>
        <w:rPr>
          <w:rFonts w:hint="eastAsia"/>
        </w:rPr>
        <w:lastRenderedPageBreak/>
        <w:t>由箱形图可知</w:t>
      </w:r>
      <w:r w:rsidR="00DF7CEA">
        <w:rPr>
          <w:rFonts w:hint="eastAsia"/>
        </w:rPr>
        <w:t>，</w:t>
      </w:r>
      <w:r>
        <w:rPr>
          <w:rFonts w:hint="eastAsia"/>
        </w:rPr>
        <w:t>文字和颜色匹配的样本中，四分位差较小，但最大值和最小值差较大</w:t>
      </w:r>
      <w:r w:rsidR="00DF7CEA">
        <w:rPr>
          <w:rFonts w:hint="eastAsia"/>
        </w:rPr>
        <w:t>；文字和颜色不匹配的样本中，四分位差较大，但最大值和最小值差较小，且有两个异常点存在。</w:t>
      </w:r>
    </w:p>
    <w:p w14:paraId="4F1D8D49" w14:textId="675022F3" w:rsidR="006C1802" w:rsidRDefault="006C1802" w:rsidP="004271B5"/>
    <w:p w14:paraId="0859C036" w14:textId="72B7B6A6" w:rsidR="006C1802" w:rsidRDefault="006C1802" w:rsidP="004271B5">
      <w:r>
        <w:rPr>
          <w:rFonts w:hint="eastAsia"/>
        </w:rPr>
        <w:t>直方图：</w:t>
      </w:r>
    </w:p>
    <w:p w14:paraId="109CC292" w14:textId="1576356F" w:rsidR="00CD2988" w:rsidRDefault="00CD2988" w:rsidP="00CD2988">
      <w:r w:rsidRPr="000123FA">
        <w:rPr>
          <w:noProof/>
        </w:rPr>
        <mc:AlternateContent>
          <mc:Choice Requires="cx">
            <w:drawing>
              <wp:inline distT="0" distB="0" distL="0" distR="0" wp14:anchorId="1CC97137" wp14:editId="1EFAC577">
                <wp:extent cx="4572000" cy="2743200"/>
                <wp:effectExtent l="0" t="0" r="0" b="0"/>
                <wp:docPr id="13" name="图表 1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1CC97137" wp14:editId="1EFAC577">
                <wp:extent cx="4572000" cy="2743200"/>
                <wp:effectExtent l="0" t="0" r="0" b="0"/>
                <wp:docPr id="13" name="图表 1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表 1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8E1030C" w14:textId="60E3E44A" w:rsidR="00CD2988" w:rsidRDefault="00CD2988" w:rsidP="00CD2988">
      <w:r w:rsidRPr="000123FA">
        <w:rPr>
          <w:noProof/>
        </w:rPr>
        <mc:AlternateContent>
          <mc:Choice Requires="cx">
            <w:drawing>
              <wp:inline distT="0" distB="0" distL="0" distR="0" wp14:anchorId="135ED0C2" wp14:editId="7DD49EFA">
                <wp:extent cx="4572000" cy="2743200"/>
                <wp:effectExtent l="0" t="0" r="0" b="0"/>
                <wp:docPr id="12" name="图表 1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135ED0C2" wp14:editId="7DD49EFA">
                <wp:extent cx="4572000" cy="2743200"/>
                <wp:effectExtent l="0" t="0" r="0" b="0"/>
                <wp:docPr id="12" name="图表 1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图表 1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625F583" w14:textId="7D65ED82" w:rsidR="006C1802" w:rsidRDefault="006C1802" w:rsidP="004271B5">
      <w:r w:rsidRPr="006C1802">
        <w:t>从两个样本数据的直方图上我们可以看出，</w:t>
      </w:r>
      <w:r>
        <w:t>文字与颜色匹配</w:t>
      </w:r>
      <w:r>
        <w:rPr>
          <w:rFonts w:hint="eastAsia"/>
        </w:rPr>
        <w:t>所使用的</w:t>
      </w:r>
      <w:r w:rsidRPr="006C1802">
        <w:t>时间，大多集中在</w:t>
      </w:r>
      <w:r>
        <w:t>10</w:t>
      </w:r>
      <w:r w:rsidRPr="006C1802">
        <w:t>到</w:t>
      </w:r>
      <w:r w:rsidRPr="006C1802">
        <w:t>18</w:t>
      </w:r>
      <w:r w:rsidRPr="006C1802">
        <w:t>之间。文字与颜色不匹配</w:t>
      </w:r>
      <w:r>
        <w:rPr>
          <w:rFonts w:hint="eastAsia"/>
        </w:rPr>
        <w:t>所使用的</w:t>
      </w:r>
      <w:r>
        <w:t>的</w:t>
      </w:r>
      <w:r w:rsidRPr="006C1802">
        <w:t>时间，大多集中在</w:t>
      </w:r>
      <w:r w:rsidRPr="006C1802">
        <w:t>1</w:t>
      </w:r>
      <w:r w:rsidR="002027D4">
        <w:t>5</w:t>
      </w:r>
      <w:r w:rsidRPr="006C1802">
        <w:t>到</w:t>
      </w:r>
      <w:r w:rsidRPr="006C1802">
        <w:t>2</w:t>
      </w:r>
      <w:r w:rsidR="002027D4">
        <w:t>5</w:t>
      </w:r>
      <w:r w:rsidRPr="006C1802">
        <w:t>之间</w:t>
      </w:r>
      <w:r w:rsidR="002027D4">
        <w:rPr>
          <w:rFonts w:hint="eastAsia"/>
        </w:rPr>
        <w:t>。</w:t>
      </w:r>
    </w:p>
    <w:p w14:paraId="10AAE79F" w14:textId="4A3DCDF8" w:rsidR="00884243" w:rsidRDefault="00884243" w:rsidP="00884243">
      <w:pPr>
        <w:pStyle w:val="2"/>
      </w:pPr>
      <w:r>
        <w:rPr>
          <w:rFonts w:hint="eastAsia"/>
        </w:rPr>
        <w:t>数据集的统计描述</w:t>
      </w:r>
    </w:p>
    <w:p w14:paraId="46F87262" w14:textId="7A00CE87" w:rsidR="00884243" w:rsidRDefault="00884243" w:rsidP="00884243">
      <w:r>
        <w:rPr>
          <w:rFonts w:hint="eastAsia"/>
        </w:rPr>
        <w:t>匹配的平均值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acc>
      </m:oMath>
      <w:r>
        <w:rPr>
          <w:rFonts w:hint="eastAsia"/>
        </w:rPr>
        <w:t>=</w:t>
      </w:r>
      <w:r>
        <w:t xml:space="preserve"> 14.05</w:t>
      </w:r>
    </w:p>
    <w:p w14:paraId="0BFFF7C6" w14:textId="379483A5" w:rsidR="00C86B19" w:rsidRDefault="00C86B19" w:rsidP="00884243">
      <w:r>
        <w:rPr>
          <w:rFonts w:hint="eastAsia"/>
        </w:rPr>
        <w:t>不匹配的平均值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acc>
      </m:oMath>
      <w:r>
        <w:rPr>
          <w:rFonts w:hint="eastAsia"/>
        </w:rPr>
        <w:t>=</w:t>
      </w:r>
      <w:r>
        <w:t>22.0</w:t>
      </w:r>
      <w:r w:rsidR="00665826">
        <w:t>2</w:t>
      </w:r>
    </w:p>
    <w:p w14:paraId="2F968DCF" w14:textId="42B6F450" w:rsidR="00C86B19" w:rsidRDefault="00C86B19" w:rsidP="00884243">
      <w:r>
        <w:rPr>
          <w:rFonts w:hint="eastAsia"/>
        </w:rPr>
        <w:t>两者的</w:t>
      </w:r>
      <w:r w:rsidR="00665826">
        <w:rPr>
          <w:rFonts w:hint="eastAsia"/>
        </w:rPr>
        <w:t>平均值差</w:t>
      </w:r>
      <w:r w:rsidR="00D91772">
        <w:object w:dxaOrig="1960" w:dyaOrig="400" w14:anchorId="7FB427ED">
          <v:shape id="_x0000_i1026" type="#_x0000_t75" style="width:98.25pt;height:20.25pt" o:ole="">
            <v:imagedata r:id="rId19" o:title=""/>
          </v:shape>
          <o:OLEObject Type="Embed" ProgID="Unknown" ShapeID="_x0000_i1026" DrawAspect="Content" ObjectID="_1566589378" r:id="rId20"/>
        </w:object>
      </w:r>
    </w:p>
    <w:p w14:paraId="724E1CB4" w14:textId="01F5FADE" w:rsidR="00665826" w:rsidRDefault="00665826" w:rsidP="00884243">
      <w:r>
        <w:rPr>
          <w:rFonts w:hint="eastAsia"/>
        </w:rPr>
        <w:t>标准差</w:t>
      </w:r>
      <w:r w:rsidR="00E64B0D">
        <w:object w:dxaOrig="1980" w:dyaOrig="540" w14:anchorId="4E73CF4C">
          <v:shape id="_x0000_i1027" type="#_x0000_t75" style="width:99pt;height:27pt" o:ole="">
            <v:imagedata r:id="rId21" o:title=""/>
          </v:shape>
          <o:OLEObject Type="Embed" ProgID="Unknown" ShapeID="_x0000_i1027" DrawAspect="Content" ObjectID="_1566589379" r:id="rId22"/>
        </w:object>
      </w:r>
    </w:p>
    <w:p w14:paraId="1F7BABC1" w14:textId="42FD2B28" w:rsidR="00D04FE7" w:rsidRDefault="00D04FE7" w:rsidP="00884243">
      <w:r>
        <w:rPr>
          <w:rFonts w:hint="eastAsia"/>
        </w:rPr>
        <w:lastRenderedPageBreak/>
        <w:t>标准误差</w:t>
      </w:r>
      <w:r w:rsidR="00E64B0D">
        <w:object w:dxaOrig="1640" w:dyaOrig="340" w14:anchorId="0C635631">
          <v:shape id="_x0000_i1028" type="#_x0000_t75" style="width:105.75pt;height:22.5pt" o:ole="">
            <v:imagedata r:id="rId23" o:title=""/>
          </v:shape>
          <o:OLEObject Type="Embed" ProgID="Unknown" ShapeID="_x0000_i1028" DrawAspect="Content" ObjectID="_1566589380" r:id="rId24"/>
        </w:object>
      </w:r>
    </w:p>
    <w:p w14:paraId="0117776F" w14:textId="273CF48D" w:rsidR="006D0104" w:rsidRDefault="006D0104" w:rsidP="00884243">
      <w:r>
        <w:t>t</w:t>
      </w:r>
      <w:r>
        <w:rPr>
          <w:rFonts w:hint="eastAsia"/>
        </w:rPr>
        <w:t>统计量</w:t>
      </w:r>
      <w:r w:rsidR="000D6DEA">
        <w:object w:dxaOrig="1980" w:dyaOrig="680" w14:anchorId="4D57AB5F">
          <v:shape id="_x0000_i1029" type="#_x0000_t75" style="width:99pt;height:33.75pt" o:ole="">
            <v:imagedata r:id="rId25" o:title=""/>
          </v:shape>
          <o:OLEObject Type="Embed" ProgID="Unknown" ShapeID="_x0000_i1029" DrawAspect="Content" ObjectID="_1566589381" r:id="rId26"/>
        </w:object>
      </w:r>
    </w:p>
    <w:p w14:paraId="3DC5D770" w14:textId="0E1BF108" w:rsidR="00382EBC" w:rsidRDefault="00382EBC" w:rsidP="00884243">
      <w:r>
        <w:rPr>
          <w:rFonts w:hint="eastAsia"/>
        </w:rPr>
        <w:t>自由度</w:t>
      </w:r>
      <w:r>
        <w:object w:dxaOrig="800" w:dyaOrig="320" w14:anchorId="75240433">
          <v:shape id="_x0000_i1030" type="#_x0000_t75" style="width:39.75pt;height:15.75pt" o:ole="">
            <v:imagedata r:id="rId27" o:title=""/>
          </v:shape>
          <o:OLEObject Type="Embed" ProgID="Unknown" ShapeID="_x0000_i1030" DrawAspect="Content" ObjectID="_1566589382" r:id="rId28"/>
        </w:object>
      </w:r>
    </w:p>
    <w:p w14:paraId="639903A3" w14:textId="19AA6858" w:rsidR="00E64B0D" w:rsidRDefault="00E64B0D" w:rsidP="00884243">
      <w:r>
        <w:t>t</w:t>
      </w:r>
      <w:r>
        <w:rPr>
          <w:rFonts w:hint="eastAsia"/>
        </w:rPr>
        <w:t>临界值</w:t>
      </w:r>
      <w:r w:rsidR="001D6297">
        <w:object w:dxaOrig="1340" w:dyaOrig="360" w14:anchorId="3F887AE1">
          <v:shape id="_x0000_i1031" type="#_x0000_t75" style="width:66.75pt;height:18pt" o:ole="">
            <v:imagedata r:id="rId29" o:title=""/>
          </v:shape>
          <o:OLEObject Type="Embed" ProgID="Unknown" ShapeID="_x0000_i1031" DrawAspect="Content" ObjectID="_1566589383" r:id="rId30"/>
        </w:object>
      </w:r>
    </w:p>
    <w:p w14:paraId="3B9D1BF8" w14:textId="2B64440B" w:rsidR="00E64B0D" w:rsidRDefault="00E64B0D" w:rsidP="00884243">
      <w:r>
        <w:rPr>
          <w:rFonts w:hint="eastAsia"/>
        </w:rPr>
        <w:t>效应量</w:t>
      </w:r>
      <w:r>
        <w:object w:dxaOrig="1700" w:dyaOrig="660" w14:anchorId="18E3AECD">
          <v:shape id="_x0000_i1032" type="#_x0000_t75" style="width:84.75pt;height:33pt" o:ole="">
            <v:imagedata r:id="rId31" o:title=""/>
          </v:shape>
          <o:OLEObject Type="Embed" ProgID="Unknown" ShapeID="_x0000_i1032" DrawAspect="Content" ObjectID="_1566589384" r:id="rId32"/>
        </w:object>
      </w:r>
      <w:r>
        <w:rPr>
          <w:rFonts w:hint="eastAsia"/>
        </w:rPr>
        <w:t>，即有</w:t>
      </w:r>
      <w:r>
        <w:rPr>
          <w:rFonts w:hint="eastAsia"/>
        </w:rPr>
        <w:t>74%</w:t>
      </w:r>
      <w:r>
        <w:rPr>
          <w:rFonts w:hint="eastAsia"/>
        </w:rPr>
        <w:t>的差异是由文字和颜色</w:t>
      </w:r>
      <w:r w:rsidR="00D91772">
        <w:rPr>
          <w:rFonts w:hint="eastAsia"/>
        </w:rPr>
        <w:t>匹不匹配所造成的的</w:t>
      </w:r>
    </w:p>
    <w:p w14:paraId="40931C02" w14:textId="239283A3" w:rsidR="00D91772" w:rsidRDefault="002D5472" w:rsidP="00884243">
      <w:r>
        <w:rPr>
          <w:rFonts w:hint="eastAsia"/>
        </w:rPr>
        <w:t>自由度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95%</w:t>
      </w:r>
      <w:r>
        <w:rPr>
          <w:rFonts w:hint="eastAsia"/>
        </w:rPr>
        <w:t>置信区间的</w:t>
      </w:r>
      <w:r>
        <w:rPr>
          <w:rFonts w:hint="eastAsia"/>
        </w:rPr>
        <w:t>t</w:t>
      </w:r>
      <w:r>
        <w:rPr>
          <w:rFonts w:hint="eastAsia"/>
        </w:rPr>
        <w:t>临界值是</w:t>
      </w:r>
      <w:r>
        <w:rPr>
          <w:rFonts w:hint="eastAsia"/>
        </w:rPr>
        <w:t>2.069</w:t>
      </w:r>
      <w:r>
        <w:rPr>
          <w:rFonts w:hint="eastAsia"/>
        </w:rPr>
        <w:t>，</w:t>
      </w:r>
      <w:r w:rsidR="00D91772">
        <w:rPr>
          <w:rFonts w:hint="eastAsia"/>
        </w:rPr>
        <w:t>误差界限为</w:t>
      </w:r>
      <w:r>
        <w:object w:dxaOrig="1840" w:dyaOrig="360" w14:anchorId="2757CF70">
          <v:shape id="_x0000_i1038" type="#_x0000_t75" style="width:91.5pt;height:18pt" o:ole="">
            <v:imagedata r:id="rId33" o:title=""/>
          </v:shape>
          <o:OLEObject Type="Embed" ProgID="Unknown" ShapeID="_x0000_i1038" DrawAspect="Content" ObjectID="_1566589385" r:id="rId34"/>
        </w:object>
      </w:r>
    </w:p>
    <w:p w14:paraId="33BFB1AA" w14:textId="6A976D7D" w:rsidR="00D91772" w:rsidRDefault="000D6DEA" w:rsidP="000D6DEA">
      <w:r>
        <w:rPr>
          <w:rFonts w:hint="eastAsia"/>
        </w:rPr>
        <w:t>置信区间</w:t>
      </w:r>
      <w:bookmarkStart w:id="0" w:name="_GoBack"/>
      <w:r w:rsidR="002D5472">
        <w:object w:dxaOrig="4580" w:dyaOrig="420" w14:anchorId="53DB98A2">
          <v:shape id="_x0000_i1040" type="#_x0000_t75" style="width:228.75pt;height:21pt" o:ole="">
            <v:imagedata r:id="rId35" o:title=""/>
          </v:shape>
          <o:OLEObject Type="Embed" ProgID="Unknown" ShapeID="_x0000_i1040" DrawAspect="Content" ObjectID="_1566589386" r:id="rId36"/>
        </w:object>
      </w:r>
      <w:bookmarkEnd w:id="0"/>
    </w:p>
    <w:p w14:paraId="3EC3B0A1" w14:textId="48A42775" w:rsidR="000D6DEA" w:rsidRDefault="000D6DEA" w:rsidP="000D6DEA">
      <w:pPr>
        <w:pStyle w:val="2"/>
      </w:pPr>
      <w:r>
        <w:rPr>
          <w:rFonts w:hint="eastAsia"/>
        </w:rPr>
        <w:t>决策</w:t>
      </w:r>
    </w:p>
    <w:p w14:paraId="5C8A7D28" w14:textId="7844BCA1" w:rsidR="000D6DEA" w:rsidRDefault="000D6DEA" w:rsidP="000D6DEA">
      <w:pPr>
        <w:rPr>
          <w:rFonts w:ascii="Times New Roman" w:hAnsi="Times New Roman" w:cs="Times New Roman"/>
        </w:rPr>
      </w:pPr>
      <w:r>
        <w:rPr>
          <w:rFonts w:hint="eastAsia"/>
        </w:rPr>
        <w:t>由于</w:t>
      </w:r>
      <w:r>
        <w:object w:dxaOrig="1280" w:dyaOrig="360" w14:anchorId="224B364D">
          <v:shape id="_x0000_i1035" type="#_x0000_t75" style="width:63.75pt;height:18pt" o:ole="">
            <v:imagedata r:id="rId37" o:title=""/>
          </v:shape>
          <o:OLEObject Type="Embed" ProgID="Unknown" ShapeID="_x0000_i1035" DrawAspect="Content" ObjectID="_1566589387" r:id="rId38"/>
        </w:object>
      </w:r>
      <w:r w:rsidR="006C1802">
        <w:rPr>
          <w:rFonts w:hint="eastAsia"/>
        </w:rPr>
        <w:t>落入</w:t>
      </w:r>
      <w:r w:rsidR="006C1802">
        <w:rPr>
          <w:rFonts w:hint="eastAsia"/>
        </w:rPr>
        <w:t>-</w:t>
      </w:r>
      <w:r w:rsidR="00CD2988">
        <w:t>1.714</w:t>
      </w:r>
      <w:r w:rsidR="006C1802">
        <w:rPr>
          <w:rFonts w:hint="eastAsia"/>
        </w:rPr>
        <w:t>以左的拒绝域，</w:t>
      </w:r>
      <w:r w:rsidR="006327EC">
        <w:object w:dxaOrig="1120" w:dyaOrig="279" w14:anchorId="5E3CBAC0">
          <v:shape id="_x0000_i1036" type="#_x0000_t75" style="width:56.25pt;height:14.25pt" o:ole="">
            <v:imagedata r:id="rId39" o:title=""/>
          </v:shape>
          <o:OLEObject Type="Embed" ProgID="Unknown" ShapeID="_x0000_i1036" DrawAspect="Content" ObjectID="_1566589388" r:id="rId40"/>
        </w:object>
      </w:r>
      <w:r w:rsidR="006327EC">
        <w:rPr>
          <w:rFonts w:hint="eastAsia"/>
        </w:rPr>
        <w:t>，</w:t>
      </w:r>
      <w:r w:rsidR="006C1802">
        <w:rPr>
          <w:rFonts w:hint="eastAsia"/>
        </w:rPr>
        <w:t>零假设被拒绝。所以有理由相信</w:t>
      </w:r>
      <w:r w:rsidR="006C1802">
        <w:rPr>
          <w:rFonts w:ascii="Times New Roman" w:hAnsi="Times New Roman" w:cs="Times New Roman" w:hint="eastAsia"/>
        </w:rPr>
        <w:t>文字与颜色匹配时，参与者全部完成所使用的的时间更少。</w:t>
      </w:r>
    </w:p>
    <w:p w14:paraId="1BF5213F" w14:textId="668A80E8" w:rsidR="006327EC" w:rsidRDefault="006327EC" w:rsidP="006327EC">
      <w:pPr>
        <w:pStyle w:val="2"/>
      </w:pPr>
      <w:r>
        <w:rPr>
          <w:rFonts w:hint="eastAsia"/>
        </w:rPr>
        <w:t>参考文献</w:t>
      </w:r>
    </w:p>
    <w:p w14:paraId="6A802FA7" w14:textId="390BADAE" w:rsidR="006327EC" w:rsidRDefault="006327EC" w:rsidP="006327EC">
      <w:r>
        <w:rPr>
          <w:rFonts w:hint="eastAsia"/>
        </w:rPr>
        <w:t>《</w:t>
      </w:r>
      <w:r w:rsidRPr="006327EC">
        <w:rPr>
          <w:rFonts w:hint="eastAsia"/>
        </w:rPr>
        <w:t>商务统计学第</w:t>
      </w:r>
      <w:r w:rsidRPr="006327EC">
        <w:rPr>
          <w:rFonts w:hint="eastAsia"/>
        </w:rPr>
        <w:t>5</w:t>
      </w:r>
      <w:r w:rsidRPr="006327EC">
        <w:rPr>
          <w:rFonts w:hint="eastAsia"/>
        </w:rPr>
        <w:t>版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>作者：美</w:t>
      </w:r>
      <w:r>
        <w:t>)</w:t>
      </w:r>
      <w:r>
        <w:t>戴维</w:t>
      </w:r>
      <w:r>
        <w:t xml:space="preserve">·M. </w:t>
      </w:r>
      <w:r>
        <w:t>莱文</w:t>
      </w:r>
      <w:r>
        <w:rPr>
          <w:rFonts w:hint="eastAsia"/>
        </w:rPr>
        <w:t xml:space="preserve"> </w:t>
      </w:r>
      <w:r>
        <w:t xml:space="preserve"> </w:t>
      </w:r>
      <w:r>
        <w:t>出版社：中国人民大学出版社</w:t>
      </w:r>
    </w:p>
    <w:p w14:paraId="3EB98A89" w14:textId="32F0C9D9" w:rsidR="006327EC" w:rsidRPr="006327EC" w:rsidRDefault="006327EC" w:rsidP="006327EC">
      <w:r w:rsidRPr="006327EC">
        <w:t>https://en.wikipedia.org/wiki/Stroop_effect</w:t>
      </w:r>
    </w:p>
    <w:sectPr w:rsidR="006327EC" w:rsidRPr="00632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D3917" w14:textId="77777777" w:rsidR="00CE55DA" w:rsidRDefault="00CE55DA" w:rsidP="00FC7EE5">
      <w:r>
        <w:separator/>
      </w:r>
    </w:p>
  </w:endnote>
  <w:endnote w:type="continuationSeparator" w:id="0">
    <w:p w14:paraId="5C22FBC4" w14:textId="77777777" w:rsidR="00CE55DA" w:rsidRDefault="00CE55DA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8AA3C" w14:textId="77777777" w:rsidR="00CE55DA" w:rsidRDefault="00CE55DA" w:rsidP="00FC7EE5">
      <w:r>
        <w:separator/>
      </w:r>
    </w:p>
  </w:footnote>
  <w:footnote w:type="continuationSeparator" w:id="0">
    <w:p w14:paraId="384EBC17" w14:textId="77777777" w:rsidR="00CE55DA" w:rsidRDefault="00CE55DA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D6DEA"/>
    <w:rsid w:val="00113433"/>
    <w:rsid w:val="00166253"/>
    <w:rsid w:val="001D6297"/>
    <w:rsid w:val="001E3B6E"/>
    <w:rsid w:val="002027D4"/>
    <w:rsid w:val="00275AD3"/>
    <w:rsid w:val="002D5472"/>
    <w:rsid w:val="003342CB"/>
    <w:rsid w:val="003521D6"/>
    <w:rsid w:val="00382EBC"/>
    <w:rsid w:val="00387474"/>
    <w:rsid w:val="004271B5"/>
    <w:rsid w:val="00427C2F"/>
    <w:rsid w:val="004323D6"/>
    <w:rsid w:val="00454ECF"/>
    <w:rsid w:val="004655E3"/>
    <w:rsid w:val="004C357E"/>
    <w:rsid w:val="00513A2E"/>
    <w:rsid w:val="005A5A5C"/>
    <w:rsid w:val="005B20EF"/>
    <w:rsid w:val="005B40FB"/>
    <w:rsid w:val="005B6A34"/>
    <w:rsid w:val="005D477F"/>
    <w:rsid w:val="005F011D"/>
    <w:rsid w:val="006327EC"/>
    <w:rsid w:val="00665826"/>
    <w:rsid w:val="006A5478"/>
    <w:rsid w:val="006B5251"/>
    <w:rsid w:val="006C1802"/>
    <w:rsid w:val="006D0104"/>
    <w:rsid w:val="00715C80"/>
    <w:rsid w:val="00756825"/>
    <w:rsid w:val="007C47D5"/>
    <w:rsid w:val="00884243"/>
    <w:rsid w:val="0089198B"/>
    <w:rsid w:val="008F0818"/>
    <w:rsid w:val="009A1182"/>
    <w:rsid w:val="009A1CF5"/>
    <w:rsid w:val="009A2B04"/>
    <w:rsid w:val="009C367F"/>
    <w:rsid w:val="009E4F43"/>
    <w:rsid w:val="009F6EA4"/>
    <w:rsid w:val="00A366B5"/>
    <w:rsid w:val="00A9744C"/>
    <w:rsid w:val="00AF788F"/>
    <w:rsid w:val="00B41751"/>
    <w:rsid w:val="00BB55D3"/>
    <w:rsid w:val="00BD7073"/>
    <w:rsid w:val="00C86B19"/>
    <w:rsid w:val="00CA75CF"/>
    <w:rsid w:val="00CB71C5"/>
    <w:rsid w:val="00CD2988"/>
    <w:rsid w:val="00CE55DA"/>
    <w:rsid w:val="00CE7045"/>
    <w:rsid w:val="00D04FE7"/>
    <w:rsid w:val="00D91772"/>
    <w:rsid w:val="00DA498F"/>
    <w:rsid w:val="00DF7CEA"/>
    <w:rsid w:val="00E266F2"/>
    <w:rsid w:val="00E3505C"/>
    <w:rsid w:val="00E36FB2"/>
    <w:rsid w:val="00E64B0D"/>
    <w:rsid w:val="00E9768B"/>
    <w:rsid w:val="00EB5595"/>
    <w:rsid w:val="00EC6B9A"/>
    <w:rsid w:val="00ED5B0A"/>
    <w:rsid w:val="00EE2D3C"/>
    <w:rsid w:val="00EF66CF"/>
    <w:rsid w:val="00F03D7E"/>
    <w:rsid w:val="00F53F67"/>
    <w:rsid w:val="00F54B30"/>
    <w:rsid w:val="00FA2812"/>
    <w:rsid w:val="00FB0EFF"/>
    <w:rsid w:val="00FC7EE5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7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Placeholder Text"/>
    <w:basedOn w:val="a0"/>
    <w:uiPriority w:val="99"/>
    <w:semiHidden/>
    <w:rsid w:val="0089198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4271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image" Target="media/image6.png"/><Relationship Id="rId26" Type="http://schemas.openxmlformats.org/officeDocument/2006/relationships/oleObject" Target="embeddings/oleObject5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theme" Target="theme/theme1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2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chart" Target="charts/chart5.xml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Study\&#20070;&#31821;\&#25968;&#25454;\stroopdata_1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Study\&#20070;&#31821;\&#25968;&#25454;\stroopdata_1.csv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Study\&#20070;&#31821;\&#25968;&#25454;\stroopdata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Study\&#20070;&#31821;\&#25968;&#25454;\stroopdata_1.csv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Study\&#20070;&#31821;\&#25968;&#25454;\stroopdata_1.csv" TargetMode="Externa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stroopdata_1.csv!$A$2:$A$25</cx:f>
        <cx:lvl ptCount="24" formatCode="G/通用格式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zh-CN"/>
              <a:t>Congruent</a:t>
            </a:r>
            <a:endParaRPr lang="zh-CN"/>
          </a:p>
        </cx:rich>
      </cx:tx>
    </cx:title>
    <cx:plotArea>
      <cx:plotAreaRegion>
        <cx:series layoutId="clusteredColumn" uniqueId="{14930A06-3D7F-4330-AD40-72D9673BC0DF}">
          <cx:dataId val="0"/>
          <cx:layoutPr>
            <cx:binning intervalClosed="r" underflow="auto" overflow="auto">
              <cx:binCount val="8"/>
            </cx:binning>
          </cx:layoutPr>
        </cx:series>
      </cx:plotAreaRegion>
      <cx:axis id="0">
        <cx:catScaling gapWidth="0"/>
        <cx:tickLabels/>
        <cx:numFmt formatCode="0.00_);[红色](0.00)" sourceLinked="0"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stroopdata_1.csv!$B$2:$B$25</cx:f>
        <cx:lvl ptCount="24" formatCode="G/通用格式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zh-CN"/>
              <a:t>Incongruent</a:t>
            </a:r>
            <a:endParaRPr lang="zh-CN"/>
          </a:p>
        </cx:rich>
      </cx:tx>
    </cx:title>
    <cx:plotArea>
      <cx:plotAreaRegion>
        <cx:series layoutId="clusteredColumn" uniqueId="{D53D836F-F0CD-45C8-A5FF-584C96ED6AC7}">
          <cx:dataId val="0"/>
          <cx:layoutPr>
            <cx:binning intervalClosed="r" overflow="auto">
              <cx:binCount val="11"/>
            </cx:binning>
          </cx:layoutPr>
        </cx:series>
      </cx:plotAreaRegion>
      <cx:axis id="0">
        <cx:catScaling gapWidth="0"/>
        <cx:tickLabels/>
        <cx:numFmt formatCode="0.00_);[红色](0.00)" sourceLinked="0"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stroopdata.csv!$A$2:$A$25</cx:f>
        <cx:lvl ptCount="24" formatCode="G/通用格式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  <cx:data id="1">
      <cx:numDim type="val">
        <cx:f>stroopdata.csv!$B$2:$B$25</cx:f>
        <cx:lvl ptCount="24" formatCode="G/通用格式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zh-CN" altLang="en-US"/>
              <a:t>箱形图</a:t>
            </a:r>
            <a:endParaRPr lang="zh-CN"/>
          </a:p>
        </cx:rich>
      </cx:tx>
    </cx:title>
    <cx:plotArea>
      <cx:plotAreaRegion>
        <cx:series layoutId="boxWhisker" uniqueId="{CD2230E8-E889-42DE-8824-84ACF54B45F1}">
          <cx:tx>
            <cx:txData>
              <cx:f/>
              <cx:v>Congruent</cx:v>
            </cx:txData>
          </cx:tx>
          <cx:dataLabels>
            <cx:numFmt formatCode="0.00_);[红色](0.00)" sourceLinked="0"/>
            <cx:visibility seriesName="0" categoryName="0" value="1"/>
            <cx:separator>, </cx:separator>
          </cx:dataLabels>
          <cx:dataId val="0"/>
          <cx:layoutPr>
            <cx:visibility meanLine="0" nonoutliers="0"/>
            <cx:statistics quartileMethod="exclusive"/>
          </cx:layoutPr>
        </cx:series>
        <cx:series layoutId="boxWhisker" uniqueId="{925EB0D1-8830-4291-BF97-6B7A13CD851D}">
          <cx:tx>
            <cx:txData>
              <cx:f/>
              <cx:v>Inongruent</cx:v>
            </cx:txData>
          </cx:tx>
          <cx:dataLabels>
            <cx:visibility seriesName="0" categoryName="0" value="1"/>
          </cx:dataLabels>
          <cx:dataId val="1"/>
          <cx:layoutPr>
            <cx:visibility meanLine="0" nonoutliers="0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hart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stroopdata_1.csv!$A$2:$A$25</cx:f>
        <cx:lvl ptCount="24" formatCode="G/通用格式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zh-CN"/>
              <a:t>Congruent</a:t>
            </a:r>
            <a:endParaRPr lang="zh-CN"/>
          </a:p>
        </cx:rich>
      </cx:tx>
    </cx:title>
    <cx:plotArea>
      <cx:plotAreaRegion>
        <cx:series layoutId="clusteredColumn" uniqueId="{14930A06-3D7F-4330-AD40-72D9673BC0DF}">
          <cx:dataId val="0"/>
          <cx:layoutPr>
            <cx:binning intervalClosed="r" underflow="auto" overflow="auto">
              <cx:binCount val="8"/>
            </cx:binning>
          </cx:layoutPr>
        </cx:series>
      </cx:plotAreaRegion>
      <cx:axis id="0">
        <cx:catScaling gapWidth="0"/>
        <cx:tickLabels/>
        <cx:numFmt formatCode="0.00_);[红色](0.00)" sourceLinked="0"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stroopdata_1.csv!$B$2:$B$25</cx:f>
        <cx:lvl ptCount="24" formatCode="G/通用格式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zh-CN"/>
              <a:t>Incongruent</a:t>
            </a:r>
            <a:endParaRPr lang="zh-CN"/>
          </a:p>
        </cx:rich>
      </cx:tx>
    </cx:title>
    <cx:plotArea>
      <cx:plotAreaRegion>
        <cx:series layoutId="clusteredColumn" uniqueId="{D53D836F-F0CD-45C8-A5FF-584C96ED6AC7}">
          <cx:dataId val="0"/>
          <cx:layoutPr>
            <cx:binning intervalClosed="r" overflow="auto">
              <cx:binCount val="11"/>
            </cx:binning>
          </cx:layoutPr>
        </cx:series>
      </cx:plotAreaRegion>
      <cx:axis id="0">
        <cx:catScaling gapWidth="0"/>
        <cx:tickLabels/>
        <cx:numFmt formatCode="0.00_);[红色](0.00)" sourceLinked="0"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jhao</cp:lastModifiedBy>
  <cp:revision>4</cp:revision>
  <cp:lastPrinted>2017-09-10T14:47:00Z</cp:lastPrinted>
  <dcterms:created xsi:type="dcterms:W3CDTF">2017-09-10T10:40:00Z</dcterms:created>
  <dcterms:modified xsi:type="dcterms:W3CDTF">2017-09-10T14:56:00Z</dcterms:modified>
</cp:coreProperties>
</file>