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966B4" w14:textId="77777777" w:rsidR="002D6CFC" w:rsidRDefault="00C50FB5">
      <w:pPr>
        <w:jc w:val="center"/>
        <w:rPr>
          <w:b/>
        </w:rPr>
      </w:pPr>
      <w:r>
        <w:rPr>
          <w:b/>
        </w:rPr>
        <w:t>B-SNIP ADEPT Phase I Report</w:t>
      </w:r>
    </w:p>
    <w:p w14:paraId="0F85F6AA" w14:textId="77777777" w:rsidR="002D6CFC" w:rsidRDefault="00C50FB5">
      <w:pPr>
        <w:jc w:val="center"/>
        <w:rPr>
          <w:b/>
        </w:rPr>
      </w:pPr>
      <w:r>
        <w:rPr>
          <w:b/>
        </w:rPr>
        <w:t>Biotype Classification Based on Clinical Features Only</w:t>
      </w:r>
    </w:p>
    <w:p w14:paraId="2154811F" w14:textId="77777777" w:rsidR="002D6CFC" w:rsidRDefault="002D6CFC">
      <w:pPr>
        <w:jc w:val="center"/>
      </w:pPr>
    </w:p>
    <w:p w14:paraId="41EA3FEE" w14:textId="77777777" w:rsidR="002D6CFC" w:rsidRDefault="002D6CFC">
      <w:pPr>
        <w:jc w:val="center"/>
      </w:pPr>
    </w:p>
    <w:p w14:paraId="52A353BE" w14:textId="77777777" w:rsidR="002D6CFC" w:rsidRDefault="00C50FB5">
      <w:pPr>
        <w:jc w:val="center"/>
      </w:pPr>
      <w:r>
        <w:t>Brett Clementz</w:t>
      </w:r>
    </w:p>
    <w:p w14:paraId="5ED08866" w14:textId="77777777" w:rsidR="002D6CFC" w:rsidRDefault="00C50FB5">
      <w:pPr>
        <w:jc w:val="center"/>
      </w:pPr>
      <w:r>
        <w:t>University of Georgia</w:t>
      </w:r>
    </w:p>
    <w:p w14:paraId="010D8BDF" w14:textId="77777777" w:rsidR="002D6CFC" w:rsidRDefault="002D6CFC">
      <w:pPr>
        <w:jc w:val="center"/>
      </w:pPr>
    </w:p>
    <w:p w14:paraId="7FBBA32E" w14:textId="77777777" w:rsidR="002D6CFC" w:rsidRDefault="00C50FB5">
      <w:pPr>
        <w:jc w:val="center"/>
      </w:pPr>
      <w:r>
        <w:t>Ishanu Chattopadhyay</w:t>
      </w:r>
    </w:p>
    <w:p w14:paraId="5C700C41" w14:textId="77777777" w:rsidR="002D6CFC" w:rsidRDefault="00C50FB5">
      <w:pPr>
        <w:jc w:val="center"/>
      </w:pPr>
      <w:r>
        <w:t>Robert Gibbons</w:t>
      </w:r>
    </w:p>
    <w:p w14:paraId="5192F83F" w14:textId="77777777" w:rsidR="002D6CFC" w:rsidRDefault="00C50FB5">
      <w:pPr>
        <w:jc w:val="center"/>
      </w:pPr>
      <w:r>
        <w:t>University of Chicago</w:t>
      </w:r>
    </w:p>
    <w:p w14:paraId="0E4A728A" w14:textId="77777777" w:rsidR="002D6CFC" w:rsidRDefault="002D6CFC">
      <w:pPr>
        <w:jc w:val="center"/>
      </w:pPr>
    </w:p>
    <w:p w14:paraId="5918CFF4" w14:textId="77777777" w:rsidR="002D6CFC" w:rsidRDefault="00C50FB5">
      <w:pPr>
        <w:jc w:val="center"/>
      </w:pPr>
      <w:r>
        <w:t>November 29, 2021</w:t>
      </w:r>
    </w:p>
    <w:p w14:paraId="27EEA9D8" w14:textId="77777777" w:rsidR="002D6CFC" w:rsidRDefault="002D6CFC">
      <w:pPr>
        <w:jc w:val="center"/>
      </w:pPr>
    </w:p>
    <w:p w14:paraId="09F69405" w14:textId="77777777" w:rsidR="002D6CFC" w:rsidRDefault="002D6CFC"/>
    <w:p w14:paraId="53994168" w14:textId="77777777" w:rsidR="002D6CFC" w:rsidRDefault="002D6CFC"/>
    <w:p w14:paraId="396F1876" w14:textId="6812C0EB" w:rsidR="002D6CFC" w:rsidRDefault="00C50FB5">
      <w:r>
        <w:t>The BSNIP dataset presents a multi-class classification problem with three biotype classes, which we will refer to as B1, B2 and B3. The goal of Phase I is to use clinical symptoms only to produce a low-burden adaptive classifier that can be used by non-B-SNIP sites to inexpensively derive a biotype classification.  The expectation is that we can achieve approximately 60% overall classification accuracy using clinical symptoms alone.  Phase II involves the use of cognitive measures and Phase II EEG measures that are expected to ultimately provide classification accuracy of 90% or more, using a reduced set of features (measures) that were used in deriving the biotypes.   In Phase I, we began with 58 clinical features characterizing each patient. We consider the following approach to inferring our classifier:</w:t>
      </w:r>
    </w:p>
    <w:p w14:paraId="760A2CFF" w14:textId="77777777" w:rsidR="002D6CFC" w:rsidRDefault="002D6CFC"/>
    <w:p w14:paraId="7F6D336F" w14:textId="3E52E7B6" w:rsidR="002D6CFC" w:rsidRDefault="00C50FB5">
      <w:pPr>
        <w:numPr>
          <w:ilvl w:val="0"/>
          <w:numId w:val="2"/>
        </w:numPr>
      </w:pPr>
      <w:r>
        <w:t>We compute a one-vs-all extremely randomized ensemble of decision trees for each of the three classes (i.e., biotypes). An ensemble classifier using the extremely randomized tree algorithm differs from a standard random forest. As in random forests, a random subset of candidate features is used for computing splits, but instead of looking for the most discriminative thresholds, they are drawn at random for each candidate feature and the best of these randomly generated thresholds is selected as the splitting rule. This usually reduces the variance of the model, at the expense of a slightly greater increase in bias. The AUC obtained in out-of-sample runs is shown in Figures 1-3. While the out-sample AUCs obtained for each biotype are rather high (&gt;0.85), the end-to-end performance for the three-class problem is expectedly lower. The average number of features used (out of 58 items) for the overall classification of a patient into one of the three biotypes as a function of the mean accuracy is shown in the following figure (shown with 99% confidence intervals)</w:t>
      </w:r>
    </w:p>
    <w:p w14:paraId="1B5B32D2" w14:textId="77777777" w:rsidR="002D6CFC" w:rsidRDefault="002D6CFC">
      <w:pPr>
        <w:ind w:left="720"/>
      </w:pPr>
    </w:p>
    <w:p w14:paraId="14B961C2" w14:textId="77777777" w:rsidR="002D6CFC" w:rsidRDefault="00C50FB5">
      <w:pPr>
        <w:ind w:left="720"/>
      </w:pPr>
      <w:r>
        <w:rPr>
          <w:noProof/>
        </w:rPr>
        <w:lastRenderedPageBreak/>
        <w:drawing>
          <wp:inline distT="114300" distB="114300" distL="114300" distR="114300" wp14:anchorId="7DEA4C3B" wp14:editId="207B7091">
            <wp:extent cx="4955477" cy="317658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955477" cy="3176588"/>
                    </a:xfrm>
                    <a:prstGeom prst="rect">
                      <a:avLst/>
                    </a:prstGeom>
                    <a:ln/>
                  </pic:spPr>
                </pic:pic>
              </a:graphicData>
            </a:graphic>
          </wp:inline>
        </w:drawing>
      </w:r>
    </w:p>
    <w:p w14:paraId="26E7FD2F" w14:textId="77777777" w:rsidR="002D6CFC" w:rsidRDefault="002D6CFC">
      <w:pPr>
        <w:ind w:left="720"/>
      </w:pPr>
    </w:p>
    <w:p w14:paraId="2CE8C646" w14:textId="77777777" w:rsidR="002D6CFC" w:rsidRDefault="002D6CFC">
      <w:pPr>
        <w:ind w:left="720"/>
      </w:pPr>
    </w:p>
    <w:p w14:paraId="790B28DE" w14:textId="369311FD" w:rsidR="002D6CFC" w:rsidRDefault="00C50FB5">
      <w:pPr>
        <w:numPr>
          <w:ilvl w:val="0"/>
          <w:numId w:val="2"/>
        </w:numPr>
      </w:pPr>
      <w:r>
        <w:t>With these base classifiers we proceed to construct an end-to-end pipeline for the overall problem. In our preliminary studies, we used an empirical maximum likelihood approach to decide on the class of test samples. In our out-of-sample tests, we obtain a median end-to-end accuracy of 62.5%, when the total number of items used is restricted to 20 and rises to ~70% if 25 items are allowed.</w:t>
      </w:r>
      <w:r>
        <w:rPr>
          <w:color w:val="FF0000"/>
        </w:rPr>
        <w:t xml:space="preserve"> </w:t>
      </w:r>
      <w:r>
        <w:t>One example of a normalized confusion matrix is shown below.</w:t>
      </w:r>
    </w:p>
    <w:p w14:paraId="3C2BCAC1" w14:textId="77777777" w:rsidR="002D6CFC" w:rsidRDefault="002D6CFC"/>
    <w:p w14:paraId="770E1C8F" w14:textId="77777777" w:rsidR="002D6CFC" w:rsidRDefault="002D6CFC">
      <w:pPr>
        <w:pBdr>
          <w:top w:val="nil"/>
          <w:left w:val="nil"/>
          <w:bottom w:val="nil"/>
          <w:right w:val="nil"/>
          <w:between w:val="nil"/>
        </w:pBdr>
        <w:ind w:left="720"/>
        <w:rPr>
          <w:color w:val="000000"/>
        </w:rPr>
      </w:pPr>
    </w:p>
    <w:p w14:paraId="736AA0F8" w14:textId="77777777" w:rsidR="002D6CFC" w:rsidRDefault="00C50FB5">
      <w:pPr>
        <w:ind w:left="720"/>
      </w:pPr>
      <w:r>
        <w:t xml:space="preserve">                      Estimated</w:t>
      </w:r>
    </w:p>
    <w:p w14:paraId="5CAE3038" w14:textId="77777777" w:rsidR="002D6CFC" w:rsidRDefault="00C50FB5">
      <w:pPr>
        <w:ind w:left="720"/>
      </w:pPr>
      <w:r>
        <w:t xml:space="preserve">                    B1    B2    B3 </w:t>
      </w:r>
    </w:p>
    <w:p w14:paraId="217CC45D" w14:textId="77777777" w:rsidR="002D6CFC" w:rsidRDefault="00C50FB5">
      <w:pPr>
        <w:ind w:left="720" w:firstLine="720"/>
      </w:pPr>
      <w:r>
        <w:t>B1  0.79  0.11  0.10</w:t>
      </w:r>
    </w:p>
    <w:p w14:paraId="4A85EC77" w14:textId="77777777" w:rsidR="002D6CFC" w:rsidRDefault="00C50FB5">
      <w:pPr>
        <w:ind w:left="720"/>
      </w:pPr>
      <w:r>
        <w:t>True</w:t>
      </w:r>
      <w:r>
        <w:tab/>
        <w:t>B2  0.13  0.62  0.25</w:t>
      </w:r>
    </w:p>
    <w:p w14:paraId="0ECD726A" w14:textId="77777777" w:rsidR="002D6CFC" w:rsidRDefault="00C50FB5">
      <w:pPr>
        <w:ind w:left="720" w:firstLine="720"/>
      </w:pPr>
      <w:r>
        <w:t>B3  0.30  0.11  0.59</w:t>
      </w:r>
    </w:p>
    <w:p w14:paraId="7AAB1689" w14:textId="77777777" w:rsidR="002D6CFC" w:rsidRDefault="002D6CFC"/>
    <w:p w14:paraId="108C714B" w14:textId="77777777" w:rsidR="002D6CFC" w:rsidRDefault="002D6CFC">
      <w:pPr>
        <w:ind w:left="720" w:firstLine="720"/>
      </w:pPr>
    </w:p>
    <w:p w14:paraId="76E316E5" w14:textId="77777777" w:rsidR="002D6CFC" w:rsidRDefault="00C50FB5">
      <w:pPr>
        <w:ind w:left="720"/>
      </w:pPr>
      <w:r>
        <w:t xml:space="preserve">The decision algorithm using the base classifiers needs to choose 2 out of the 3 classifiers (each individually aiming to classify one of the biotypes from the rest). Denoting each of these one-vs-all classifiers as </w:t>
      </w:r>
      <w:r>
        <w:rPr>
          <w:b/>
        </w:rPr>
        <w:t>C</w:t>
      </w:r>
      <w:r>
        <w:rPr>
          <w:b/>
          <w:vertAlign w:val="subscript"/>
        </w:rPr>
        <w:t>i</w:t>
      </w:r>
      <w:r>
        <w:rPr>
          <w:b/>
        </w:rPr>
        <w:t xml:space="preserve">, </w:t>
      </w:r>
      <w:proofErr w:type="spellStart"/>
      <w:r>
        <w:rPr>
          <w:b/>
        </w:rPr>
        <w:t>i</w:t>
      </w:r>
      <w:proofErr w:type="spellEnd"/>
      <w:r>
        <w:rPr>
          <w:b/>
        </w:rPr>
        <w:t>=1,2,3</w:t>
      </w:r>
      <w:r>
        <w:t xml:space="preserve">, we can enumerate the overall the classification algorithm as: </w:t>
      </w:r>
    </w:p>
    <w:p w14:paraId="00F2486E" w14:textId="77777777" w:rsidR="002D6CFC" w:rsidRDefault="002D6CFC">
      <w:pPr>
        <w:ind w:left="720"/>
      </w:pPr>
    </w:p>
    <w:p w14:paraId="69D1538A" w14:textId="77777777" w:rsidR="002D6CFC" w:rsidRDefault="002D6CFC">
      <w:pPr>
        <w:ind w:left="720"/>
      </w:pPr>
    </w:p>
    <w:p w14:paraId="1E7EBC16" w14:textId="77777777" w:rsidR="002D6CFC" w:rsidRDefault="002D6CFC">
      <w:pPr>
        <w:ind w:left="720"/>
      </w:pPr>
    </w:p>
    <w:p w14:paraId="7F026CF5" w14:textId="77777777" w:rsidR="002D6CFC" w:rsidRDefault="002D6CFC">
      <w:pPr>
        <w:ind w:left="720"/>
      </w:pPr>
    </w:p>
    <w:p w14:paraId="1B1AF276" w14:textId="77777777" w:rsidR="002D6CFC" w:rsidRDefault="002D6CFC">
      <w:pPr>
        <w:ind w:left="720"/>
      </w:pPr>
    </w:p>
    <w:p w14:paraId="73D44B4B" w14:textId="77777777" w:rsidR="002D6CFC" w:rsidRDefault="002D6CFC">
      <w:pPr>
        <w:ind w:left="720"/>
      </w:pPr>
    </w:p>
    <w:p w14:paraId="32595F74" w14:textId="77777777" w:rsidR="002D6CFC" w:rsidRDefault="00C50FB5">
      <w:pPr>
        <w:numPr>
          <w:ilvl w:val="0"/>
          <w:numId w:val="1"/>
        </w:numPr>
        <w:rPr>
          <w:rFonts w:ascii="Consolas" w:eastAsia="Consolas" w:hAnsi="Consolas" w:cs="Consolas"/>
        </w:rPr>
      </w:pPr>
      <w:r>
        <w:rPr>
          <w:rFonts w:ascii="Consolas" w:eastAsia="Consolas" w:hAnsi="Consolas" w:cs="Consolas"/>
        </w:rPr>
        <w:lastRenderedPageBreak/>
        <w:t>Use C2</w:t>
      </w:r>
    </w:p>
    <w:p w14:paraId="29AFAB80" w14:textId="77777777" w:rsidR="002D6CFC" w:rsidRDefault="00C50FB5">
      <w:pPr>
        <w:numPr>
          <w:ilvl w:val="0"/>
          <w:numId w:val="1"/>
        </w:numPr>
        <w:rPr>
          <w:rFonts w:ascii="Consolas" w:eastAsia="Consolas" w:hAnsi="Consolas" w:cs="Consolas"/>
        </w:rPr>
      </w:pPr>
      <w:r>
        <w:rPr>
          <w:rFonts w:ascii="Consolas" w:eastAsia="Consolas" w:hAnsi="Consolas" w:cs="Consolas"/>
        </w:rPr>
        <w:t>If decision == B2:</w:t>
      </w:r>
    </w:p>
    <w:p w14:paraId="5353167B" w14:textId="77777777" w:rsidR="002D6CFC" w:rsidRDefault="00C50FB5">
      <w:pPr>
        <w:ind w:left="1440" w:firstLine="720"/>
        <w:rPr>
          <w:rFonts w:ascii="Consolas" w:eastAsia="Consolas" w:hAnsi="Consolas" w:cs="Consolas"/>
        </w:rPr>
      </w:pPr>
      <w:r>
        <w:rPr>
          <w:rFonts w:ascii="Consolas" w:eastAsia="Consolas" w:hAnsi="Consolas" w:cs="Consolas"/>
        </w:rPr>
        <w:t>terminate</w:t>
      </w:r>
    </w:p>
    <w:p w14:paraId="35924360" w14:textId="77777777" w:rsidR="002D6CFC" w:rsidRDefault="00C50FB5">
      <w:pPr>
        <w:ind w:left="1440"/>
        <w:rPr>
          <w:rFonts w:ascii="Consolas" w:eastAsia="Consolas" w:hAnsi="Consolas" w:cs="Consolas"/>
        </w:rPr>
      </w:pPr>
      <w:r>
        <w:rPr>
          <w:rFonts w:ascii="Consolas" w:eastAsia="Consolas" w:hAnsi="Consolas" w:cs="Consolas"/>
        </w:rPr>
        <w:t>Else:</w:t>
      </w:r>
    </w:p>
    <w:p w14:paraId="472F99C8" w14:textId="77777777" w:rsidR="002D6CFC" w:rsidRDefault="00C50FB5">
      <w:pPr>
        <w:numPr>
          <w:ilvl w:val="1"/>
          <w:numId w:val="1"/>
        </w:numPr>
        <w:rPr>
          <w:rFonts w:ascii="Consolas" w:eastAsia="Consolas" w:hAnsi="Consolas" w:cs="Consolas"/>
        </w:rPr>
      </w:pPr>
      <w:r>
        <w:rPr>
          <w:rFonts w:ascii="Consolas" w:eastAsia="Consolas" w:hAnsi="Consolas" w:cs="Consolas"/>
        </w:rPr>
        <w:t>Use C3</w:t>
      </w:r>
    </w:p>
    <w:p w14:paraId="082B7AAE" w14:textId="77777777" w:rsidR="002D6CFC" w:rsidRDefault="00C50FB5">
      <w:pPr>
        <w:numPr>
          <w:ilvl w:val="1"/>
          <w:numId w:val="1"/>
        </w:numPr>
        <w:rPr>
          <w:rFonts w:ascii="Consolas" w:eastAsia="Consolas" w:hAnsi="Consolas" w:cs="Consolas"/>
        </w:rPr>
      </w:pPr>
      <w:r>
        <w:rPr>
          <w:rFonts w:ascii="Consolas" w:eastAsia="Consolas" w:hAnsi="Consolas" w:cs="Consolas"/>
        </w:rPr>
        <w:t>If decision == B3:</w:t>
      </w:r>
    </w:p>
    <w:p w14:paraId="070E23B4" w14:textId="77777777" w:rsidR="002D6CFC" w:rsidRDefault="00C50FB5">
      <w:pPr>
        <w:ind w:left="1440"/>
        <w:rPr>
          <w:rFonts w:ascii="Consolas" w:eastAsia="Consolas" w:hAnsi="Consolas" w:cs="Consolas"/>
        </w:rPr>
      </w:pPr>
      <w:r>
        <w:rPr>
          <w:rFonts w:ascii="Consolas" w:eastAsia="Consolas" w:hAnsi="Consolas" w:cs="Consolas"/>
        </w:rPr>
        <w:tab/>
      </w:r>
      <w:r>
        <w:rPr>
          <w:rFonts w:ascii="Consolas" w:eastAsia="Consolas" w:hAnsi="Consolas" w:cs="Consolas"/>
        </w:rPr>
        <w:tab/>
        <w:t>Terminate</w:t>
      </w:r>
    </w:p>
    <w:p w14:paraId="447C7699" w14:textId="77777777" w:rsidR="002D6CFC" w:rsidRDefault="00C50FB5">
      <w:pPr>
        <w:ind w:left="1440"/>
        <w:rPr>
          <w:rFonts w:ascii="Consolas" w:eastAsia="Consolas" w:hAnsi="Consolas" w:cs="Consolas"/>
        </w:rPr>
      </w:pPr>
      <w:r>
        <w:rPr>
          <w:rFonts w:ascii="Consolas" w:eastAsia="Consolas" w:hAnsi="Consolas" w:cs="Consolas"/>
        </w:rPr>
        <w:tab/>
        <w:t>Else:</w:t>
      </w:r>
    </w:p>
    <w:p w14:paraId="75DEACFC" w14:textId="77777777" w:rsidR="002D6CFC" w:rsidRDefault="00C50FB5">
      <w:pPr>
        <w:ind w:left="1440"/>
        <w:rPr>
          <w:rFonts w:ascii="Consolas" w:eastAsia="Consolas" w:hAnsi="Consolas" w:cs="Consolas"/>
        </w:rPr>
      </w:pPr>
      <w:r>
        <w:rPr>
          <w:rFonts w:ascii="Consolas" w:eastAsia="Consolas" w:hAnsi="Consolas" w:cs="Consolas"/>
        </w:rPr>
        <w:tab/>
      </w:r>
      <w:r>
        <w:rPr>
          <w:rFonts w:ascii="Consolas" w:eastAsia="Consolas" w:hAnsi="Consolas" w:cs="Consolas"/>
        </w:rPr>
        <w:tab/>
        <w:t>decision=B1</w:t>
      </w:r>
    </w:p>
    <w:p w14:paraId="7A9F44D7" w14:textId="77777777" w:rsidR="002D6CFC" w:rsidRDefault="002D6CFC"/>
    <w:p w14:paraId="4B20F1B4" w14:textId="77777777" w:rsidR="002D6CFC" w:rsidRDefault="00C50FB5">
      <w:pPr>
        <w:ind w:left="720"/>
      </w:pPr>
      <w:r>
        <w:t xml:space="preserve">We achieve the best classification accuracy for B3 using clinical features alone.  </w:t>
      </w:r>
    </w:p>
    <w:p w14:paraId="49E55B22" w14:textId="77777777" w:rsidR="002D6CFC" w:rsidRDefault="00C50FB5">
      <w:pPr>
        <w:ind w:left="720"/>
      </w:pPr>
      <w:r>
        <w:t>Individually, the classification of each biotype has very high sensitivity and specificity as illustrated by the following ROC curves and their associated AUCs, all greater than 0.85.</w:t>
      </w:r>
    </w:p>
    <w:p w14:paraId="7EE611E5" w14:textId="77777777" w:rsidR="002D6CFC" w:rsidRDefault="002D6CFC">
      <w:pPr>
        <w:ind w:left="720"/>
      </w:pPr>
    </w:p>
    <w:p w14:paraId="5B4989A2" w14:textId="77777777" w:rsidR="002D6CFC" w:rsidRDefault="00C50FB5">
      <w:pPr>
        <w:ind w:left="720"/>
      </w:pPr>
      <w:r>
        <w:t xml:space="preserve"> </w:t>
      </w:r>
    </w:p>
    <w:p w14:paraId="2F31E70A" w14:textId="77777777" w:rsidR="002D6CFC" w:rsidRDefault="002D6CFC"/>
    <w:p w14:paraId="287946A6" w14:textId="77777777" w:rsidR="002D6CFC" w:rsidRDefault="00C50FB5">
      <w:r>
        <w:rPr>
          <w:noProof/>
        </w:rPr>
        <w:drawing>
          <wp:inline distT="0" distB="0" distL="0" distR="0" wp14:anchorId="3A9A2B57" wp14:editId="477D7914">
            <wp:extent cx="4666669" cy="328511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66669" cy="3285115"/>
                    </a:xfrm>
                    <a:prstGeom prst="rect">
                      <a:avLst/>
                    </a:prstGeom>
                    <a:ln/>
                  </pic:spPr>
                </pic:pic>
              </a:graphicData>
            </a:graphic>
          </wp:inline>
        </w:drawing>
      </w:r>
    </w:p>
    <w:p w14:paraId="4F9803E1" w14:textId="77777777" w:rsidR="002D6CFC" w:rsidRDefault="002D6CFC"/>
    <w:p w14:paraId="15D9A3B6" w14:textId="77777777" w:rsidR="002D6CFC" w:rsidRDefault="002D6CFC"/>
    <w:p w14:paraId="596A2FD8" w14:textId="77777777" w:rsidR="002D6CFC" w:rsidRDefault="002D6CFC"/>
    <w:p w14:paraId="59BA4A2F" w14:textId="77777777" w:rsidR="002D6CFC" w:rsidRDefault="002D6CFC"/>
    <w:p w14:paraId="5ABCC94F" w14:textId="77777777" w:rsidR="002D6CFC" w:rsidRDefault="002D6CFC"/>
    <w:p w14:paraId="1783CC8B" w14:textId="77777777" w:rsidR="002D6CFC" w:rsidRDefault="002D6CFC"/>
    <w:p w14:paraId="364AB91A" w14:textId="77777777" w:rsidR="002D6CFC" w:rsidRDefault="002D6CFC"/>
    <w:p w14:paraId="6BABF4A8" w14:textId="77777777" w:rsidR="002D6CFC" w:rsidRDefault="002D6CFC"/>
    <w:p w14:paraId="3ED5C58C" w14:textId="77777777" w:rsidR="002D6CFC" w:rsidRDefault="00C50FB5">
      <w:r>
        <w:rPr>
          <w:noProof/>
        </w:rPr>
        <w:lastRenderedPageBreak/>
        <w:drawing>
          <wp:inline distT="0" distB="0" distL="0" distR="0" wp14:anchorId="339AD141" wp14:editId="555A6E0C">
            <wp:extent cx="4563907" cy="3214726"/>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63907" cy="3214726"/>
                    </a:xfrm>
                    <a:prstGeom prst="rect">
                      <a:avLst/>
                    </a:prstGeom>
                    <a:ln/>
                  </pic:spPr>
                </pic:pic>
              </a:graphicData>
            </a:graphic>
          </wp:inline>
        </w:drawing>
      </w:r>
    </w:p>
    <w:p w14:paraId="2A0850B8" w14:textId="77777777" w:rsidR="002D6CFC" w:rsidRDefault="002D6CFC"/>
    <w:p w14:paraId="1C0D79EA" w14:textId="77777777" w:rsidR="002D6CFC" w:rsidRDefault="002D6CFC"/>
    <w:p w14:paraId="4C0ABC08" w14:textId="77777777" w:rsidR="002D6CFC" w:rsidRDefault="00C50FB5">
      <w:r>
        <w:rPr>
          <w:noProof/>
        </w:rPr>
        <w:drawing>
          <wp:inline distT="0" distB="0" distL="0" distR="0" wp14:anchorId="093CAE7C" wp14:editId="77FE82A4">
            <wp:extent cx="4599139" cy="3233646"/>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99139" cy="3233646"/>
                    </a:xfrm>
                    <a:prstGeom prst="rect">
                      <a:avLst/>
                    </a:prstGeom>
                    <a:ln/>
                  </pic:spPr>
                </pic:pic>
              </a:graphicData>
            </a:graphic>
          </wp:inline>
        </w:drawing>
      </w:r>
    </w:p>
    <w:p w14:paraId="52DC5752" w14:textId="77777777" w:rsidR="002D6CFC" w:rsidRDefault="002D6CFC"/>
    <w:p w14:paraId="6A0ECB83" w14:textId="77777777" w:rsidR="002D6CFC" w:rsidRDefault="002D6CFC"/>
    <w:p w14:paraId="54A261EA" w14:textId="77777777" w:rsidR="002D6CFC" w:rsidRDefault="00C50FB5">
      <w:r>
        <w:t>The following graphs provide individual feature importance out of the 58 clinical symptoms.</w:t>
      </w:r>
    </w:p>
    <w:p w14:paraId="74933B7A" w14:textId="77777777" w:rsidR="002D6CFC" w:rsidRDefault="002D6CFC"/>
    <w:p w14:paraId="4F5D9F9F" w14:textId="77777777" w:rsidR="002D6CFC" w:rsidRDefault="00C50FB5">
      <w:r>
        <w:rPr>
          <w:noProof/>
        </w:rPr>
        <w:lastRenderedPageBreak/>
        <w:drawing>
          <wp:inline distT="0" distB="0" distL="0" distR="0" wp14:anchorId="79E6C53C" wp14:editId="25299226">
            <wp:extent cx="4472787" cy="3581096"/>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72787" cy="3581096"/>
                    </a:xfrm>
                    <a:prstGeom prst="rect">
                      <a:avLst/>
                    </a:prstGeom>
                    <a:ln/>
                  </pic:spPr>
                </pic:pic>
              </a:graphicData>
            </a:graphic>
          </wp:inline>
        </w:drawing>
      </w:r>
    </w:p>
    <w:p w14:paraId="55C16A9B" w14:textId="77777777" w:rsidR="002D6CFC" w:rsidRDefault="002D6CFC"/>
    <w:p w14:paraId="78239FF6" w14:textId="77777777" w:rsidR="002D6CFC" w:rsidRDefault="00C50FB5">
      <w:r>
        <w:rPr>
          <w:noProof/>
        </w:rPr>
        <w:drawing>
          <wp:inline distT="0" distB="0" distL="0" distR="0" wp14:anchorId="46D87F51" wp14:editId="7A991326">
            <wp:extent cx="4590602" cy="366365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90602" cy="3663654"/>
                    </a:xfrm>
                    <a:prstGeom prst="rect">
                      <a:avLst/>
                    </a:prstGeom>
                    <a:ln/>
                  </pic:spPr>
                </pic:pic>
              </a:graphicData>
            </a:graphic>
          </wp:inline>
        </w:drawing>
      </w:r>
    </w:p>
    <w:p w14:paraId="09BC908A" w14:textId="77777777" w:rsidR="002D6CFC" w:rsidRDefault="002D6CFC"/>
    <w:p w14:paraId="2201AE77" w14:textId="77777777" w:rsidR="002D6CFC" w:rsidRDefault="002D6CFC"/>
    <w:p w14:paraId="358EC4C7" w14:textId="77777777" w:rsidR="002D6CFC" w:rsidRDefault="00C50FB5">
      <w:r>
        <w:rPr>
          <w:noProof/>
        </w:rPr>
        <w:lastRenderedPageBreak/>
        <w:drawing>
          <wp:inline distT="0" distB="0" distL="0" distR="0" wp14:anchorId="5D809901" wp14:editId="297AB37A">
            <wp:extent cx="4646542" cy="369886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46542" cy="3698865"/>
                    </a:xfrm>
                    <a:prstGeom prst="rect">
                      <a:avLst/>
                    </a:prstGeom>
                    <a:ln/>
                  </pic:spPr>
                </pic:pic>
              </a:graphicData>
            </a:graphic>
          </wp:inline>
        </w:drawing>
      </w:r>
    </w:p>
    <w:p w14:paraId="411FCCF3" w14:textId="77777777" w:rsidR="002D6CFC" w:rsidRDefault="002D6CFC"/>
    <w:p w14:paraId="7C066B21" w14:textId="77777777" w:rsidR="002D6CFC" w:rsidRDefault="00C50FB5">
      <w:bookmarkStart w:id="0" w:name="_Hlk89155381"/>
      <w:r>
        <w:t>The features (58 clinical symptoms) are in the order of:</w:t>
      </w:r>
    </w:p>
    <w:p w14:paraId="1D48BD90" w14:textId="77777777" w:rsidR="002D6CFC" w:rsidRDefault="002D6CFC"/>
    <w:p w14:paraId="0A9CF86F" w14:textId="77777777" w:rsidR="002D6CFC" w:rsidRDefault="00C50FB5">
      <w:pPr>
        <w:numPr>
          <w:ilvl w:val="0"/>
          <w:numId w:val="3"/>
        </w:numPr>
        <w:pBdr>
          <w:top w:val="nil"/>
          <w:left w:val="nil"/>
          <w:bottom w:val="nil"/>
          <w:right w:val="nil"/>
          <w:between w:val="nil"/>
        </w:pBdr>
      </w:pPr>
      <w:r>
        <w:rPr>
          <w:color w:val="000000"/>
        </w:rPr>
        <w:t>PNASS</w:t>
      </w:r>
    </w:p>
    <w:p w14:paraId="42F379DD" w14:textId="540C7FB6" w:rsidR="002D6CFC" w:rsidRDefault="00C50FB5">
      <w:pPr>
        <w:numPr>
          <w:ilvl w:val="1"/>
          <w:numId w:val="3"/>
        </w:numPr>
        <w:pBdr>
          <w:top w:val="nil"/>
          <w:left w:val="nil"/>
          <w:bottom w:val="nil"/>
          <w:right w:val="nil"/>
          <w:between w:val="nil"/>
        </w:pBdr>
      </w:pPr>
      <w:r>
        <w:rPr>
          <w:color w:val="000000"/>
        </w:rPr>
        <w:t xml:space="preserve">Positive </w:t>
      </w:r>
      <w:r w:rsidR="007D0816">
        <w:rPr>
          <w:color w:val="000000"/>
        </w:rPr>
        <w:t>0</w:t>
      </w:r>
      <w:r>
        <w:rPr>
          <w:color w:val="000000"/>
        </w:rPr>
        <w:t>-</w:t>
      </w:r>
      <w:r w:rsidR="007D0816">
        <w:rPr>
          <w:color w:val="000000"/>
        </w:rPr>
        <w:t>6</w:t>
      </w:r>
    </w:p>
    <w:p w14:paraId="1196EE54" w14:textId="3C782C9D" w:rsidR="002D6CFC" w:rsidRDefault="00C50FB5">
      <w:pPr>
        <w:numPr>
          <w:ilvl w:val="1"/>
          <w:numId w:val="3"/>
        </w:numPr>
        <w:pBdr>
          <w:top w:val="nil"/>
          <w:left w:val="nil"/>
          <w:bottom w:val="nil"/>
          <w:right w:val="nil"/>
          <w:between w:val="nil"/>
        </w:pBdr>
      </w:pPr>
      <w:r>
        <w:rPr>
          <w:color w:val="000000"/>
        </w:rPr>
        <w:t xml:space="preserve">Negative </w:t>
      </w:r>
      <w:r w:rsidR="007D0816">
        <w:rPr>
          <w:color w:val="000000"/>
        </w:rPr>
        <w:t>7</w:t>
      </w:r>
      <w:r>
        <w:rPr>
          <w:color w:val="000000"/>
        </w:rPr>
        <w:t>-1</w:t>
      </w:r>
      <w:r w:rsidR="007D0816">
        <w:rPr>
          <w:color w:val="000000"/>
        </w:rPr>
        <w:t>3</w:t>
      </w:r>
    </w:p>
    <w:p w14:paraId="6641B43A" w14:textId="268907C0" w:rsidR="002D6CFC" w:rsidRDefault="00C50FB5">
      <w:pPr>
        <w:numPr>
          <w:ilvl w:val="1"/>
          <w:numId w:val="3"/>
        </w:numPr>
        <w:pBdr>
          <w:top w:val="nil"/>
          <w:left w:val="nil"/>
          <w:bottom w:val="nil"/>
          <w:right w:val="nil"/>
          <w:between w:val="nil"/>
        </w:pBdr>
      </w:pPr>
      <w:r>
        <w:rPr>
          <w:color w:val="000000"/>
        </w:rPr>
        <w:t>General 1</w:t>
      </w:r>
      <w:r w:rsidR="007D0816">
        <w:rPr>
          <w:color w:val="000000"/>
        </w:rPr>
        <w:t>4</w:t>
      </w:r>
      <w:r>
        <w:rPr>
          <w:color w:val="000000"/>
        </w:rPr>
        <w:t>-</w:t>
      </w:r>
      <w:r w:rsidR="007D0816">
        <w:rPr>
          <w:color w:val="000000"/>
        </w:rPr>
        <w:t>29</w:t>
      </w:r>
    </w:p>
    <w:p w14:paraId="01ABF941" w14:textId="7A5A704D" w:rsidR="002D6CFC" w:rsidRDefault="00C50FB5">
      <w:pPr>
        <w:numPr>
          <w:ilvl w:val="0"/>
          <w:numId w:val="3"/>
        </w:numPr>
        <w:pBdr>
          <w:top w:val="nil"/>
          <w:left w:val="nil"/>
          <w:bottom w:val="nil"/>
          <w:right w:val="nil"/>
          <w:between w:val="nil"/>
        </w:pBdr>
      </w:pPr>
      <w:r>
        <w:rPr>
          <w:color w:val="000000"/>
        </w:rPr>
        <w:t>MADRS 3</w:t>
      </w:r>
      <w:r w:rsidR="007D0816">
        <w:rPr>
          <w:color w:val="000000"/>
        </w:rPr>
        <w:t>0</w:t>
      </w:r>
      <w:r>
        <w:rPr>
          <w:color w:val="000000"/>
        </w:rPr>
        <w:t>-</w:t>
      </w:r>
      <w:r w:rsidR="007D0816">
        <w:rPr>
          <w:color w:val="000000"/>
        </w:rPr>
        <w:t>39</w:t>
      </w:r>
    </w:p>
    <w:p w14:paraId="3D85E078" w14:textId="1BA53E79" w:rsidR="002D6CFC" w:rsidRDefault="00C50FB5">
      <w:pPr>
        <w:numPr>
          <w:ilvl w:val="0"/>
          <w:numId w:val="3"/>
        </w:numPr>
        <w:pBdr>
          <w:top w:val="nil"/>
          <w:left w:val="nil"/>
          <w:bottom w:val="nil"/>
          <w:right w:val="nil"/>
          <w:between w:val="nil"/>
        </w:pBdr>
      </w:pPr>
      <w:r>
        <w:rPr>
          <w:color w:val="000000"/>
        </w:rPr>
        <w:t>Young 4</w:t>
      </w:r>
      <w:r w:rsidR="007D0816">
        <w:rPr>
          <w:color w:val="000000"/>
        </w:rPr>
        <w:t>0</w:t>
      </w:r>
      <w:r>
        <w:rPr>
          <w:color w:val="000000"/>
        </w:rPr>
        <w:t>-5</w:t>
      </w:r>
      <w:r w:rsidR="007D0816">
        <w:rPr>
          <w:color w:val="000000"/>
        </w:rPr>
        <w:t>0</w:t>
      </w:r>
    </w:p>
    <w:p w14:paraId="54013BBA" w14:textId="1F303F4C" w:rsidR="002D6CFC" w:rsidRDefault="00C50FB5">
      <w:pPr>
        <w:numPr>
          <w:ilvl w:val="0"/>
          <w:numId w:val="3"/>
        </w:numPr>
        <w:pBdr>
          <w:top w:val="nil"/>
          <w:left w:val="nil"/>
          <w:bottom w:val="nil"/>
          <w:right w:val="nil"/>
          <w:between w:val="nil"/>
        </w:pBdr>
      </w:pPr>
      <w:r>
        <w:rPr>
          <w:color w:val="000000"/>
        </w:rPr>
        <w:t>SFS 5</w:t>
      </w:r>
      <w:r w:rsidR="007D0816">
        <w:rPr>
          <w:color w:val="000000"/>
        </w:rPr>
        <w:t>1</w:t>
      </w:r>
      <w:r>
        <w:rPr>
          <w:color w:val="000000"/>
        </w:rPr>
        <w:t>-5</w:t>
      </w:r>
      <w:r w:rsidR="007D0816">
        <w:rPr>
          <w:color w:val="000000"/>
        </w:rPr>
        <w:t>7</w:t>
      </w:r>
    </w:p>
    <w:bookmarkEnd w:id="0"/>
    <w:p w14:paraId="4E5D4123" w14:textId="77777777" w:rsidR="002D6CFC" w:rsidRDefault="002D6CFC"/>
    <w:p w14:paraId="6A98AB23" w14:textId="77777777" w:rsidR="002D6CFC" w:rsidRDefault="002D6CFC"/>
    <w:sectPr w:rsidR="002D6C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1909"/>
    <w:multiLevelType w:val="multilevel"/>
    <w:tmpl w:val="5E4633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983A08"/>
    <w:multiLevelType w:val="multilevel"/>
    <w:tmpl w:val="1F404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070592"/>
    <w:multiLevelType w:val="multilevel"/>
    <w:tmpl w:val="A836A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FC"/>
    <w:rsid w:val="002D6CFC"/>
    <w:rsid w:val="0038488C"/>
    <w:rsid w:val="007D0816"/>
    <w:rsid w:val="00C5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3288"/>
  <w15:docId w15:val="{0472C08C-BC8A-41C7-B750-83C0499D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070C"/>
    <w:pPr>
      <w:ind w:left="720"/>
      <w:contextualSpacing/>
    </w:pPr>
  </w:style>
  <w:style w:type="character" w:styleId="CommentReference">
    <w:name w:val="annotation reference"/>
    <w:basedOn w:val="DefaultParagraphFont"/>
    <w:uiPriority w:val="99"/>
    <w:semiHidden/>
    <w:unhideWhenUsed/>
    <w:rsid w:val="004418D1"/>
    <w:rPr>
      <w:sz w:val="16"/>
      <w:szCs w:val="16"/>
    </w:rPr>
  </w:style>
  <w:style w:type="paragraph" w:styleId="CommentText">
    <w:name w:val="annotation text"/>
    <w:basedOn w:val="Normal"/>
    <w:link w:val="CommentTextChar"/>
    <w:uiPriority w:val="99"/>
    <w:semiHidden/>
    <w:unhideWhenUsed/>
    <w:rsid w:val="004418D1"/>
    <w:pPr>
      <w:spacing w:line="240" w:lineRule="auto"/>
    </w:pPr>
    <w:rPr>
      <w:sz w:val="20"/>
      <w:szCs w:val="20"/>
    </w:rPr>
  </w:style>
  <w:style w:type="character" w:customStyle="1" w:styleId="CommentTextChar">
    <w:name w:val="Comment Text Char"/>
    <w:basedOn w:val="DefaultParagraphFont"/>
    <w:link w:val="CommentText"/>
    <w:uiPriority w:val="99"/>
    <w:semiHidden/>
    <w:rsid w:val="004418D1"/>
    <w:rPr>
      <w:sz w:val="20"/>
      <w:szCs w:val="20"/>
    </w:rPr>
  </w:style>
  <w:style w:type="paragraph" w:styleId="CommentSubject">
    <w:name w:val="annotation subject"/>
    <w:basedOn w:val="CommentText"/>
    <w:next w:val="CommentText"/>
    <w:link w:val="CommentSubjectChar"/>
    <w:uiPriority w:val="99"/>
    <w:semiHidden/>
    <w:unhideWhenUsed/>
    <w:rsid w:val="004418D1"/>
    <w:rPr>
      <w:b/>
      <w:bCs/>
    </w:rPr>
  </w:style>
  <w:style w:type="character" w:customStyle="1" w:styleId="CommentSubjectChar">
    <w:name w:val="Comment Subject Char"/>
    <w:basedOn w:val="CommentTextChar"/>
    <w:link w:val="CommentSubject"/>
    <w:uiPriority w:val="99"/>
    <w:semiHidden/>
    <w:rsid w:val="004418D1"/>
    <w:rPr>
      <w:b/>
      <w:bCs/>
      <w:sz w:val="20"/>
      <w:szCs w:val="20"/>
    </w:rPr>
  </w:style>
  <w:style w:type="paragraph" w:styleId="BalloonText">
    <w:name w:val="Balloon Text"/>
    <w:basedOn w:val="Normal"/>
    <w:link w:val="BalloonTextChar"/>
    <w:uiPriority w:val="99"/>
    <w:semiHidden/>
    <w:unhideWhenUsed/>
    <w:rsid w:val="004418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8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8mMbXC/nC+oUIb5maHDwGlmrw==">AMUW2mWwAQb1ES1zCiTFefQoIIAIQcONuwddKHbbtlSb4TskByDhHIRWSyyTfI1yiMemUqk9Y++pN18nnsdp0vxQj+OlRjw5y/ul3YjEbxj3yrIdyPecHTQ=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Gibbons</dc:creator>
  <cp:lastModifiedBy>Robert Gibbons</cp:lastModifiedBy>
  <cp:revision>4</cp:revision>
  <dcterms:created xsi:type="dcterms:W3CDTF">2021-11-29T21:14:00Z</dcterms:created>
  <dcterms:modified xsi:type="dcterms:W3CDTF">2021-11-30T15:02:00Z</dcterms:modified>
</cp:coreProperties>
</file>