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6A00A8"/>
          <w:sz w:val="56"/>
          <w:szCs w:val="56"/>
        </w:rPr>
        <w:t xml:space="preserve">TRENCH SPORTS</w:t>
      </w:r>
    </w:p>
    <w:p>
      <w:pPr>
        <w:spacing w:after="260"/>
        <w:jc w:val="center"/>
      </w:pPr>
      <w:r>
        <w:rPr>
          <w:rFonts w:ascii="Calibri" w:cs="Calibri" w:eastAsia="Calibri" w:hAnsi="Calibri"/>
          <w:b/>
          <w:bCs/>
          <w:color w:val="1A1526"/>
          <w:sz w:val="30"/>
          <w:szCs w:val="30"/>
        </w:rPr>
        <w:t xml:space="preserve">THREE-TIER SUBSCRIPTION PLAN</w:t>
      </w:r>
    </w:p>
    <w:p>
      <w:pPr>
        <w:spacing w:after="80"/>
        <w:jc w:val="center"/>
      </w:pPr>
      <w:r>
        <w:rPr>
          <w:rFonts w:ascii="Calibri" w:cs="Calibri" w:eastAsia="Calibri" w:hAnsi="Calibri"/>
          <w:i/>
          <w:iCs/>
          <w:color w:val="5A5568"/>
          <w:sz w:val="22"/>
          <w:szCs w:val="22"/>
        </w:rPr>
        <w:t xml:space="preserve">Data Display · Insight Derivation · Entitlement</w:t>
      </w:r>
    </w:p>
    <w:p>
      <w:pPr>
        <w:spacing w:after="60" w:before="2400"/>
        <w:jc w:val="center"/>
      </w:pPr>
      <w:r>
        <w:rPr>
          <w:rFonts w:ascii="Calibri" w:cs="Calibri" w:eastAsia="Calibri" w:hAnsi="Calibri"/>
          <w:color w:val="5A5568"/>
          <w:sz w:val="20"/>
          <w:szCs w:val="20"/>
        </w:rPr>
        <w:t xml:space="preserve">Internal product specification</w:t>
      </w:r>
    </w:p>
    <w:p>
      <w:pPr>
        <w:spacing w:after="60"/>
        <w:jc w:val="center"/>
      </w:pPr>
      <w:r>
        <w:rPr>
          <w:rFonts w:ascii="Calibri" w:cs="Calibri" w:eastAsia="Calibri" w:hAnsi="Calibri"/>
          <w:color w:val="5A5568"/>
          <w:sz w:val="20"/>
          <w:szCs w:val="20"/>
        </w:rPr>
        <w:t xml:space="preserve">Program-level entitlements · Trench-Sports-FrontEnd</w:t>
      </w:r>
    </w:p>
    <w:p>
      <w:pPr>
        <w:spacing w:after="60"/>
        <w:jc w:val="center"/>
      </w:pPr>
      <w:r>
        <w:rPr>
          <w:rFonts w:ascii="Calibri" w:cs="Calibri" w:eastAsia="Calibri" w:hAnsi="Calibri"/>
          <w:color w:val="5A5568"/>
          <w:sz w:val="20"/>
          <w:szCs w:val="20"/>
        </w:rPr>
        <w:t xml:space="preserve">Owner: Jay Cole</w:t>
      </w:r>
    </w:p>
    <w:p>
      <w:pPr>
        <w:spacing w:after="0"/>
        <w:jc w:val="center"/>
      </w:pPr>
      <w:r>
        <w:rPr>
          <w:rFonts w:ascii="Calibri" w:cs="Calibri" w:eastAsia="Calibri" w:hAnsi="Calibri"/>
          <w:color w:val="5A5568"/>
          <w:sz w:val="20"/>
          <w:szCs w:val="20"/>
        </w:rPr>
        <w:t xml:space="preserve">Draft v0.2 · 4 August 2026</w:t>
      </w:r>
    </w:p>
    <w:p>
      <w:r>
        <w:br w:type="page"/>
      </w:r>
    </w:p>
    <w:p>
      <w:pPr>
        <w:pStyle w:val="Heading1"/>
        <w:keepNext/>
        <w:spacing w:after="140" w:before="320"/>
      </w:pPr>
      <w:r>
        <w:rPr>
          <w:rFonts w:ascii="Calibri" w:cs="Calibri" w:eastAsia="Calibri" w:hAnsi="Calibri"/>
          <w:b/>
          <w:bCs/>
          <w:color w:val="6A00A8"/>
          <w:sz w:val="30"/>
          <w:szCs w:val="30"/>
        </w:rPr>
        <w:t xml:space="preserve">Contents</w:t>
      </w:r>
    </w:p>
    <w:p>
      <w:pPr>
        <w:spacing w:after="70" w:line="264"/>
      </w:pPr>
      <w:r>
        <w:rPr>
          <w:rFonts w:ascii="Calibri" w:cs="Calibri" w:eastAsia="Calibri" w:hAnsi="Calibri"/>
          <w:b/>
          <w:bCs/>
          <w:color w:val="6A00A8"/>
          <w:sz w:val="21"/>
          <w:szCs w:val="21"/>
        </w:rPr>
        <w:t xml:space="preserve">1.  </w:t>
      </w:r>
      <w:r>
        <w:rPr>
          <w:rFonts w:ascii="Calibri" w:cs="Calibri" w:eastAsia="Calibri" w:hAnsi="Calibri"/>
          <w:b/>
          <w:bCs/>
          <w:color w:val="1A1526"/>
          <w:sz w:val="21"/>
          <w:szCs w:val="21"/>
        </w:rPr>
        <w:t xml:space="preserve">Purpose and design principle</w:t>
      </w:r>
    </w:p>
    <w:p>
      <w:pPr>
        <w:spacing w:after="70" w:line="264"/>
      </w:pPr>
      <w:r>
        <w:rPr>
          <w:rFonts w:ascii="Calibri" w:cs="Calibri" w:eastAsia="Calibri" w:hAnsi="Calibri"/>
          <w:b/>
          <w:bCs/>
          <w:color w:val="6A00A8"/>
          <w:sz w:val="21"/>
          <w:szCs w:val="21"/>
        </w:rPr>
        <w:t xml:space="preserve">2.  </w:t>
      </w:r>
      <w:r>
        <w:rPr>
          <w:rFonts w:ascii="Calibri" w:cs="Calibri" w:eastAsia="Calibri" w:hAnsi="Calibri"/>
          <w:b/>
          <w:bCs/>
          <w:color w:val="1A1526"/>
          <w:sz w:val="21"/>
          <w:szCs w:val="21"/>
        </w:rPr>
        <w:t xml:space="preserve">Tier summary</w:t>
      </w:r>
    </w:p>
    <w:p>
      <w:pPr>
        <w:spacing w:after="70" w:line="264"/>
      </w:pPr>
      <w:r>
        <w:rPr>
          <w:rFonts w:ascii="Calibri" w:cs="Calibri" w:eastAsia="Calibri" w:hAnsi="Calibri"/>
          <w:b/>
          <w:bCs/>
          <w:color w:val="6A00A8"/>
          <w:sz w:val="21"/>
          <w:szCs w:val="21"/>
        </w:rPr>
        <w:t xml:space="preserve">3.  </w:t>
      </w:r>
      <w:r>
        <w:rPr>
          <w:rFonts w:ascii="Calibri" w:cs="Calibri" w:eastAsia="Calibri" w:hAnsi="Calibri"/>
          <w:b/>
          <w:bCs/>
          <w:color w:val="1A1526"/>
          <w:sz w:val="21"/>
          <w:szCs w:val="21"/>
        </w:rPr>
        <w:t xml:space="preserve">What the platform captures (the shared substrate)</w:t>
      </w:r>
    </w:p>
    <w:p>
      <w:pPr>
        <w:spacing w:after="60" w:line="264"/>
        <w:ind w:left="340"/>
      </w:pPr>
      <w:r>
        <w:rPr>
          <w:rFonts w:ascii="Calibri" w:cs="Calibri" w:eastAsia="Calibri" w:hAnsi="Calibri"/>
          <w:color w:val="5A5568"/>
          <w:sz w:val="20"/>
          <w:szCs w:val="20"/>
        </w:rPr>
        <w:t xml:space="preserve">3.1  </w:t>
      </w:r>
      <w:r>
        <w:rPr>
          <w:rFonts w:ascii="Calibri" w:cs="Calibri" w:eastAsia="Calibri" w:hAnsi="Calibri"/>
          <w:color w:val="1A1526"/>
          <w:sz w:val="20"/>
          <w:szCs w:val="20"/>
        </w:rPr>
        <w:t xml:space="preserve">Per strike — the events table</w:t>
      </w:r>
    </w:p>
    <w:p>
      <w:pPr>
        <w:spacing w:after="60" w:line="264"/>
        <w:ind w:left="340"/>
      </w:pPr>
      <w:r>
        <w:rPr>
          <w:rFonts w:ascii="Calibri" w:cs="Calibri" w:eastAsia="Calibri" w:hAnsi="Calibri"/>
          <w:color w:val="5A5568"/>
          <w:sz w:val="20"/>
          <w:szCs w:val="20"/>
        </w:rPr>
        <w:t xml:space="preserve">3.2  </w:t>
      </w:r>
      <w:r>
        <w:rPr>
          <w:rFonts w:ascii="Calibri" w:cs="Calibri" w:eastAsia="Calibri" w:hAnsi="Calibri"/>
          <w:color w:val="1A1526"/>
          <w:sz w:val="20"/>
          <w:szCs w:val="20"/>
        </w:rPr>
        <w:t xml:space="preserve">Per strike, per cell — the event_cells table</w:t>
      </w:r>
    </w:p>
    <w:p>
      <w:pPr>
        <w:spacing w:after="60" w:line="264"/>
        <w:ind w:left="340"/>
      </w:pPr>
      <w:r>
        <w:rPr>
          <w:rFonts w:ascii="Calibri" w:cs="Calibri" w:eastAsia="Calibri" w:hAnsi="Calibri"/>
          <w:color w:val="5A5568"/>
          <w:sz w:val="20"/>
          <w:szCs w:val="20"/>
        </w:rPr>
        <w:t xml:space="preserve">3.3  </w:t>
      </w:r>
      <w:r>
        <w:rPr>
          <w:rFonts w:ascii="Calibri" w:cs="Calibri" w:eastAsia="Calibri" w:hAnsi="Calibri"/>
          <w:color w:val="1A1526"/>
          <w:sz w:val="20"/>
          <w:szCs w:val="20"/>
        </w:rPr>
        <w:t xml:space="preserve">Per session — the session_summaries table</w:t>
      </w:r>
    </w:p>
    <w:p>
      <w:pPr>
        <w:spacing w:after="70" w:line="264"/>
      </w:pPr>
      <w:r>
        <w:rPr>
          <w:rFonts w:ascii="Calibri" w:cs="Calibri" w:eastAsia="Calibri" w:hAnsi="Calibri"/>
          <w:b/>
          <w:bCs/>
          <w:color w:val="6A00A8"/>
          <w:sz w:val="21"/>
          <w:szCs w:val="21"/>
        </w:rPr>
        <w:t xml:space="preserve">4.  </w:t>
      </w:r>
      <w:r>
        <w:rPr>
          <w:rFonts w:ascii="Calibri" w:cs="Calibri" w:eastAsia="Calibri" w:hAnsi="Calibri"/>
          <w:b/>
          <w:bCs/>
          <w:color w:val="1A1526"/>
          <w:sz w:val="21"/>
          <w:szCs w:val="21"/>
        </w:rPr>
        <w:t xml:space="preserve">Tier I — Foundation</w:t>
      </w:r>
    </w:p>
    <w:p>
      <w:pPr>
        <w:spacing w:after="60" w:line="264"/>
        <w:ind w:left="340"/>
      </w:pPr>
      <w:r>
        <w:rPr>
          <w:rFonts w:ascii="Calibri" w:cs="Calibri" w:eastAsia="Calibri" w:hAnsi="Calibri"/>
          <w:color w:val="5A5568"/>
          <w:sz w:val="20"/>
          <w:szCs w:val="20"/>
        </w:rPr>
        <w:t xml:space="preserve">4.1  </w:t>
      </w:r>
      <w:r>
        <w:rPr>
          <w:rFonts w:ascii="Calibri" w:cs="Calibri" w:eastAsia="Calibri" w:hAnsi="Calibri"/>
          <w:color w:val="1A1526"/>
          <w:sz w:val="20"/>
          <w:szCs w:val="20"/>
        </w:rPr>
        <w:t xml:space="preserve">Modes</w:t>
      </w:r>
    </w:p>
    <w:p>
      <w:pPr>
        <w:spacing w:after="60" w:line="264"/>
        <w:ind w:left="340"/>
      </w:pPr>
      <w:r>
        <w:rPr>
          <w:rFonts w:ascii="Calibri" w:cs="Calibri" w:eastAsia="Calibri" w:hAnsi="Calibri"/>
          <w:color w:val="5A5568"/>
          <w:sz w:val="20"/>
          <w:szCs w:val="20"/>
        </w:rPr>
        <w:t xml:space="preserve">4.2  </w:t>
      </w:r>
      <w:r>
        <w:rPr>
          <w:rFonts w:ascii="Calibri" w:cs="Calibri" w:eastAsia="Calibri" w:hAnsi="Calibri"/>
          <w:color w:val="1A1526"/>
          <w:sz w:val="20"/>
          <w:szCs w:val="20"/>
        </w:rPr>
        <w:t xml:space="preserve">In-session display</w:t>
      </w:r>
    </w:p>
    <w:p>
      <w:pPr>
        <w:spacing w:after="60" w:line="264"/>
        <w:ind w:left="340"/>
      </w:pPr>
      <w:r>
        <w:rPr>
          <w:rFonts w:ascii="Calibri" w:cs="Calibri" w:eastAsia="Calibri" w:hAnsi="Calibri"/>
          <w:color w:val="5A5568"/>
          <w:sz w:val="20"/>
          <w:szCs w:val="20"/>
        </w:rPr>
        <w:t xml:space="preserve">4.3  </w:t>
      </w:r>
      <w:r>
        <w:rPr>
          <w:rFonts w:ascii="Calibri" w:cs="Calibri" w:eastAsia="Calibri" w:hAnsi="Calibri"/>
          <w:color w:val="1A1526"/>
          <w:sz w:val="20"/>
          <w:szCs w:val="20"/>
        </w:rPr>
        <w:t xml:space="preserve">Post-session display</w:t>
      </w:r>
    </w:p>
    <w:p>
      <w:pPr>
        <w:spacing w:after="60" w:line="264"/>
        <w:ind w:left="340"/>
      </w:pPr>
      <w:r>
        <w:rPr>
          <w:rFonts w:ascii="Calibri" w:cs="Calibri" w:eastAsia="Calibri" w:hAnsi="Calibri"/>
          <w:color w:val="5A5568"/>
          <w:sz w:val="20"/>
          <w:szCs w:val="20"/>
        </w:rPr>
        <w:t xml:space="preserve">4.4  </w:t>
      </w:r>
      <w:r>
        <w:rPr>
          <w:rFonts w:ascii="Calibri" w:cs="Calibri" w:eastAsia="Calibri" w:hAnsi="Calibri"/>
          <w:color w:val="1A1526"/>
          <w:sz w:val="20"/>
          <w:szCs w:val="20"/>
        </w:rPr>
        <w:t xml:space="preserve">Insights derived</w:t>
      </w:r>
    </w:p>
    <w:p>
      <w:pPr>
        <w:spacing w:after="60" w:line="264"/>
        <w:ind w:left="340"/>
      </w:pPr>
      <w:r>
        <w:rPr>
          <w:rFonts w:ascii="Calibri" w:cs="Calibri" w:eastAsia="Calibri" w:hAnsi="Calibri"/>
          <w:color w:val="5A5568"/>
          <w:sz w:val="20"/>
          <w:szCs w:val="20"/>
        </w:rPr>
        <w:t xml:space="preserve">4.5  </w:t>
      </w:r>
      <w:r>
        <w:rPr>
          <w:rFonts w:ascii="Calibri" w:cs="Calibri" w:eastAsia="Calibri" w:hAnsi="Calibri"/>
          <w:color w:val="1A1526"/>
          <w:sz w:val="20"/>
          <w:szCs w:val="20"/>
        </w:rPr>
        <w:t xml:space="preserve">Explicitly withheld</w:t>
      </w:r>
    </w:p>
    <w:p>
      <w:pPr>
        <w:spacing w:after="70" w:line="264"/>
      </w:pPr>
      <w:r>
        <w:rPr>
          <w:rFonts w:ascii="Calibri" w:cs="Calibri" w:eastAsia="Calibri" w:hAnsi="Calibri"/>
          <w:b/>
          <w:bCs/>
          <w:color w:val="6A00A8"/>
          <w:sz w:val="21"/>
          <w:szCs w:val="21"/>
        </w:rPr>
        <w:t xml:space="preserve">5.  </w:t>
      </w:r>
      <w:r>
        <w:rPr>
          <w:rFonts w:ascii="Calibri" w:cs="Calibri" w:eastAsia="Calibri" w:hAnsi="Calibri"/>
          <w:b/>
          <w:bCs/>
          <w:color w:val="1A1526"/>
          <w:sz w:val="21"/>
          <w:szCs w:val="21"/>
        </w:rPr>
        <w:t xml:space="preserve">Tier II — Analysis</w:t>
      </w:r>
    </w:p>
    <w:p>
      <w:pPr>
        <w:spacing w:after="60" w:line="264"/>
        <w:ind w:left="340"/>
      </w:pPr>
      <w:r>
        <w:rPr>
          <w:rFonts w:ascii="Calibri" w:cs="Calibri" w:eastAsia="Calibri" w:hAnsi="Calibri"/>
          <w:color w:val="5A5568"/>
          <w:sz w:val="20"/>
          <w:szCs w:val="20"/>
        </w:rPr>
        <w:t xml:space="preserve">5.1  </w:t>
      </w:r>
      <w:r>
        <w:rPr>
          <w:rFonts w:ascii="Calibri" w:cs="Calibri" w:eastAsia="Calibri" w:hAnsi="Calibri"/>
          <w:color w:val="1A1526"/>
          <w:sz w:val="20"/>
          <w:szCs w:val="20"/>
        </w:rPr>
        <w:t xml:space="preserve">Modes</w:t>
      </w:r>
    </w:p>
    <w:p>
      <w:pPr>
        <w:spacing w:after="60" w:line="264"/>
        <w:ind w:left="340"/>
      </w:pPr>
      <w:r>
        <w:rPr>
          <w:rFonts w:ascii="Calibri" w:cs="Calibri" w:eastAsia="Calibri" w:hAnsi="Calibri"/>
          <w:color w:val="5A5568"/>
          <w:sz w:val="20"/>
          <w:szCs w:val="20"/>
        </w:rPr>
        <w:t xml:space="preserve">5.2  </w:t>
      </w:r>
      <w:r>
        <w:rPr>
          <w:rFonts w:ascii="Calibri" w:cs="Calibri" w:eastAsia="Calibri" w:hAnsi="Calibri"/>
          <w:color w:val="1A1526"/>
          <w:sz w:val="20"/>
          <w:szCs w:val="20"/>
        </w:rPr>
        <w:t xml:space="preserve">Leaderboard insights</w:t>
      </w:r>
    </w:p>
    <w:p>
      <w:pPr>
        <w:spacing w:after="60" w:line="264"/>
        <w:ind w:left="340"/>
      </w:pPr>
      <w:r>
        <w:rPr>
          <w:rFonts w:ascii="Calibri" w:cs="Calibri" w:eastAsia="Calibri" w:hAnsi="Calibri"/>
          <w:color w:val="5A5568"/>
          <w:sz w:val="20"/>
          <w:szCs w:val="20"/>
        </w:rPr>
        <w:t xml:space="preserve">5.3  </w:t>
      </w:r>
      <w:r>
        <w:rPr>
          <w:rFonts w:ascii="Calibri" w:cs="Calibri" w:eastAsia="Calibri" w:hAnsi="Calibri"/>
          <w:color w:val="1A1526"/>
          <w:sz w:val="20"/>
          <w:szCs w:val="20"/>
        </w:rPr>
        <w:t xml:space="preserve">Team comparisons</w:t>
      </w:r>
    </w:p>
    <w:p>
      <w:pPr>
        <w:spacing w:after="60" w:line="264"/>
        <w:ind w:left="340"/>
      </w:pPr>
      <w:r>
        <w:rPr>
          <w:rFonts w:ascii="Calibri" w:cs="Calibri" w:eastAsia="Calibri" w:hAnsi="Calibri"/>
          <w:color w:val="5A5568"/>
          <w:sz w:val="20"/>
          <w:szCs w:val="20"/>
        </w:rPr>
        <w:t xml:space="preserve">5.4  </w:t>
      </w:r>
      <w:r>
        <w:rPr>
          <w:rFonts w:ascii="Calibri" w:cs="Calibri" w:eastAsia="Calibri" w:hAnsi="Calibri"/>
          <w:color w:val="1A1526"/>
          <w:sz w:val="20"/>
          <w:szCs w:val="20"/>
        </w:rPr>
        <w:t xml:space="preserve">Athlete analysis</w:t>
      </w:r>
    </w:p>
    <w:p>
      <w:pPr>
        <w:spacing w:after="60" w:line="264"/>
        <w:ind w:left="340"/>
      </w:pPr>
      <w:r>
        <w:rPr>
          <w:rFonts w:ascii="Calibri" w:cs="Calibri" w:eastAsia="Calibri" w:hAnsi="Calibri"/>
          <w:color w:val="5A5568"/>
          <w:sz w:val="20"/>
          <w:szCs w:val="20"/>
        </w:rPr>
        <w:t xml:space="preserve">5.5  </w:t>
      </w:r>
      <w:r>
        <w:rPr>
          <w:rFonts w:ascii="Calibri" w:cs="Calibri" w:eastAsia="Calibri" w:hAnsi="Calibri"/>
          <w:color w:val="1A1526"/>
          <w:sz w:val="20"/>
          <w:szCs w:val="20"/>
        </w:rPr>
        <w:t xml:space="preserve">3D angle analysis</w:t>
      </w:r>
    </w:p>
    <w:p>
      <w:pPr>
        <w:spacing w:after="60" w:line="264"/>
        <w:ind w:left="340"/>
      </w:pPr>
      <w:r>
        <w:rPr>
          <w:rFonts w:ascii="Calibri" w:cs="Calibri" w:eastAsia="Calibri" w:hAnsi="Calibri"/>
          <w:color w:val="5A5568"/>
          <w:sz w:val="20"/>
          <w:szCs w:val="20"/>
        </w:rPr>
        <w:t xml:space="preserve">5.6  </w:t>
      </w:r>
      <w:r>
        <w:rPr>
          <w:rFonts w:ascii="Calibri" w:cs="Calibri" w:eastAsia="Calibri" w:hAnsi="Calibri"/>
          <w:color w:val="1A1526"/>
          <w:sz w:val="20"/>
          <w:szCs w:val="20"/>
        </w:rPr>
        <w:t xml:space="preserve">Data export</w:t>
      </w:r>
    </w:p>
    <w:p>
      <w:pPr>
        <w:spacing w:after="60" w:line="264"/>
        <w:ind w:left="340"/>
      </w:pPr>
      <w:r>
        <w:rPr>
          <w:rFonts w:ascii="Calibri" w:cs="Calibri" w:eastAsia="Calibri" w:hAnsi="Calibri"/>
          <w:color w:val="5A5568"/>
          <w:sz w:val="20"/>
          <w:szCs w:val="20"/>
        </w:rPr>
        <w:t xml:space="preserve">5.7  </w:t>
      </w:r>
      <w:r>
        <w:rPr>
          <w:rFonts w:ascii="Calibri" w:cs="Calibri" w:eastAsia="Calibri" w:hAnsi="Calibri"/>
          <w:color w:val="1A1526"/>
          <w:sz w:val="20"/>
          <w:szCs w:val="20"/>
        </w:rPr>
        <w:t xml:space="preserve">Explicitly withheld</w:t>
      </w:r>
    </w:p>
    <w:p>
      <w:pPr>
        <w:spacing w:after="70" w:line="264"/>
      </w:pPr>
      <w:r>
        <w:rPr>
          <w:rFonts w:ascii="Calibri" w:cs="Calibri" w:eastAsia="Calibri" w:hAnsi="Calibri"/>
          <w:b/>
          <w:bCs/>
          <w:color w:val="6A00A8"/>
          <w:sz w:val="21"/>
          <w:szCs w:val="21"/>
        </w:rPr>
        <w:t xml:space="preserve">6.  </w:t>
      </w:r>
      <w:r>
        <w:rPr>
          <w:rFonts w:ascii="Calibri" w:cs="Calibri" w:eastAsia="Calibri" w:hAnsi="Calibri"/>
          <w:b/>
          <w:bCs/>
          <w:color w:val="1A1526"/>
          <w:sz w:val="21"/>
          <w:szCs w:val="21"/>
        </w:rPr>
        <w:t xml:space="preserve">Tier III — Intelligence</w:t>
      </w:r>
    </w:p>
    <w:p>
      <w:pPr>
        <w:spacing w:after="60" w:line="264"/>
        <w:ind w:left="340"/>
      </w:pPr>
      <w:r>
        <w:rPr>
          <w:rFonts w:ascii="Calibri" w:cs="Calibri" w:eastAsia="Calibri" w:hAnsi="Calibri"/>
          <w:color w:val="5A5568"/>
          <w:sz w:val="20"/>
          <w:szCs w:val="20"/>
        </w:rPr>
        <w:t xml:space="preserve">6.1  </w:t>
      </w:r>
      <w:r>
        <w:rPr>
          <w:rFonts w:ascii="Calibri" w:cs="Calibri" w:eastAsia="Calibri" w:hAnsi="Calibri"/>
          <w:color w:val="1A1526"/>
          <w:sz w:val="20"/>
          <w:szCs w:val="20"/>
        </w:rPr>
        <w:t xml:space="preserve">All five impact modes</w:t>
      </w:r>
    </w:p>
    <w:p>
      <w:pPr>
        <w:spacing w:after="60" w:line="264"/>
        <w:ind w:left="340"/>
      </w:pPr>
      <w:r>
        <w:rPr>
          <w:rFonts w:ascii="Calibri" w:cs="Calibri" w:eastAsia="Calibri" w:hAnsi="Calibri"/>
          <w:color w:val="5A5568"/>
          <w:sz w:val="20"/>
          <w:szCs w:val="20"/>
        </w:rPr>
        <w:t xml:space="preserve">6.2  </w:t>
      </w:r>
      <w:r>
        <w:rPr>
          <w:rFonts w:ascii="Calibri" w:cs="Calibri" w:eastAsia="Calibri" w:hAnsi="Calibri"/>
          <w:color w:val="1A1526"/>
          <w:sz w:val="20"/>
          <w:szCs w:val="20"/>
        </w:rPr>
        <w:t xml:space="preserve">Fatigue tracker</w:t>
      </w:r>
    </w:p>
    <w:p>
      <w:pPr>
        <w:spacing w:after="60" w:line="264"/>
        <w:ind w:left="340"/>
      </w:pPr>
      <w:r>
        <w:rPr>
          <w:rFonts w:ascii="Calibri" w:cs="Calibri" w:eastAsia="Calibri" w:hAnsi="Calibri"/>
          <w:color w:val="5A5568"/>
          <w:sz w:val="20"/>
          <w:szCs w:val="20"/>
        </w:rPr>
        <w:t xml:space="preserve">6.3  </w:t>
      </w:r>
      <w:r>
        <w:rPr>
          <w:rFonts w:ascii="Calibri" w:cs="Calibri" w:eastAsia="Calibri" w:hAnsi="Calibri"/>
          <w:color w:val="1A1526"/>
          <w:sz w:val="20"/>
          <w:szCs w:val="20"/>
        </w:rPr>
        <w:t xml:space="preserve">AI analysis</w:t>
      </w:r>
    </w:p>
    <w:p>
      <w:pPr>
        <w:spacing w:after="60" w:line="264"/>
        <w:ind w:left="340"/>
      </w:pPr>
      <w:r>
        <w:rPr>
          <w:rFonts w:ascii="Calibri" w:cs="Calibri" w:eastAsia="Calibri" w:hAnsi="Calibri"/>
          <w:color w:val="5A5568"/>
          <w:sz w:val="20"/>
          <w:szCs w:val="20"/>
        </w:rPr>
        <w:t xml:space="preserve">6.4  </w:t>
      </w:r>
      <w:r>
        <w:rPr>
          <w:rFonts w:ascii="Calibri" w:cs="Calibri" w:eastAsia="Calibri" w:hAnsi="Calibri"/>
          <w:color w:val="1A1526"/>
          <w:sz w:val="20"/>
          <w:szCs w:val="20"/>
        </w:rPr>
        <w:t xml:space="preserve">Advanced dashboard</w:t>
      </w:r>
    </w:p>
    <w:p>
      <w:pPr>
        <w:spacing w:after="60" w:line="264"/>
        <w:ind w:left="340"/>
      </w:pPr>
      <w:r>
        <w:rPr>
          <w:rFonts w:ascii="Calibri" w:cs="Calibri" w:eastAsia="Calibri" w:hAnsi="Calibri"/>
          <w:color w:val="5A5568"/>
          <w:sz w:val="20"/>
          <w:szCs w:val="20"/>
        </w:rPr>
        <w:t xml:space="preserve">6.5  </w:t>
      </w:r>
      <w:r>
        <w:rPr>
          <w:rFonts w:ascii="Calibri" w:cs="Calibri" w:eastAsia="Calibri" w:hAnsi="Calibri"/>
          <w:color w:val="1A1526"/>
          <w:sz w:val="20"/>
          <w:szCs w:val="20"/>
        </w:rPr>
        <w:t xml:space="preserve">API connection support</w:t>
      </w:r>
    </w:p>
    <w:p>
      <w:pPr>
        <w:spacing w:after="70" w:line="264"/>
      </w:pPr>
      <w:r>
        <w:rPr>
          <w:rFonts w:ascii="Calibri" w:cs="Calibri" w:eastAsia="Calibri" w:hAnsi="Calibri"/>
          <w:b/>
          <w:bCs/>
          <w:color w:val="6A00A8"/>
          <w:sz w:val="21"/>
          <w:szCs w:val="21"/>
        </w:rPr>
        <w:t xml:space="preserve">7.  </w:t>
      </w:r>
      <w:r>
        <w:rPr>
          <w:rFonts w:ascii="Calibri" w:cs="Calibri" w:eastAsia="Calibri" w:hAnsi="Calibri"/>
          <w:b/>
          <w:bCs/>
          <w:color w:val="1A1526"/>
          <w:sz w:val="21"/>
          <w:szCs w:val="21"/>
        </w:rPr>
        <w:t xml:space="preserve">Metric availability matrix</w:t>
      </w:r>
    </w:p>
    <w:p>
      <w:pPr>
        <w:spacing w:after="70" w:line="264"/>
      </w:pPr>
      <w:r>
        <w:rPr>
          <w:rFonts w:ascii="Calibri" w:cs="Calibri" w:eastAsia="Calibri" w:hAnsi="Calibri"/>
          <w:b/>
          <w:bCs/>
          <w:color w:val="6A00A8"/>
          <w:sz w:val="21"/>
          <w:szCs w:val="21"/>
        </w:rPr>
        <w:t xml:space="preserve">8.  </w:t>
      </w:r>
      <w:r>
        <w:rPr>
          <w:rFonts w:ascii="Calibri" w:cs="Calibri" w:eastAsia="Calibri" w:hAnsi="Calibri"/>
          <w:b/>
          <w:bCs/>
          <w:color w:val="1A1526"/>
          <w:sz w:val="21"/>
          <w:szCs w:val="21"/>
        </w:rPr>
        <w:t xml:space="preserve">Entitlement model and enforcement</w:t>
      </w:r>
    </w:p>
    <w:p>
      <w:pPr>
        <w:spacing w:after="60" w:line="264"/>
        <w:ind w:left="340"/>
      </w:pPr>
      <w:r>
        <w:rPr>
          <w:rFonts w:ascii="Calibri" w:cs="Calibri" w:eastAsia="Calibri" w:hAnsi="Calibri"/>
          <w:color w:val="5A5568"/>
          <w:sz w:val="20"/>
          <w:szCs w:val="20"/>
        </w:rPr>
        <w:t xml:space="preserve">8.1  </w:t>
      </w:r>
      <w:r>
        <w:rPr>
          <w:rFonts w:ascii="Calibri" w:cs="Calibri" w:eastAsia="Calibri" w:hAnsi="Calibri"/>
          <w:color w:val="1A1526"/>
          <w:sz w:val="20"/>
          <w:szCs w:val="20"/>
        </w:rPr>
        <w:t xml:space="preserve">Current state</w:t>
      </w:r>
    </w:p>
    <w:p>
      <w:pPr>
        <w:spacing w:after="60" w:line="264"/>
        <w:ind w:left="340"/>
      </w:pPr>
      <w:r>
        <w:rPr>
          <w:rFonts w:ascii="Calibri" w:cs="Calibri" w:eastAsia="Calibri" w:hAnsi="Calibri"/>
          <w:color w:val="5A5568"/>
          <w:sz w:val="20"/>
          <w:szCs w:val="20"/>
        </w:rPr>
        <w:t xml:space="preserve">8.2  </w:t>
      </w:r>
      <w:r>
        <w:rPr>
          <w:rFonts w:ascii="Calibri" w:cs="Calibri" w:eastAsia="Calibri" w:hAnsi="Calibri"/>
          <w:color w:val="1A1526"/>
          <w:sz w:val="20"/>
          <w:szCs w:val="20"/>
        </w:rPr>
        <w:t xml:space="preserve">Proposed schema change</w:t>
      </w:r>
    </w:p>
    <w:p>
      <w:pPr>
        <w:spacing w:after="60" w:line="264"/>
        <w:ind w:left="340"/>
      </w:pPr>
      <w:r>
        <w:rPr>
          <w:rFonts w:ascii="Calibri" w:cs="Calibri" w:eastAsia="Calibri" w:hAnsi="Calibri"/>
          <w:color w:val="5A5568"/>
          <w:sz w:val="20"/>
          <w:szCs w:val="20"/>
        </w:rPr>
        <w:t xml:space="preserve">8.3  </w:t>
      </w:r>
      <w:r>
        <w:rPr>
          <w:rFonts w:ascii="Calibri" w:cs="Calibri" w:eastAsia="Calibri" w:hAnsi="Calibri"/>
          <w:color w:val="1A1526"/>
          <w:sz w:val="20"/>
          <w:szCs w:val="20"/>
        </w:rPr>
        <w:t xml:space="preserve">Entitlement resolution</w:t>
      </w:r>
    </w:p>
    <w:p>
      <w:pPr>
        <w:spacing w:after="60" w:line="264"/>
        <w:ind w:left="340"/>
      </w:pPr>
      <w:r>
        <w:rPr>
          <w:rFonts w:ascii="Calibri" w:cs="Calibri" w:eastAsia="Calibri" w:hAnsi="Calibri"/>
          <w:color w:val="5A5568"/>
          <w:sz w:val="20"/>
          <w:szCs w:val="20"/>
        </w:rPr>
        <w:t xml:space="preserve">8.4  </w:t>
      </w:r>
      <w:r>
        <w:rPr>
          <w:rFonts w:ascii="Calibri" w:cs="Calibri" w:eastAsia="Calibri" w:hAnsi="Calibri"/>
          <w:color w:val="1A1526"/>
          <w:sz w:val="20"/>
          <w:szCs w:val="20"/>
        </w:rPr>
        <w:t xml:space="preserve">Server-side enforcement</w:t>
      </w:r>
    </w:p>
    <w:p>
      <w:pPr>
        <w:spacing w:after="60" w:line="264"/>
        <w:ind w:left="340"/>
      </w:pPr>
      <w:r>
        <w:rPr>
          <w:rFonts w:ascii="Calibri" w:cs="Calibri" w:eastAsia="Calibri" w:hAnsi="Calibri"/>
          <w:color w:val="5A5568"/>
          <w:sz w:val="20"/>
          <w:szCs w:val="20"/>
        </w:rPr>
        <w:t xml:space="preserve">8.5  </w:t>
      </w:r>
      <w:r>
        <w:rPr>
          <w:rFonts w:ascii="Calibri" w:cs="Calibri" w:eastAsia="Calibri" w:hAnsi="Calibri"/>
          <w:color w:val="1A1526"/>
          <w:sz w:val="20"/>
          <w:szCs w:val="20"/>
        </w:rPr>
        <w:t xml:space="preserve">Client behaviour for locked features</w:t>
      </w:r>
    </w:p>
    <w:p>
      <w:pPr>
        <w:spacing w:after="70" w:line="264"/>
      </w:pPr>
      <w:r>
        <w:rPr>
          <w:rFonts w:ascii="Calibri" w:cs="Calibri" w:eastAsia="Calibri" w:hAnsi="Calibri"/>
          <w:b/>
          <w:bCs/>
          <w:color w:val="6A00A8"/>
          <w:sz w:val="21"/>
          <w:szCs w:val="21"/>
        </w:rPr>
        <w:t xml:space="preserve">9.  </w:t>
      </w:r>
      <w:r>
        <w:rPr>
          <w:rFonts w:ascii="Calibri" w:cs="Calibri" w:eastAsia="Calibri" w:hAnsi="Calibri"/>
          <w:b/>
          <w:bCs/>
          <w:color w:val="1A1526"/>
          <w:sz w:val="21"/>
          <w:szCs w:val="21"/>
        </w:rPr>
        <w:t xml:space="preserve">Program limits by tier</w:t>
      </w:r>
    </w:p>
    <w:p>
      <w:pPr>
        <w:spacing w:after="70" w:line="264"/>
      </w:pPr>
      <w:r>
        <w:rPr>
          <w:rFonts w:ascii="Calibri" w:cs="Calibri" w:eastAsia="Calibri" w:hAnsi="Calibri"/>
          <w:b/>
          <w:bCs/>
          <w:color w:val="6A00A8"/>
          <w:sz w:val="21"/>
          <w:szCs w:val="21"/>
        </w:rPr>
        <w:t xml:space="preserve">10.  </w:t>
      </w:r>
      <w:r>
        <w:rPr>
          <w:rFonts w:ascii="Calibri" w:cs="Calibri" w:eastAsia="Calibri" w:hAnsi="Calibri"/>
          <w:b/>
          <w:bCs/>
          <w:color w:val="1A1526"/>
          <w:sz w:val="21"/>
          <w:szCs w:val="21"/>
        </w:rPr>
        <w:t xml:space="preserve">Build sequence</w:t>
      </w:r>
    </w:p>
    <w:p>
      <w:pPr>
        <w:spacing w:after="70" w:line="264"/>
      </w:pPr>
      <w:r>
        <w:rPr>
          <w:rFonts w:ascii="Calibri" w:cs="Calibri" w:eastAsia="Calibri" w:hAnsi="Calibri"/>
          <w:b/>
          <w:bCs/>
          <w:color w:val="6A00A8"/>
          <w:sz w:val="21"/>
          <w:szCs w:val="21"/>
        </w:rPr>
        <w:t xml:space="preserve">11.  </w:t>
      </w:r>
      <w:r>
        <w:rPr>
          <w:rFonts w:ascii="Calibri" w:cs="Calibri" w:eastAsia="Calibri" w:hAnsi="Calibri"/>
          <w:b/>
          <w:bCs/>
          <w:color w:val="1A1526"/>
          <w:sz w:val="21"/>
          <w:szCs w:val="21"/>
        </w:rPr>
        <w:t xml:space="preserve">Open questions</w:t>
      </w:r>
    </w:p>
    <w:p>
      <w:r>
        <w:br w:type="page"/>
      </w:r>
    </w:p>
    <w:p>
      <w:pPr>
        <w:pStyle w:val="Heading1"/>
        <w:keepNext/>
        <w:spacing w:after="140" w:before="320"/>
      </w:pPr>
      <w:r>
        <w:rPr>
          <w:rFonts w:ascii="Calibri" w:cs="Calibri" w:eastAsia="Calibri" w:hAnsi="Calibri"/>
          <w:b/>
          <w:bCs/>
          <w:color w:val="6A00A8"/>
          <w:sz w:val="30"/>
          <w:szCs w:val="30"/>
        </w:rPr>
        <w:t xml:space="preserve">1. Purpose and design principle</w:t>
      </w:r>
    </w:p>
    <w:tbl>
      <w:tblPr>
        <w:tblW w:type="dxa" w:w="9360"/>
        <w:tblBorders>
          <w:top w:val="single" w:color="F3E6FB" w:sz="2"/>
          <w:left w:val="single" w:color="6A00A8" w:sz="24"/>
          <w:bottom w:val="single" w:color="F3E6FB" w:sz="2"/>
          <w:right w:val="single" w:color="F3E6FB" w:sz="2"/>
          <w:insideH w:val="none"/>
          <w:insideV w:val="none"/>
        </w:tblBorders>
      </w:tblPr>
      <w:tblGrid>
        <w:gridCol w:w="9360"/>
      </w:tblGrid>
      <w:tr>
        <w:trPr>
          <w:cantSplit/>
        </w:trPr>
        <w:tc>
          <w:tcPr>
            <w:tcW w:type="dxa" w:w="9360"/>
            <w:shd w:fill="F3E6FB" w:color="auto" w:val="clear"/>
            <w:tcMar>
              <w:top w:type="dxa" w:w="120"/>
              <w:left w:type="dxa" w:w="180"/>
              <w:bottom w:type="dxa" w:w="120"/>
              <w:right w:type="dxa" w:w="180"/>
            </w:tcMar>
          </w:tcPr>
          <w:p>
            <w:pPr>
              <w:spacing w:after="40"/>
            </w:pPr>
            <w:r>
              <w:rPr>
                <w:rFonts w:ascii="Calibri" w:cs="Calibri" w:eastAsia="Calibri" w:hAnsi="Calibri"/>
                <w:b/>
                <w:bCs/>
                <w:color w:val="6A00A8"/>
                <w:sz w:val="20"/>
                <w:szCs w:val="20"/>
              </w:rPr>
              <w:t xml:space="preserve">Scope of this document</w:t>
            </w:r>
          </w:p>
          <w:p>
            <w:pPr>
              <w:spacing w:after="60" w:line="264"/>
            </w:pPr>
            <w:r>
              <w:rPr>
                <w:rFonts w:ascii="Calibri" w:cs="Calibri" w:eastAsia="Calibri" w:hAnsi="Calibri"/>
                <w:color w:val="1A1526"/>
                <w:sz w:val="20"/>
                <w:szCs w:val="20"/>
              </w:rPr>
              <w:t xml:space="preserve">Pricing is deliberately out of scope. This document defines what each tier displays, what it derives from that data, and how the entitlement is enforced — the commercial layer sits on top of it.</w:t>
            </w:r>
          </w:p>
          <w:p>
            <w:pPr>
              <w:spacing w:after="0" w:line="264"/>
            </w:pPr>
            <w:r>
              <w:rPr>
                <w:rFonts w:ascii="Calibri" w:cs="Calibri" w:eastAsia="Calibri" w:hAnsi="Calibri"/>
                <w:color w:val="1A1526"/>
                <w:sz w:val="20"/>
                <w:szCs w:val="20"/>
              </w:rPr>
              <w:t xml:space="preserve">Every feature named here maps to code or schema that already exists in the repository, except where marked NEW BUILD.</w:t>
            </w:r>
          </w:p>
        </w:tc>
      </w:tr>
    </w:tbl>
    <w:p>
      <w:pPr>
        <w:spacing w:after="200"/>
      </w:pPr>
      <w:r>
        <w:rPr>
          <w:sz w:val="2"/>
          <w:szCs w:val="2"/>
        </w:rPr>
        <w:t xml:space="preserve"/>
      </w:r>
    </w:p>
    <w:p>
      <w:pPr>
        <w:spacing w:after="120" w:line="276"/>
      </w:pPr>
      <w:r>
        <w:rPr>
          <w:rFonts w:ascii="Calibri" w:cs="Calibri" w:eastAsia="Calibri" w:hAnsi="Calibri"/>
          <w:color w:val="1A1526"/>
          <w:sz w:val="21"/>
          <w:szCs w:val="21"/>
        </w:rPr>
        <w:t xml:space="preserve">Trench Sports already captures far more per strike than any single screen shows. The subscription tiers are not three different products — they are three depths of interpretation applied to the same sensor stream. A Tier I program and a Tier III program running the same athlete on the same bag generate byte-identical raw data; what differs is how much of it is surfaced, and how far the platform goes in explaining it.</w:t>
      </w:r>
    </w:p>
    <w:p>
      <w:pPr>
        <w:spacing w:after="120" w:line="276"/>
      </w:pPr>
      <w:r>
        <w:rPr>
          <w:rFonts w:ascii="Calibri" w:cs="Calibri" w:eastAsia="Calibri" w:hAnsi="Calibri"/>
          <w:color w:val="1A1526"/>
          <w:sz w:val="21"/>
          <w:szCs w:val="21"/>
        </w:rPr>
        <w:t xml:space="preserve">That gives us a clean organising principle for the whole ladder:</w:t>
      </w:r>
    </w:p>
    <w:p>
      <w:pPr>
        <w:spacing w:after="60"/>
      </w:pPr>
      <w:r>
        <w:rPr>
          <w:sz w:val="2"/>
          <w:szCs w:val="2"/>
        </w:rPr>
        <w:t xml:space="preserve"/>
      </w:r>
    </w:p>
    <w:tbl>
      <w:tblPr>
        <w:tblW w:type="dxa" w:w="9360"/>
        <w:tblBorders>
          <w:top w:val="single" w:color="F3E6FB" w:sz="2"/>
          <w:left w:val="single" w:color="6A00A8" w:sz="24"/>
          <w:bottom w:val="single" w:color="F3E6FB" w:sz="2"/>
          <w:right w:val="single" w:color="F3E6FB" w:sz="2"/>
          <w:insideH w:val="none"/>
          <w:insideV w:val="none"/>
        </w:tblBorders>
      </w:tblPr>
      <w:tblGrid>
        <w:gridCol w:w="9360"/>
      </w:tblGrid>
      <w:tr>
        <w:trPr>
          <w:cantSplit/>
        </w:trPr>
        <w:tc>
          <w:tcPr>
            <w:tcW w:type="dxa" w:w="9360"/>
            <w:shd w:fill="F3E6FB" w:color="auto" w:val="clear"/>
            <w:tcMar>
              <w:top w:type="dxa" w:w="120"/>
              <w:left w:type="dxa" w:w="180"/>
              <w:bottom w:type="dxa" w:w="120"/>
              <w:right w:type="dxa" w:w="180"/>
            </w:tcMar>
          </w:tcPr>
          <w:p>
            <w:pPr>
              <w:spacing w:after="40"/>
            </w:pPr>
            <w:r>
              <w:rPr>
                <w:rFonts w:ascii="Calibri" w:cs="Calibri" w:eastAsia="Calibri" w:hAnsi="Calibri"/>
                <w:b/>
                <w:bCs/>
                <w:color w:val="6A00A8"/>
                <w:sz w:val="20"/>
                <w:szCs w:val="20"/>
              </w:rPr>
              <w:t xml:space="preserve">The insight ladder</w:t>
            </w:r>
          </w:p>
          <w:p>
            <w:pPr>
              <w:spacing w:after="60" w:line="264"/>
            </w:pPr>
            <w:r>
              <w:rPr>
                <w:rFonts w:ascii="Calibri" w:cs="Calibri" w:eastAsia="Calibri" w:hAnsi="Calibri"/>
                <w:b/>
                <w:bCs/>
                <w:color w:val="1A1526"/>
                <w:sz w:val="20"/>
                <w:szCs w:val="20"/>
              </w:rPr>
              <w:t xml:space="preserve">Tier I — DESCRIPTIVE. </w:t>
            </w:r>
            <w:r>
              <w:rPr>
                <w:rFonts w:ascii="Calibri" w:cs="Calibri" w:eastAsia="Calibri" w:hAnsi="Calibri"/>
                <w:color w:val="1A1526"/>
                <w:sz w:val="20"/>
                <w:szCs w:val="20"/>
              </w:rPr>
              <w:t xml:space="preserve">What happened. One mode, one athlete, per-session facts.</w:t>
            </w:r>
          </w:p>
          <w:p>
            <w:pPr>
              <w:spacing w:after="60" w:line="264"/>
            </w:pPr>
            <w:r>
              <w:rPr>
                <w:rFonts w:ascii="Calibri" w:cs="Calibri" w:eastAsia="Calibri" w:hAnsi="Calibri"/>
                <w:b/>
                <w:bCs/>
                <w:color w:val="1A1526"/>
                <w:sz w:val="20"/>
                <w:szCs w:val="20"/>
              </w:rPr>
              <w:t xml:space="preserve">Tier II — COMPARATIVE. </w:t>
            </w:r>
            <w:r>
              <w:rPr>
                <w:rFonts w:ascii="Calibri" w:cs="Calibri" w:eastAsia="Calibri" w:hAnsi="Calibri"/>
                <w:color w:val="1A1526"/>
                <w:sz w:val="20"/>
                <w:szCs w:val="20"/>
              </w:rPr>
              <w:t xml:space="preserve">How it compares. Multiple modes, roster and team context, spatial and directional analysis.</w:t>
            </w:r>
          </w:p>
          <w:p>
            <w:pPr>
              <w:spacing w:after="0" w:line="264"/>
            </w:pPr>
            <w:r>
              <w:rPr>
                <w:rFonts w:ascii="Calibri" w:cs="Calibri" w:eastAsia="Calibri" w:hAnsi="Calibri"/>
                <w:b/>
                <w:bCs/>
                <w:color w:val="1A1526"/>
                <w:sz w:val="20"/>
                <w:szCs w:val="20"/>
              </w:rPr>
              <w:t xml:space="preserve">Tier III — PRESCRIPTIVE. </w:t>
            </w:r>
            <w:r>
              <w:rPr>
                <w:rFonts w:ascii="Calibri" w:cs="Calibri" w:eastAsia="Calibri" w:hAnsi="Calibri"/>
                <w:color w:val="1A1526"/>
                <w:sz w:val="20"/>
                <w:szCs w:val="20"/>
              </w:rPr>
              <w:t xml:space="preserve">What to do about it. Full mode set, time-series trend detection, generated coaching direction, programmatic access.</w:t>
            </w:r>
          </w:p>
        </w:tc>
      </w:tr>
    </w:tbl>
    <w:p>
      <w:pPr>
        <w:spacing w:after="200"/>
      </w:pPr>
      <w:r>
        <w:rPr>
          <w:sz w:val="2"/>
          <w:szCs w:val="2"/>
        </w:rPr>
        <w:t xml:space="preserve"/>
      </w:r>
    </w:p>
    <w:p>
      <w:pPr>
        <w:spacing w:after="120" w:line="276"/>
      </w:pPr>
      <w:r>
        <w:rPr>
          <w:rFonts w:ascii="Calibri" w:cs="Calibri" w:eastAsia="Calibri" w:hAnsi="Calibri"/>
          <w:color w:val="1A1526"/>
          <w:sz w:val="21"/>
          <w:szCs w:val="21"/>
        </w:rPr>
        <w:t xml:space="preserve">Each rung genuinely depends on the one below it, which is why this ordering is defensible rather than arbitrary. A leaderboard is meaningless without a cohort to populate it (Tier II needs a roster). A fatigue slope is meaningless without enough within-session windows and enough session history to regress against (Tier III needs Tier II's volume of comparable sessions). The AI analysis engine consumes the comparative baselines Tier II produces as its inputs. Nothing is withheld arbitrarily; each tier withholds the things that would be statistically hollow without the tier's own data density.</w:t>
      </w:r>
    </w:p>
    <w:p>
      <w:pPr>
        <w:spacing w:after="120" w:line="276"/>
      </w:pPr>
      <w:r>
        <w:rPr>
          <w:rFonts w:ascii="Calibri" w:cs="Calibri" w:eastAsia="Calibri" w:hAnsi="Calibri"/>
          <w:color w:val="1A1526"/>
          <w:sz w:val="21"/>
          <w:szCs w:val="21"/>
        </w:rPr>
        <w:t xml:space="preserve">Tiers are assigned per program, not per seat. A program is already the billing and tenancy root in the schema — every athlete, team, session and device hangs off a </w:t>
      </w:r>
      <w:r>
        <w:rPr>
          <w:rFonts w:ascii="Courier New" w:cs="Courier New" w:eastAsia="Courier New" w:hAnsi="Courier New"/>
          <w:color w:val="1A1526"/>
          <w:sz w:val="19"/>
          <w:szCs w:val="19"/>
        </w:rPr>
        <w:t xml:space="preserve">program_id</w:t>
      </w:r>
      <w:r>
        <w:rPr>
          <w:rFonts w:ascii="Calibri" w:cs="Calibri" w:eastAsia="Calibri" w:hAnsi="Calibri"/>
          <w:color w:val="1A1526"/>
          <w:sz w:val="21"/>
          <w:szCs w:val="21"/>
        </w:rPr>
        <w:t xml:space="preserve">, and Row-Level Security is written against it. Entitlement therefore belongs on the program row and inherits down the whole tree with no additional plumbing.</w:t>
      </w:r>
    </w:p>
    <w:p>
      <w:pPr>
        <w:pStyle w:val="Heading1"/>
        <w:keepNext/>
        <w:spacing w:after="140" w:before="320"/>
      </w:pPr>
      <w:r>
        <w:rPr>
          <w:rFonts w:ascii="Calibri" w:cs="Calibri" w:eastAsia="Calibri" w:hAnsi="Calibri"/>
          <w:b/>
          <w:bCs/>
          <w:color w:val="6A00A8"/>
          <w:sz w:val="30"/>
          <w:szCs w:val="30"/>
        </w:rPr>
        <w:t xml:space="preserve">2. Tier summary</w:t>
      </w:r>
    </w:p>
    <w:p>
      <w:pPr>
        <w:spacing w:after="120" w:line="276"/>
      </w:pPr>
      <w:r>
        <w:rPr>
          <w:rFonts w:ascii="Calibri" w:cs="Calibri" w:eastAsia="Calibri" w:hAnsi="Calibri"/>
          <w:i/>
          <w:iCs/>
          <w:color w:val="5A5568"/>
          <w:sz w:val="21"/>
          <w:szCs w:val="21"/>
        </w:rPr>
        <w:t xml:space="preserve">The at-a-glance matrix. Detailed per-tier behaviour follows in sections 4 to 6.</w:t>
      </w:r>
    </w:p>
    <w:p>
      <w:pPr>
        <w:spacing w:after="80"/>
      </w:pPr>
      <w:r>
        <w:rPr>
          <w:sz w:val="2"/>
          <w:szCs w:val="2"/>
        </w:rPr>
        <w:t xml:space="preserve"/>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2160"/>
        <w:gridCol w:w="2400"/>
        <w:gridCol w:w="2400"/>
        <w:gridCol w:w="2400"/>
      </w:tblGrid>
      <w:tr>
        <w:trPr>
          <w:cantSplit/>
          <w:tblHeader/>
        </w:trPr>
        <w:tc>
          <w:tcPr>
            <w:tcW w:type="dxa" w:w="216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c>
          <w:tcPr>
            <w:tcW w:type="dxa" w:w="24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Tier I — Foundation</w:t>
            </w:r>
          </w:p>
        </w:tc>
        <w:tc>
          <w:tcPr>
            <w:tcW w:type="dxa" w:w="24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Tier II — Analysis</w:t>
            </w:r>
          </w:p>
        </w:tc>
        <w:tc>
          <w:tcPr>
            <w:tcW w:type="dxa" w:w="24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Tier III — Intelligence</w:t>
            </w:r>
          </w:p>
        </w:tc>
      </w:tr>
      <w:tr>
        <w:trPr>
          <w:cantSplit/>
          <w:tblHeader w:val="false"/>
        </w:trPr>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Positioning</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Capture and record</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Compare and diagnose</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Predict and prescribe</w:t>
            </w:r>
          </w:p>
        </w:tc>
      </w:tr>
      <w:tr>
        <w:trPr>
          <w:cantSplit/>
          <w:tblHeader w:val="false"/>
        </w:trPr>
        <w:tc>
          <w:tcPr>
            <w:tcW w:type="dxa" w:w="2160"/>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Impact modes</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1 (Power)</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3 (Power, Accuracy, Reaction)</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All 5 (+ Volume, Target)</w:t>
            </w:r>
          </w:p>
        </w:tc>
      </w:tr>
      <w:tr>
        <w:trPr>
          <w:cantSplit/>
          <w:tblHeader w:val="false"/>
        </w:trPr>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Insight depth</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Descriptive</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Comparative</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Prescriptive</w:t>
            </w:r>
          </w:p>
        </w:tc>
      </w:tr>
      <w:tr>
        <w:trPr>
          <w:cantSplit/>
          <w:tblHeader w:val="false"/>
        </w:trPr>
        <w:tc>
          <w:tcPr>
            <w:tcW w:type="dxa" w:w="2160"/>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Unit of analysis</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The session</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The roster</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The trend</w:t>
            </w:r>
          </w:p>
        </w:tc>
      </w:tr>
      <w:tr>
        <w:trPr>
          <w:cantSplit/>
          <w:tblHeader w:val="false"/>
        </w:trPr>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Leaderboards</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Standard, single-mode</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Full multi-mode + Most Improved</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Full + trend-weighted</w:t>
            </w:r>
          </w:p>
        </w:tc>
      </w:tr>
      <w:tr>
        <w:trPr>
          <w:cantSplit/>
          <w:tblHeader w:val="false"/>
        </w:trPr>
        <w:tc>
          <w:tcPr>
            <w:tcW w:type="dxa" w:w="2160"/>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Team comparison</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 multi-team</w:t>
            </w:r>
          </w:p>
        </w:tc>
      </w:tr>
      <w:tr>
        <w:trPr>
          <w:cantSplit/>
          <w:tblHeader w:val="false"/>
        </w:trPr>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Athlete analysis</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Profile + history only</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Full axis breakdown</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Full + longitudinal</w:t>
            </w:r>
          </w:p>
        </w:tc>
      </w:tr>
      <w:tr>
        <w:trPr>
          <w:cantSplit/>
          <w:tblHeader w:val="false"/>
        </w:trPr>
        <w:tc>
          <w:tcPr>
            <w:tcW w:type="dxa" w:w="2160"/>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3D angle analysis</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Strike Compass</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Strike Compass + angle drift</w:t>
            </w:r>
          </w:p>
        </w:tc>
      </w:tr>
      <w:tr>
        <w:trPr>
          <w:cantSplit/>
          <w:tblHeader w:val="false"/>
        </w:trPr>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CSV export</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Session summaries</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Summaries + raw session data</w:t>
            </w:r>
          </w:p>
        </w:tc>
      </w:tr>
      <w:tr>
        <w:trPr>
          <w:cantSplit/>
          <w:tblHeader w:val="false"/>
        </w:trPr>
        <w:tc>
          <w:tcPr>
            <w:tcW w:type="dxa" w:w="2160"/>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Fatigue tracker</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AI analysis</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2160"/>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Advanced dashboard</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API access</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2160"/>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Max athletes</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50</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150</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Unlimited</w:t>
            </w:r>
          </w:p>
        </w:tc>
      </w:tr>
      <w:tr>
        <w:trPr>
          <w:cantSplit/>
          <w:tblHeader w:val="false"/>
        </w:trPr>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History window</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30 days</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90 days</w:t>
            </w:r>
          </w:p>
        </w:tc>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Unlimited</w:t>
            </w:r>
          </w:p>
        </w:tc>
      </w:tr>
      <w:tr>
        <w:trPr>
          <w:cantSplit/>
          <w:tblHeader w:val="false"/>
        </w:trPr>
        <w:tc>
          <w:tcPr>
            <w:tcW w:type="dxa" w:w="2160"/>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Cumulative</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Includes Tier I</w:t>
            </w:r>
          </w:p>
        </w:tc>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Includes Tier I + II</w:t>
            </w:r>
          </w:p>
        </w:tc>
      </w:tr>
    </w:tbl>
    <w:p>
      <w:pPr>
        <w:spacing w:after="220"/>
      </w:pPr>
      <w:r>
        <w:rPr>
          <w:sz w:val="2"/>
          <w:szCs w:val="2"/>
        </w:rPr>
        <w:t xml:space="preserve"/>
      </w:r>
    </w:p>
    <w:tbl>
      <w:tblPr>
        <w:tblW w:type="dxa" w:w="9360"/>
        <w:tblBorders>
          <w:top w:val="single" w:color="F3E6FB" w:sz="2"/>
          <w:left w:val="single" w:color="6A00A8" w:sz="24"/>
          <w:bottom w:val="single" w:color="F3E6FB" w:sz="2"/>
          <w:right w:val="single" w:color="F3E6FB" w:sz="2"/>
          <w:insideH w:val="none"/>
          <w:insideV w:val="none"/>
        </w:tblBorders>
      </w:tblPr>
      <w:tblGrid>
        <w:gridCol w:w="9360"/>
      </w:tblGrid>
      <w:tr>
        <w:trPr>
          <w:cantSplit/>
        </w:trPr>
        <w:tc>
          <w:tcPr>
            <w:tcW w:type="dxa" w:w="9360"/>
            <w:shd w:fill="F3E6FB" w:color="auto" w:val="clear"/>
            <w:tcMar>
              <w:top w:type="dxa" w:w="120"/>
              <w:left w:type="dxa" w:w="180"/>
              <w:bottom w:type="dxa" w:w="120"/>
              <w:right w:type="dxa" w:w="180"/>
            </w:tcMar>
          </w:tcPr>
          <w:p>
            <w:pPr>
              <w:spacing w:after="40"/>
            </w:pPr>
            <w:r>
              <w:rPr>
                <w:rFonts w:ascii="Calibri" w:cs="Calibri" w:eastAsia="Calibri" w:hAnsi="Calibri"/>
                <w:b/>
                <w:bCs/>
                <w:color w:val="6A00A8"/>
                <w:sz w:val="20"/>
                <w:szCs w:val="20"/>
              </w:rPr>
              <w:t xml:space="preserve">Open decision — which three modes for Tier II</w:t>
            </w:r>
          </w:p>
          <w:p>
            <w:pPr>
              <w:spacing w:after="60" w:line="264"/>
            </w:pPr>
            <w:r>
              <w:rPr>
                <w:rFonts w:ascii="Calibri" w:cs="Calibri" w:eastAsia="Calibri" w:hAnsi="Calibri"/>
                <w:color w:val="1A1526"/>
                <w:sz w:val="20"/>
                <w:szCs w:val="20"/>
              </w:rPr>
              <w:t xml:space="preserve">Your brief specified three modes for Tier II without naming them. Recommendation: Power, Accuracy, Reaction.</w:t>
            </w:r>
          </w:p>
          <w:p>
            <w:pPr>
              <w:spacing w:after="0" w:line="264"/>
            </w:pPr>
            <w:r>
              <w:rPr>
                <w:rFonts w:ascii="Calibri" w:cs="Calibri" w:eastAsia="Calibri" w:hAnsi="Calibri"/>
                <w:color w:val="1A1526"/>
                <w:sz w:val="20"/>
                <w:szCs w:val="20"/>
              </w:rPr>
              <w:t xml:space="preserve">Rationale: those three are exactly the modes the existing dashboard already builds dedicated leaderboards for (Athlete, Accuracy and Reaction Leaderboards), so Tier II ships against working code. Volume and Target are the two modes whose data feeds the Tier III features — Volume is the direct source of the SI fatigue slope, and Target is the only mode scoring reaction and accuracy simultaneously. Gating them to Tier III makes the fatigue tracker's placement coherent rather than coincidental: Tier II cannot compute a fatigue slope because Tier II cannot generate the windowed data it regresses over.</w:t>
            </w:r>
          </w:p>
        </w:tc>
      </w:tr>
    </w:tbl>
    <w:p>
      <w:pPr>
        <w:pStyle w:val="Heading1"/>
        <w:keepNext/>
        <w:spacing w:after="140" w:before="320"/>
      </w:pPr>
      <w:r>
        <w:rPr>
          <w:rFonts w:ascii="Calibri" w:cs="Calibri" w:eastAsia="Calibri" w:hAnsi="Calibri"/>
          <w:b/>
          <w:bCs/>
          <w:color w:val="6A00A8"/>
          <w:sz w:val="30"/>
          <w:szCs w:val="30"/>
        </w:rPr>
        <w:t xml:space="preserve">3. What the platform captures (the shared substrate)</w:t>
      </w:r>
    </w:p>
    <w:p>
      <w:pPr>
        <w:spacing w:after="120" w:line="276"/>
      </w:pPr>
      <w:r>
        <w:rPr>
          <w:rFonts w:ascii="Calibri" w:cs="Calibri" w:eastAsia="Calibri" w:hAnsi="Calibri"/>
          <w:color w:val="1A1526"/>
          <w:sz w:val="21"/>
          <w:szCs w:val="21"/>
        </w:rPr>
        <w:t xml:space="preserve">Before splitting by tier, this is the full inventory of what the pipeline produces. Tiers are defined as subsets of this list, so it is worth stating once.</w:t>
      </w:r>
    </w:p>
    <w:p>
      <w:pPr>
        <w:pStyle w:val="Heading2"/>
        <w:keepNext/>
        <w:spacing w:after="90" w:before="220"/>
      </w:pPr>
      <w:r>
        <w:rPr>
          <w:rFonts w:ascii="Calibri" w:cs="Calibri" w:eastAsia="Calibri" w:hAnsi="Calibri"/>
          <w:b/>
          <w:bCs/>
          <w:color w:val="1A1526"/>
          <w:sz w:val="24"/>
          <w:szCs w:val="24"/>
        </w:rPr>
        <w:t xml:space="preserve">3.1 Per strike — the events table</w:t>
      </w:r>
    </w:p>
    <w:p>
      <w:pPr>
        <w:spacing w:after="120" w:line="276"/>
      </w:pPr>
      <w:r>
        <w:rPr>
          <w:rFonts w:ascii="Calibri" w:cs="Calibri" w:eastAsia="Calibri" w:hAnsi="Calibri"/>
          <w:color w:val="1A1526"/>
          <w:sz w:val="21"/>
          <w:szCs w:val="21"/>
        </w:rPr>
        <w:t xml:space="preserve">The event builder segments the sample stream into discrete strikes and derives:</w:t>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2900"/>
        <w:gridCol w:w="1400"/>
        <w:gridCol w:w="5060"/>
      </w:tblGrid>
      <w:tr>
        <w:trPr>
          <w:cantSplit/>
          <w:tblHeader/>
        </w:trPr>
        <w:tc>
          <w:tcPr>
            <w:tcW w:type="dxa" w:w="29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Field</w:t>
            </w:r>
          </w:p>
        </w:tc>
        <w:tc>
          <w:tcPr>
            <w:tcW w:type="dxa" w:w="14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Unit</w:t>
            </w:r>
          </w:p>
        </w:tc>
        <w:tc>
          <w:tcPr>
            <w:tcW w:type="dxa" w:w="506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represents</w:t>
            </w:r>
          </w:p>
        </w:tc>
      </w:tr>
      <w:tr>
        <w:trPr>
          <w:cantSplit/>
          <w:tblHeader w:val="false"/>
        </w:trPr>
        <w:tc>
          <w:tcPr>
            <w:tcW w:type="dxa" w:w="29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peak_force_n / peak_pressure_kpa</w:t>
            </w:r>
          </w:p>
        </w:tc>
        <w:tc>
          <w:tcPr>
            <w:tcW w:type="dxa" w:w="1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N / kPa</w:t>
            </w:r>
          </w:p>
        </w:tc>
        <w:tc>
          <w:tcPr>
            <w:tcW w:type="dxa" w:w="50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Peak output of the strike, from calibrated sensor voltage</w:t>
            </w:r>
          </w:p>
        </w:tc>
      </w:tr>
      <w:tr>
        <w:trPr>
          <w:cantSplit/>
          <w:tblHeader w:val="false"/>
        </w:trPr>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impulse_index</w:t>
            </w:r>
          </w:p>
        </w:tc>
        <w:tc>
          <w:tcPr>
            <w:tcW w:type="dxa" w:w="1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N·s</w:t>
            </w:r>
          </w:p>
        </w:tc>
        <w:tc>
          <w:tcPr>
            <w:tcW w:type="dxa" w:w="50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Force integrated over contact time — total delivered momentum</w:t>
            </w:r>
          </w:p>
        </w:tc>
      </w:tr>
      <w:tr>
        <w:trPr>
          <w:cantSplit/>
          <w:tblHeader w:val="false"/>
        </w:trPr>
        <w:tc>
          <w:tcPr>
            <w:tcW w:type="dxa" w:w="29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duration_ms</w:t>
            </w:r>
          </w:p>
        </w:tc>
        <w:tc>
          <w:tcPr>
            <w:tcW w:type="dxa" w:w="1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ms</w:t>
            </w:r>
          </w:p>
        </w:tc>
        <w:tc>
          <w:tcPr>
            <w:tcW w:type="dxa" w:w="50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Contact duration from threshold crossing to release</w:t>
            </w:r>
          </w:p>
        </w:tc>
      </w:tr>
      <w:tr>
        <w:trPr>
          <w:cantSplit/>
          <w:tblHeader w:val="false"/>
        </w:trPr>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rise_time_ms</w:t>
            </w:r>
          </w:p>
        </w:tc>
        <w:tc>
          <w:tcPr>
            <w:tcW w:type="dxa" w:w="1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ms</w:t>
            </w:r>
          </w:p>
        </w:tc>
        <w:tc>
          <w:tcPr>
            <w:tcW w:type="dxa" w:w="50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Time to reach peak — the speed half of rate-of-force</w:t>
            </w:r>
          </w:p>
        </w:tc>
      </w:tr>
      <w:tr>
        <w:trPr>
          <w:cantSplit/>
          <w:tblHeader w:val="false"/>
        </w:trPr>
        <w:tc>
          <w:tcPr>
            <w:tcW w:type="dxa" w:w="29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decay_time_ms</w:t>
            </w:r>
          </w:p>
        </w:tc>
        <w:tc>
          <w:tcPr>
            <w:tcW w:type="dxa" w:w="1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ms</w:t>
            </w:r>
          </w:p>
        </w:tc>
        <w:tc>
          <w:tcPr>
            <w:tcW w:type="dxa" w:w="50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Time to release — penalises pushing or held contact</w:t>
            </w:r>
          </w:p>
        </w:tc>
      </w:tr>
      <w:tr>
        <w:trPr>
          <w:cantSplit/>
          <w:tblHeader w:val="false"/>
        </w:trPr>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angle_deg</w:t>
            </w:r>
          </w:p>
        </w:tc>
        <w:tc>
          <w:tcPr>
            <w:tcW w:type="dxa" w:w="1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degrees</w:t>
            </w:r>
          </w:p>
        </w:tc>
        <w:tc>
          <w:tcPr>
            <w:tcW w:type="dxa" w:w="50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Incoming strike direction, derived from cell activation order</w:t>
            </w:r>
          </w:p>
        </w:tc>
      </w:tr>
      <w:tr>
        <w:trPr>
          <w:cantSplit/>
          <w:tblHeader w:val="false"/>
        </w:trPr>
        <w:tc>
          <w:tcPr>
            <w:tcW w:type="dxa" w:w="29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reaction_time_ms</w:t>
            </w:r>
          </w:p>
        </w:tc>
        <w:tc>
          <w:tcPr>
            <w:tcW w:type="dxa" w:w="1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ms</w:t>
            </w:r>
          </w:p>
        </w:tc>
        <w:tc>
          <w:tcPr>
            <w:tcW w:type="dxa" w:w="50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Cue-to-impact latency (Reaction, Volume, Target modes)</w:t>
            </w:r>
          </w:p>
        </w:tc>
      </w:tr>
      <w:tr>
        <w:trPr>
          <w:cantSplit/>
          <w:tblHeader w:val="false"/>
        </w:trPr>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iei_prev_ms</w:t>
            </w:r>
          </w:p>
        </w:tc>
        <w:tc>
          <w:tcPr>
            <w:tcW w:type="dxa" w:w="1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ms</w:t>
            </w:r>
          </w:p>
        </w:tc>
        <w:tc>
          <w:tcPr>
            <w:tcW w:type="dxa" w:w="50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Inter-event interval — gap since the previous strike</w:t>
            </w:r>
          </w:p>
        </w:tc>
      </w:tr>
      <w:tr>
        <w:trPr>
          <w:cantSplit/>
          <w:tblHeader w:val="false"/>
        </w:trPr>
        <w:tc>
          <w:tcPr>
            <w:tcW w:type="dxa" w:w="29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strength_index</w:t>
            </w:r>
          </w:p>
        </w:tc>
        <w:tc>
          <w:tcPr>
            <w:tcW w:type="dxa" w:w="1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0–1000</w:t>
            </w:r>
          </w:p>
        </w:tc>
        <w:tc>
          <w:tcPr>
            <w:tcW w:type="dxa" w:w="50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Composite rate-of-force score, normalised across hardware models</w:t>
            </w:r>
          </w:p>
        </w:tc>
      </w:tr>
      <w:tr>
        <w:trPr>
          <w:cantSplit/>
          <w:tblHeader w:val="false"/>
        </w:trPr>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accuracy</w:t>
            </w:r>
          </w:p>
        </w:tc>
        <w:tc>
          <w:tcPr>
            <w:tcW w:type="dxa" w:w="1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JSON</w:t>
            </w:r>
          </w:p>
        </w:tc>
        <w:tc>
          <w:tcPr>
            <w:tcW w:type="dxa" w:w="50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Offset from target centre, scored per mode</w:t>
            </w:r>
          </w:p>
        </w:tc>
      </w:tr>
      <w:tr>
        <w:trPr>
          <w:cantSplit/>
          <w:tblHeader w:val="false"/>
        </w:trPr>
        <w:tc>
          <w:tcPr>
            <w:tcW w:type="dxa" w:w="29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temporal / quality</w:t>
            </w:r>
          </w:p>
        </w:tc>
        <w:tc>
          <w:tcPr>
            <w:tcW w:type="dxa" w:w="1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JSON</w:t>
            </w:r>
          </w:p>
        </w:tc>
        <w:tc>
          <w:tcPr>
            <w:tcW w:type="dxa" w:w="50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Timing sub-metrics and signal-confidence flags</w:t>
            </w:r>
          </w:p>
        </w:tc>
      </w:tr>
    </w:tbl>
    <w:p>
      <w:pPr>
        <w:spacing w:after="200"/>
      </w:pPr>
      <w:r>
        <w:rPr>
          <w:sz w:val="2"/>
          <w:szCs w:val="2"/>
        </w:rPr>
        <w:t xml:space="preserve"/>
      </w:r>
    </w:p>
    <w:p>
      <w:pPr>
        <w:pStyle w:val="Heading2"/>
        <w:keepNext/>
        <w:spacing w:after="90" w:before="220"/>
      </w:pPr>
      <w:r>
        <w:rPr>
          <w:rFonts w:ascii="Calibri" w:cs="Calibri" w:eastAsia="Calibri" w:hAnsi="Calibri"/>
          <w:b/>
          <w:bCs/>
          <w:color w:val="1A1526"/>
          <w:sz w:val="24"/>
          <w:szCs w:val="24"/>
        </w:rPr>
        <w:t xml:space="preserve">3.2 Per strike, per cell — the event_cells table</w:t>
      </w:r>
    </w:p>
    <w:p>
      <w:pPr>
        <w:spacing w:after="120" w:line="276"/>
      </w:pPr>
      <w:r>
        <w:rPr>
          <w:rFonts w:ascii="Calibri" w:cs="Calibri" w:eastAsia="Calibri" w:hAnsi="Calibri"/>
          <w:color w:val="1A1526"/>
          <w:sz w:val="21"/>
          <w:szCs w:val="21"/>
        </w:rPr>
        <w:t xml:space="preserve">Each strike also records which sensor cells fired, with per-cell peak voltage and first, peak and last timestamps. This is the substrate for heatmaps, centre-of-mass, contact-area analysis and the 3D angle reconstruction.</w:t>
      </w:r>
    </w:p>
    <w:p>
      <w:pPr>
        <w:pStyle w:val="Heading2"/>
        <w:keepNext/>
        <w:spacing w:after="90" w:before="220"/>
      </w:pPr>
      <w:r>
        <w:rPr>
          <w:rFonts w:ascii="Calibri" w:cs="Calibri" w:eastAsia="Calibri" w:hAnsi="Calibri"/>
          <w:b/>
          <w:bCs/>
          <w:color w:val="1A1526"/>
          <w:sz w:val="24"/>
          <w:szCs w:val="24"/>
        </w:rPr>
        <w:t xml:space="preserve">3.3 Per session — the session_summaries table</w:t>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3600"/>
        <w:gridCol w:w="5760"/>
      </w:tblGrid>
      <w:tr>
        <w:trPr>
          <w:cantSplit/>
          <w:tblHeader/>
        </w:trPr>
        <w:tc>
          <w:tcPr>
            <w:tcW w:type="dxa" w:w="36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Field</w:t>
            </w:r>
          </w:p>
        </w:tc>
        <w:tc>
          <w:tcPr>
            <w:tcW w:type="dxa" w:w="576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represents</w:t>
            </w:r>
          </w:p>
        </w:tc>
      </w:tr>
      <w:tr>
        <w:trPr>
          <w:cantSplit/>
          <w:tblHeader w:val="false"/>
        </w:trPr>
        <w:tc>
          <w:tcPr>
            <w:tcW w:type="dxa" w:w="36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num_events, session_duration_ms</w:t>
            </w:r>
          </w:p>
        </w:tc>
        <w:tc>
          <w:tcPr>
            <w:tcW w:type="dxa" w:w="57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Volume and length</w:t>
            </w:r>
          </w:p>
        </w:tc>
      </w:tr>
      <w:tr>
        <w:trPr>
          <w:cantSplit/>
          <w:tblHeader w:val="false"/>
        </w:trPr>
        <w:tc>
          <w:tcPr>
            <w:tcW w:type="dxa" w:w="36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cadence_hz_avg, cadence_hz_median</w:t>
            </w:r>
          </w:p>
        </w:tc>
        <w:tc>
          <w:tcPr>
            <w:tcW w:type="dxa" w:w="57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Work rate — strikes per second</w:t>
            </w:r>
          </w:p>
        </w:tc>
      </w:tr>
      <w:tr>
        <w:trPr>
          <w:cantSplit/>
          <w:tblHeader w:val="false"/>
        </w:trPr>
        <w:tc>
          <w:tcPr>
            <w:tcW w:type="dxa" w:w="36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iei_ms, longest_pause_ms</w:t>
            </w:r>
          </w:p>
        </w:tc>
        <w:tc>
          <w:tcPr>
            <w:tcW w:type="dxa" w:w="57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Rhythm distribution and rest behaviour</w:t>
            </w:r>
          </w:p>
        </w:tc>
      </w:tr>
      <w:tr>
        <w:trPr>
          <w:cantSplit/>
          <w:tblHeader w:val="false"/>
        </w:trPr>
        <w:tc>
          <w:tcPr>
            <w:tcW w:type="dxa" w:w="36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peak_force_stats, impulse_stats, duration_ms_stats</w:t>
            </w:r>
          </w:p>
        </w:tc>
        <w:tc>
          <w:tcPr>
            <w:tcW w:type="dxa" w:w="57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Distributional statistics, not just averages</w:t>
            </w:r>
          </w:p>
        </w:tc>
      </w:tr>
      <w:tr>
        <w:trPr>
          <w:cantSplit/>
          <w:tblHeader w:val="false"/>
        </w:trPr>
        <w:tc>
          <w:tcPr>
            <w:tcW w:type="dxa" w:w="36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angles_deg</w:t>
            </w:r>
          </w:p>
        </w:tc>
        <w:tc>
          <w:tcPr>
            <w:tcW w:type="dxa" w:w="57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Directional distribution across the session</w:t>
            </w:r>
          </w:p>
        </w:tc>
      </w:tr>
      <w:tr>
        <w:trPr>
          <w:cantSplit/>
          <w:tblHeader w:val="false"/>
        </w:trPr>
        <w:tc>
          <w:tcPr>
            <w:tcW w:type="dxa" w:w="36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most_contacted_cell_rc, center_of_mass_mm</w:t>
            </w:r>
          </w:p>
        </w:tc>
        <w:tc>
          <w:tcPr>
            <w:tcW w:type="dxa" w:w="57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Spatial tendency and bias</w:t>
            </w:r>
          </w:p>
        </w:tc>
      </w:tr>
      <w:tr>
        <w:trPr>
          <w:cantSplit/>
          <w:tblHeader w:val="false"/>
        </w:trPr>
        <w:tc>
          <w:tcPr>
            <w:tcW w:type="dxa" w:w="36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heatmap</w:t>
            </w:r>
          </w:p>
        </w:tc>
        <w:tc>
          <w:tcPr>
            <w:tcW w:type="dxa" w:w="57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Full grid contact density</w:t>
            </w:r>
          </w:p>
        </w:tc>
      </w:tr>
      <w:tr>
        <w:trPr>
          <w:cantSplit/>
          <w:tblHeader w:val="false"/>
        </w:trPr>
        <w:tc>
          <w:tcPr>
            <w:tcW w:type="dxa" w:w="36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quality</w:t>
            </w:r>
          </w:p>
        </w:tc>
        <w:tc>
          <w:tcPr>
            <w:tcW w:type="dxa" w:w="57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Includes si_fatigue_slope, si_trend, reaction_fatigue_delta_ms</w:t>
            </w:r>
          </w:p>
        </w:tc>
      </w:tr>
    </w:tbl>
    <w:p>
      <w:pPr>
        <w:spacing w:after="200"/>
      </w:pPr>
      <w:r>
        <w:rPr>
          <w:sz w:val="2"/>
          <w:szCs w:val="2"/>
        </w:rPr>
        <w:t xml:space="preserve"/>
      </w:r>
    </w:p>
    <w:tbl>
      <w:tblPr>
        <w:tblW w:type="dxa" w:w="9360"/>
        <w:tblBorders>
          <w:top w:val="single" w:color="F3E6FB" w:sz="2"/>
          <w:left w:val="single" w:color="6A00A8" w:sz="24"/>
          <w:bottom w:val="single" w:color="F3E6FB" w:sz="2"/>
          <w:right w:val="single" w:color="F3E6FB" w:sz="2"/>
          <w:insideH w:val="none"/>
          <w:insideV w:val="none"/>
        </w:tblBorders>
      </w:tblPr>
      <w:tblGrid>
        <w:gridCol w:w="9360"/>
      </w:tblGrid>
      <w:tr>
        <w:trPr>
          <w:cantSplit/>
        </w:trPr>
        <w:tc>
          <w:tcPr>
            <w:tcW w:type="dxa" w:w="9360"/>
            <w:shd w:fill="F3E6FB" w:color="auto" w:val="clear"/>
            <w:tcMar>
              <w:top w:type="dxa" w:w="120"/>
              <w:left w:type="dxa" w:w="180"/>
              <w:bottom w:type="dxa" w:w="120"/>
              <w:right w:type="dxa" w:w="180"/>
            </w:tcMar>
          </w:tcPr>
          <w:p>
            <w:pPr>
              <w:spacing w:after="40"/>
            </w:pPr>
            <w:r>
              <w:rPr>
                <w:rFonts w:ascii="Calibri" w:cs="Calibri" w:eastAsia="Calibri" w:hAnsi="Calibri"/>
                <w:b/>
                <w:bCs/>
                <w:color w:val="6A00A8"/>
                <w:sz w:val="20"/>
                <w:szCs w:val="20"/>
              </w:rPr>
              <w:t xml:space="preserve">Design consequence</w:t>
            </w:r>
          </w:p>
          <w:p>
            <w:pPr>
              <w:spacing w:after="0" w:line="264"/>
            </w:pPr>
            <w:r>
              <w:rPr>
                <w:rFonts w:ascii="Calibri" w:cs="Calibri" w:eastAsia="Calibri" w:hAnsi="Calibri"/>
                <w:color w:val="1A1526"/>
                <w:sz w:val="20"/>
                <w:szCs w:val="20"/>
              </w:rPr>
              <w:t xml:space="preserve">The quality JSON on session_summaries already carries the fatigue signals (si_fatigue_slope, si_trend, reaction_fatigue_delta_ms). They are computed and stored today for every session regardless of plan. Tier gating is therefore about who is permitted to read and see them — see section 8.4 on why hiding them client-side is not sufficient.</w:t>
            </w:r>
          </w:p>
        </w:tc>
      </w:tr>
    </w:tbl>
    <w:p>
      <w:pPr>
        <w:pStyle w:val="Heading1"/>
        <w:keepNext/>
        <w:spacing w:after="140" w:before="320"/>
      </w:pPr>
      <w:r>
        <w:rPr>
          <w:rFonts w:ascii="Calibri" w:cs="Calibri" w:eastAsia="Calibri" w:hAnsi="Calibri"/>
          <w:b/>
          <w:bCs/>
          <w:color w:val="6A00A8"/>
          <w:sz w:val="30"/>
          <w:szCs w:val="30"/>
        </w:rPr>
        <w:t xml:space="preserve">4. Tier I — Foundation</w:t>
      </w:r>
    </w:p>
    <w:p>
      <w:pPr>
        <w:spacing w:after="160" w:line="276"/>
      </w:pPr>
      <w:r>
        <w:rPr>
          <w:rFonts w:ascii="Calibri" w:cs="Calibri" w:eastAsia="Calibri" w:hAnsi="Calibri"/>
          <w:i/>
          <w:iCs/>
          <w:color w:val="5A5568"/>
          <w:sz w:val="21"/>
          <w:szCs w:val="21"/>
        </w:rPr>
        <w:t xml:space="preserve">One mode. One athlete at a time. Answers </w:t>
      </w:r>
      <w:r>
        <w:rPr>
          <w:rFonts w:ascii="Calibri" w:cs="Calibri" w:eastAsia="Calibri" w:hAnsi="Calibri"/>
          <w:b/>
          <w:bCs/>
          <w:i/>
          <w:iCs/>
          <w:color w:val="5A5568"/>
          <w:sz w:val="21"/>
          <w:szCs w:val="21"/>
        </w:rPr>
        <w:t xml:space="preserve">what happened</w:t>
      </w:r>
      <w:r>
        <w:rPr>
          <w:rFonts w:ascii="Calibri" w:cs="Calibri" w:eastAsia="Calibri" w:hAnsi="Calibri"/>
          <w:i/>
          <w:iCs/>
          <w:color w:val="5A5568"/>
          <w:sz w:val="21"/>
          <w:szCs w:val="21"/>
        </w:rPr>
        <w:t xml:space="preserve">.</w:t>
      </w:r>
    </w:p>
    <w:p>
      <w:pPr>
        <w:pStyle w:val="Heading2"/>
        <w:keepNext/>
        <w:spacing w:after="90" w:before="220"/>
      </w:pPr>
      <w:r>
        <w:rPr>
          <w:rFonts w:ascii="Calibri" w:cs="Calibri" w:eastAsia="Calibri" w:hAnsi="Calibri"/>
          <w:b/>
          <w:bCs/>
          <w:color w:val="1A1526"/>
          <w:sz w:val="24"/>
          <w:szCs w:val="24"/>
        </w:rPr>
        <w:t xml:space="preserve">4.1 Modes</w:t>
      </w:r>
    </w:p>
    <w:p>
      <w:pPr>
        <w:spacing w:after="120" w:line="276"/>
      </w:pPr>
      <w:r>
        <w:rPr>
          <w:rFonts w:ascii="Calibri" w:cs="Calibri" w:eastAsia="Calibri" w:hAnsi="Calibri"/>
          <w:b/>
          <w:bCs/>
          <w:color w:val="1A1526"/>
          <w:sz w:val="21"/>
          <w:szCs w:val="21"/>
        </w:rPr>
        <w:t xml:space="preserve">Power only</w:t>
      </w:r>
      <w:r>
        <w:rPr>
          <w:rFonts w:ascii="Calibri" w:cs="Calibri" w:eastAsia="Calibri" w:hAnsi="Calibri"/>
          <w:color w:val="1A1526"/>
          <w:sz w:val="21"/>
          <w:szCs w:val="21"/>
        </w:rPr>
        <w:t xml:space="preserve"> — strike any zone, every impact captured, force and placement logged in real time. This is the mode with no cue, no timer and no scoring rule, so it is the correct entry point: it teaches the hardware without teaching a protocol. It is also already the mode behind the unauthenticated </w:t>
      </w:r>
      <w:r>
        <w:rPr>
          <w:rFonts w:ascii="Courier New" w:cs="Courier New" w:eastAsia="Courier New" w:hAnsi="Courier New"/>
          <w:color w:val="1A1526"/>
          <w:sz w:val="19"/>
          <w:szCs w:val="19"/>
        </w:rPr>
        <w:t xml:space="preserve">/m/home</w:t>
      </w:r>
      <w:r>
        <w:rPr>
          <w:rFonts w:ascii="Calibri" w:cs="Calibri" w:eastAsia="Calibri" w:hAnsi="Calibri"/>
          <w:color w:val="1A1526"/>
          <w:sz w:val="21"/>
          <w:szCs w:val="21"/>
        </w:rPr>
        <w:t xml:space="preserve"> power-session flow, so Tier I has a working implementation to inherit.</w:t>
      </w:r>
    </w:p>
    <w:p>
      <w:pPr>
        <w:pStyle w:val="Heading2"/>
        <w:keepNext/>
        <w:spacing w:after="90" w:before="220"/>
      </w:pPr>
      <w:r>
        <w:rPr>
          <w:rFonts w:ascii="Calibri" w:cs="Calibri" w:eastAsia="Calibri" w:hAnsi="Calibri"/>
          <w:b/>
          <w:bCs/>
          <w:color w:val="1A1526"/>
          <w:sz w:val="24"/>
          <w:szCs w:val="24"/>
        </w:rPr>
        <w:t xml:space="preserve">4.2 In-session display</w:t>
      </w:r>
    </w:p>
    <w:p>
      <w:pPr>
        <w:pStyle w:val="ListParagraph"/>
        <w:numPr>
          <w:ilvl w:val="0"/>
          <w:numId w:val="2"/>
        </w:numPr>
        <w:spacing w:after="70" w:line="270"/>
      </w:pPr>
      <w:r>
        <w:rPr>
          <w:rFonts w:ascii="Calibri" w:cs="Calibri" w:eastAsia="Calibri" w:hAnsi="Calibri"/>
          <w:color w:val="1A1526"/>
          <w:sz w:val="21"/>
          <w:szCs w:val="21"/>
        </w:rPr>
        <w:t xml:space="preserve">Live contact grid — per-cell peak force and hit count, updating in real time as strikes land.</w:t>
      </w:r>
    </w:p>
    <w:p>
      <w:pPr>
        <w:pStyle w:val="ListParagraph"/>
        <w:numPr>
          <w:ilvl w:val="0"/>
          <w:numId w:val="2"/>
        </w:numPr>
        <w:spacing w:after="70" w:line="270"/>
      </w:pPr>
      <w:r>
        <w:rPr>
          <w:rFonts w:ascii="Calibri" w:cs="Calibri" w:eastAsia="Calibri" w:hAnsi="Calibri"/>
          <w:color w:val="1A1526"/>
          <w:sz w:val="21"/>
          <w:szCs w:val="21"/>
        </w:rPr>
        <w:t xml:space="preserve">Strength Index per strike, with the explanatory info affordance already shipped in </w:t>
      </w:r>
      <w:r>
        <w:rPr>
          <w:rFonts w:ascii="Courier New" w:cs="Courier New" w:eastAsia="Courier New" w:hAnsi="Courier New"/>
          <w:color w:val="1A1526"/>
          <w:sz w:val="19"/>
          <w:szCs w:val="19"/>
        </w:rPr>
        <w:t xml:space="preserve">strengthIndexInfo.tsx</w:t>
      </w:r>
      <w:r>
        <w:rPr>
          <w:rFonts w:ascii="Calibri" w:cs="Calibri" w:eastAsia="Calibri" w:hAnsi="Calibri"/>
          <w:color w:val="1A1526"/>
          <w:sz w:val="21"/>
          <w:szCs w:val="21"/>
        </w:rPr>
        <w:t xml:space="preserve">.</w:t>
      </w:r>
    </w:p>
    <w:p>
      <w:pPr>
        <w:pStyle w:val="ListParagraph"/>
        <w:numPr>
          <w:ilvl w:val="0"/>
          <w:numId w:val="2"/>
        </w:numPr>
        <w:spacing w:after="70" w:line="270"/>
      </w:pPr>
      <w:r>
        <w:rPr>
          <w:rFonts w:ascii="Calibri" w:cs="Calibri" w:eastAsia="Calibri" w:hAnsi="Calibri"/>
          <w:color w:val="1A1526"/>
          <w:sz w:val="21"/>
          <w:szCs w:val="21"/>
        </w:rPr>
        <w:t xml:space="preserve">Peak force (N) and peak pressure (kPa) per strike.</w:t>
      </w:r>
    </w:p>
    <w:p>
      <w:pPr>
        <w:pStyle w:val="ListParagraph"/>
        <w:numPr>
          <w:ilvl w:val="0"/>
          <w:numId w:val="2"/>
        </w:numPr>
        <w:spacing w:after="70" w:line="270"/>
      </w:pPr>
      <w:r>
        <w:rPr>
          <w:rFonts w:ascii="Calibri" w:cs="Calibri" w:eastAsia="Calibri" w:hAnsi="Calibri"/>
          <w:color w:val="1A1526"/>
          <w:sz w:val="21"/>
          <w:szCs w:val="21"/>
        </w:rPr>
        <w:t xml:space="preserve">Running strike count and session duration.</w:t>
      </w:r>
    </w:p>
    <w:p>
      <w:pPr>
        <w:pStyle w:val="Heading2"/>
        <w:keepNext/>
        <w:spacing w:after="90" w:before="220"/>
      </w:pPr>
      <w:r>
        <w:rPr>
          <w:rFonts w:ascii="Calibri" w:cs="Calibri" w:eastAsia="Calibri" w:hAnsi="Calibri"/>
          <w:b/>
          <w:bCs/>
          <w:color w:val="1A1526"/>
          <w:sz w:val="24"/>
          <w:szCs w:val="24"/>
        </w:rPr>
        <w:t xml:space="preserve">4.3 Post-session display</w:t>
      </w:r>
    </w:p>
    <w:p>
      <w:pPr>
        <w:pStyle w:val="ListParagraph"/>
        <w:numPr>
          <w:ilvl w:val="0"/>
          <w:numId w:val="2"/>
        </w:numPr>
        <w:spacing w:after="70" w:line="270"/>
      </w:pPr>
      <w:r>
        <w:rPr>
          <w:rFonts w:ascii="Calibri" w:cs="Calibri" w:eastAsia="Calibri" w:hAnsi="Calibri"/>
          <w:color w:val="1A1526"/>
          <w:sz w:val="21"/>
          <w:szCs w:val="21"/>
        </w:rPr>
        <w:t xml:space="preserve">Session list, most recent first — date, mode, strike count, duration.</w:t>
      </w:r>
    </w:p>
    <w:p>
      <w:pPr>
        <w:pStyle w:val="ListParagraph"/>
        <w:numPr>
          <w:ilvl w:val="0"/>
          <w:numId w:val="2"/>
        </w:numPr>
        <w:spacing w:after="70" w:line="270"/>
      </w:pPr>
      <w:r>
        <w:rPr>
          <w:rFonts w:ascii="Calibri" w:cs="Calibri" w:eastAsia="Calibri" w:hAnsi="Calibri"/>
          <w:color w:val="1A1526"/>
          <w:sz w:val="21"/>
          <w:szCs w:val="21"/>
        </w:rPr>
        <w:t xml:space="preserve">Per-session summary card: strike count, average and best Strength Index, average peak force, session heatmap.</w:t>
      </w:r>
    </w:p>
    <w:p>
      <w:pPr>
        <w:pStyle w:val="ListParagraph"/>
        <w:numPr>
          <w:ilvl w:val="0"/>
          <w:numId w:val="2"/>
        </w:numPr>
        <w:spacing w:after="70" w:line="270"/>
      </w:pPr>
      <w:r>
        <w:rPr>
          <w:rFonts w:ascii="Calibri" w:cs="Calibri" w:eastAsia="Calibri" w:hAnsi="Calibri"/>
          <w:color w:val="1A1526"/>
          <w:sz w:val="21"/>
          <w:szCs w:val="21"/>
        </w:rPr>
        <w:t xml:space="preserve">Standard leaderboard — single mode (Power), ranked by Strength Index, current roster only, no trend column and no Most Improved.</w:t>
      </w:r>
    </w:p>
    <w:p>
      <w:pPr>
        <w:pStyle w:val="ListParagraph"/>
        <w:numPr>
          <w:ilvl w:val="0"/>
          <w:numId w:val="2"/>
        </w:numPr>
        <w:spacing w:after="70" w:line="270"/>
      </w:pPr>
      <w:r>
        <w:rPr>
          <w:rFonts w:ascii="Calibri" w:cs="Calibri" w:eastAsia="Calibri" w:hAnsi="Calibri"/>
          <w:color w:val="1A1526"/>
          <w:sz w:val="21"/>
          <w:szCs w:val="21"/>
        </w:rPr>
        <w:t xml:space="preserve">Standard athlete information — the profile record: name, position, sport, height, weight, team assignment, plus that athlete's own session history.</w:t>
      </w:r>
    </w:p>
    <w:p>
      <w:pPr>
        <w:pStyle w:val="Heading2"/>
        <w:keepNext/>
        <w:spacing w:after="90" w:before="220"/>
      </w:pPr>
      <w:r>
        <w:rPr>
          <w:rFonts w:ascii="Calibri" w:cs="Calibri" w:eastAsia="Calibri" w:hAnsi="Calibri"/>
          <w:b/>
          <w:bCs/>
          <w:color w:val="1A1526"/>
          <w:sz w:val="24"/>
          <w:szCs w:val="24"/>
        </w:rPr>
        <w:t xml:space="preserve">4.4 Insights derived</w:t>
      </w:r>
    </w:p>
    <w:p>
      <w:pPr>
        <w:spacing w:after="120" w:line="276"/>
      </w:pPr>
      <w:r>
        <w:rPr>
          <w:rFonts w:ascii="Calibri" w:cs="Calibri" w:eastAsia="Calibri" w:hAnsi="Calibri"/>
          <w:color w:val="1A1526"/>
          <w:sz w:val="21"/>
          <w:szCs w:val="21"/>
        </w:rPr>
        <w:t xml:space="preserve">Descriptive only. The platform reports measurements and simple aggregates; it does not interpret them.</w:t>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3000"/>
        <w:gridCol w:w="6360"/>
      </w:tblGrid>
      <w:tr>
        <w:trPr>
          <w:cantSplit/>
          <w:tblHeader/>
        </w:trPr>
        <w:tc>
          <w:tcPr>
            <w:tcW w:type="dxa" w:w="30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Insight</w:t>
            </w:r>
          </w:p>
        </w:tc>
        <w:tc>
          <w:tcPr>
            <w:tcW w:type="dxa" w:w="636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Derivation</w:t>
            </w:r>
          </w:p>
        </w:tc>
      </w:tr>
      <w:tr>
        <w:trPr>
          <w:cantSplit/>
          <w:tblHeader w:val="false"/>
        </w:trPr>
        <w:tc>
          <w:tcPr>
            <w:tcW w:type="dxa" w:w="3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Session peak / average SI</w:t>
            </w:r>
          </w:p>
        </w:tc>
        <w:tc>
          <w:tcPr>
            <w:tcW w:type="dxa" w:w="63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max and mean over the session's events</w:t>
            </w:r>
          </w:p>
        </w:tc>
      </w:tr>
      <w:tr>
        <w:trPr>
          <w:cantSplit/>
          <w:tblHeader w:val="false"/>
        </w:trPr>
        <w:tc>
          <w:tcPr>
            <w:tcW w:type="dxa" w:w="3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Personal best</w:t>
            </w:r>
          </w:p>
        </w:tc>
        <w:tc>
          <w:tcPr>
            <w:tcW w:type="dxa" w:w="63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max SI across the athlete's own history in the 30-day window</w:t>
            </w:r>
          </w:p>
        </w:tc>
      </w:tr>
      <w:tr>
        <w:trPr>
          <w:cantSplit/>
          <w:tblHeader w:val="false"/>
        </w:trPr>
        <w:tc>
          <w:tcPr>
            <w:tcW w:type="dxa" w:w="3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Contact distribution</w:t>
            </w:r>
          </w:p>
        </w:tc>
        <w:tc>
          <w:tcPr>
            <w:tcW w:type="dxa" w:w="63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heatmap rendered directly from event_cells</w:t>
            </w:r>
          </w:p>
        </w:tc>
      </w:tr>
      <w:tr>
        <w:trPr>
          <w:cantSplit/>
          <w:tblHeader w:val="false"/>
        </w:trPr>
        <w:tc>
          <w:tcPr>
            <w:tcW w:type="dxa" w:w="3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Roster rank</w:t>
            </w:r>
          </w:p>
        </w:tc>
        <w:tc>
          <w:tcPr>
            <w:tcW w:type="dxa" w:w="63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order by mean SI within the program, Power mode only</w:t>
            </w:r>
          </w:p>
        </w:tc>
      </w:tr>
    </w:tbl>
    <w:p>
      <w:pPr>
        <w:spacing w:after="200"/>
      </w:pPr>
      <w:r>
        <w:rPr>
          <w:sz w:val="2"/>
          <w:szCs w:val="2"/>
        </w:rPr>
        <w:t xml:space="preserve"/>
      </w:r>
    </w:p>
    <w:p>
      <w:pPr>
        <w:pStyle w:val="Heading2"/>
        <w:keepNext/>
        <w:spacing w:after="90" w:before="220"/>
      </w:pPr>
      <w:r>
        <w:rPr>
          <w:rFonts w:ascii="Calibri" w:cs="Calibri" w:eastAsia="Calibri" w:hAnsi="Calibri"/>
          <w:b/>
          <w:bCs/>
          <w:color w:val="1A1526"/>
          <w:sz w:val="24"/>
          <w:szCs w:val="24"/>
        </w:rPr>
        <w:t xml:space="preserve">4.5 Explicitly withheld</w:t>
      </w:r>
    </w:p>
    <w:p>
      <w:pPr>
        <w:pStyle w:val="ListParagraph"/>
        <w:numPr>
          <w:ilvl w:val="0"/>
          <w:numId w:val="2"/>
        </w:numPr>
        <w:spacing w:after="70" w:line="270"/>
      </w:pPr>
      <w:r>
        <w:rPr>
          <w:rFonts w:ascii="Calibri" w:cs="Calibri" w:eastAsia="Calibri" w:hAnsi="Calibri"/>
          <w:b/>
          <w:bCs/>
          <w:color w:val="1A1526"/>
          <w:sz w:val="21"/>
          <w:szCs w:val="21"/>
        </w:rPr>
        <w:t xml:space="preserve">Accuracy, Reaction, Volume and Target modes</w:t>
      </w:r>
      <w:r>
        <w:rPr>
          <w:rFonts w:ascii="Calibri" w:cs="Calibri" w:eastAsia="Calibri" w:hAnsi="Calibri"/>
          <w:color w:val="1A1526"/>
          <w:sz w:val="21"/>
          <w:szCs w:val="21"/>
        </w:rPr>
        <w:t xml:space="preserve"> — each requires a scoring protocol and a cue system that only pays off when the resulting scores are compared against something.</w:t>
      </w:r>
    </w:p>
    <w:p>
      <w:pPr>
        <w:pStyle w:val="ListParagraph"/>
        <w:numPr>
          <w:ilvl w:val="0"/>
          <w:numId w:val="2"/>
        </w:numPr>
        <w:spacing w:after="70" w:line="270"/>
      </w:pPr>
      <w:r>
        <w:rPr>
          <w:rFonts w:ascii="Calibri" w:cs="Calibri" w:eastAsia="Calibri" w:hAnsi="Calibri"/>
          <w:b/>
          <w:bCs/>
          <w:color w:val="1A1526"/>
          <w:sz w:val="21"/>
          <w:szCs w:val="21"/>
        </w:rPr>
        <w:t xml:space="preserve">Cross-athlete and cross-team comparison</w:t>
      </w:r>
      <w:r>
        <w:rPr>
          <w:rFonts w:ascii="Calibri" w:cs="Calibri" w:eastAsia="Calibri" w:hAnsi="Calibri"/>
          <w:color w:val="1A1526"/>
          <w:sz w:val="21"/>
          <w:szCs w:val="21"/>
        </w:rPr>
        <w:t xml:space="preserve"> — a single-mode ranking is the honest limit of what one mode supports.</w:t>
      </w:r>
    </w:p>
    <w:p>
      <w:pPr>
        <w:pStyle w:val="ListParagraph"/>
        <w:numPr>
          <w:ilvl w:val="0"/>
          <w:numId w:val="2"/>
        </w:numPr>
        <w:spacing w:after="70" w:line="270"/>
      </w:pPr>
      <w:r>
        <w:rPr>
          <w:rFonts w:ascii="Calibri" w:cs="Calibri" w:eastAsia="Calibri" w:hAnsi="Calibri"/>
          <w:b/>
          <w:bCs/>
          <w:color w:val="1A1526"/>
          <w:sz w:val="21"/>
          <w:szCs w:val="21"/>
        </w:rPr>
        <w:t xml:space="preserve">3D angle analysis</w:t>
      </w:r>
      <w:r>
        <w:rPr>
          <w:rFonts w:ascii="Calibri" w:cs="Calibri" w:eastAsia="Calibri" w:hAnsi="Calibri"/>
          <w:color w:val="1A1526"/>
          <w:sz w:val="21"/>
          <w:szCs w:val="21"/>
        </w:rPr>
        <w:t xml:space="preserve"> — angle_deg is captured and stored, but the Strike Compass only earns its screen space once a coach is diagnosing technique across modes.</w:t>
      </w:r>
    </w:p>
    <w:p>
      <w:pPr>
        <w:pStyle w:val="ListParagraph"/>
        <w:numPr>
          <w:ilvl w:val="0"/>
          <w:numId w:val="2"/>
        </w:numPr>
        <w:spacing w:after="70" w:line="270"/>
      </w:pPr>
      <w:r>
        <w:rPr>
          <w:rFonts w:ascii="Calibri" w:cs="Calibri" w:eastAsia="Calibri" w:hAnsi="Calibri"/>
          <w:b/>
          <w:bCs/>
          <w:color w:val="1A1526"/>
          <w:sz w:val="21"/>
          <w:szCs w:val="21"/>
        </w:rPr>
        <w:t xml:space="preserve">CSV export</w:t>
      </w:r>
      <w:r>
        <w:rPr>
          <w:rFonts w:ascii="Calibri" w:cs="Calibri" w:eastAsia="Calibri" w:hAnsi="Calibri"/>
          <w:color w:val="1A1526"/>
          <w:sz w:val="21"/>
          <w:szCs w:val="21"/>
        </w:rPr>
        <w:t xml:space="preserve"> — Tier I is a single-mode capture tier; there is little to export that the session list does not already show.</w:t>
      </w:r>
    </w:p>
    <w:p>
      <w:pPr>
        <w:pStyle w:val="ListParagraph"/>
        <w:numPr>
          <w:ilvl w:val="0"/>
          <w:numId w:val="2"/>
        </w:numPr>
        <w:spacing w:after="70" w:line="270"/>
      </w:pPr>
      <w:r>
        <w:rPr>
          <w:rFonts w:ascii="Calibri" w:cs="Calibri" w:eastAsia="Calibri" w:hAnsi="Calibri"/>
          <w:b/>
          <w:bCs/>
          <w:color w:val="1A1526"/>
          <w:sz w:val="21"/>
          <w:szCs w:val="21"/>
        </w:rPr>
        <w:t xml:space="preserve">Fatigue and AI analysis</w:t>
      </w:r>
      <w:r>
        <w:rPr>
          <w:rFonts w:ascii="Calibri" w:cs="Calibri" w:eastAsia="Calibri" w:hAnsi="Calibri"/>
          <w:color w:val="1A1526"/>
          <w:sz w:val="21"/>
          <w:szCs w:val="21"/>
        </w:rPr>
        <w:t xml:space="preserve"> — both need session density Tier I's 30-day single-mode window does not reliably provide.</w:t>
      </w:r>
    </w:p>
    <w:p>
      <w:pPr>
        <w:pStyle w:val="ListParagraph"/>
        <w:numPr>
          <w:ilvl w:val="0"/>
          <w:numId w:val="2"/>
        </w:numPr>
        <w:spacing w:after="70" w:line="270"/>
      </w:pPr>
      <w:r>
        <w:rPr>
          <w:rFonts w:ascii="Calibri" w:cs="Calibri" w:eastAsia="Calibri" w:hAnsi="Calibri"/>
          <w:b/>
          <w:bCs/>
          <w:color w:val="1A1526"/>
          <w:sz w:val="21"/>
          <w:szCs w:val="21"/>
        </w:rPr>
        <w:t xml:space="preserve">History beyond 30 days</w:t>
      </w:r>
      <w:r>
        <w:rPr>
          <w:rFonts w:ascii="Calibri" w:cs="Calibri" w:eastAsia="Calibri" w:hAnsi="Calibri"/>
          <w:color w:val="1A1526"/>
          <w:sz w:val="21"/>
          <w:szCs w:val="21"/>
        </w:rPr>
        <w:t xml:space="preserve"> — the dashboard's existing date-range control (30 / 90 / all-time) already gives us this lever for free.</w:t>
      </w:r>
    </w:p>
    <w:p>
      <w:pPr>
        <w:pStyle w:val="Heading1"/>
        <w:keepNext/>
        <w:spacing w:after="140" w:before="320"/>
      </w:pPr>
      <w:r>
        <w:rPr>
          <w:rFonts w:ascii="Calibri" w:cs="Calibri" w:eastAsia="Calibri" w:hAnsi="Calibri"/>
          <w:b/>
          <w:bCs/>
          <w:color w:val="6A00A8"/>
          <w:sz w:val="30"/>
          <w:szCs w:val="30"/>
        </w:rPr>
        <w:t xml:space="preserve">5. Tier II — Analysis</w:t>
      </w:r>
    </w:p>
    <w:p>
      <w:pPr>
        <w:spacing w:after="160" w:line="276"/>
      </w:pPr>
      <w:r>
        <w:rPr>
          <w:rFonts w:ascii="Calibri" w:cs="Calibri" w:eastAsia="Calibri" w:hAnsi="Calibri"/>
          <w:i/>
          <w:iCs/>
          <w:color w:val="5A5568"/>
          <w:sz w:val="21"/>
          <w:szCs w:val="21"/>
        </w:rPr>
        <w:t xml:space="preserve">Everything in Tier I, plus two more modes and the comparative layer. Answers </w:t>
      </w:r>
      <w:r>
        <w:rPr>
          <w:rFonts w:ascii="Calibri" w:cs="Calibri" w:eastAsia="Calibri" w:hAnsi="Calibri"/>
          <w:b/>
          <w:bCs/>
          <w:i/>
          <w:iCs/>
          <w:color w:val="5A5568"/>
          <w:sz w:val="21"/>
          <w:szCs w:val="21"/>
        </w:rPr>
        <w:t xml:space="preserve">how does this compare</w:t>
      </w:r>
      <w:r>
        <w:rPr>
          <w:rFonts w:ascii="Calibri" w:cs="Calibri" w:eastAsia="Calibri" w:hAnsi="Calibri"/>
          <w:i/>
          <w:iCs/>
          <w:color w:val="5A5568"/>
          <w:sz w:val="21"/>
          <w:szCs w:val="21"/>
        </w:rPr>
        <w:t xml:space="preserve">.</w:t>
      </w:r>
    </w:p>
    <w:p>
      <w:pPr>
        <w:pStyle w:val="Heading2"/>
        <w:keepNext/>
        <w:spacing w:after="90" w:before="220"/>
      </w:pPr>
      <w:r>
        <w:rPr>
          <w:rFonts w:ascii="Calibri" w:cs="Calibri" w:eastAsia="Calibri" w:hAnsi="Calibri"/>
          <w:b/>
          <w:bCs/>
          <w:color w:val="1A1526"/>
          <w:sz w:val="24"/>
          <w:szCs w:val="24"/>
        </w:rPr>
        <w:t xml:space="preserve">5.1 Modes</w:t>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1900"/>
        <w:gridCol w:w="7460"/>
      </w:tblGrid>
      <w:tr>
        <w:trPr>
          <w:cantSplit/>
          <w:tblHeader/>
        </w:trPr>
        <w:tc>
          <w:tcPr>
            <w:tcW w:type="dxa" w:w="19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Mode</w:t>
            </w:r>
          </w:p>
        </w:tc>
        <w:tc>
          <w:tcPr>
            <w:tcW w:type="dxa" w:w="746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adds to the analysis</w:t>
            </w:r>
          </w:p>
        </w:tc>
      </w:tr>
      <w:tr>
        <w:trPr>
          <w:cantSplit/>
          <w:tblHeader w:val="false"/>
        </w:trPr>
        <w:tc>
          <w:tcPr>
            <w:tcW w:type="dxa" w:w="19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Power</w:t>
            </w:r>
          </w:p>
        </w:tc>
        <w:tc>
          <w:tcPr>
            <w:tcW w:type="dxa" w:w="74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Baseline output — inherited from Tier I</w:t>
            </w:r>
          </w:p>
        </w:tc>
      </w:tr>
      <w:tr>
        <w:trPr>
          <w:cantSplit/>
          <w:tblHeader w:val="false"/>
        </w:trPr>
        <w:tc>
          <w:tcPr>
            <w:tcW w:type="dxa" w:w="19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Accuracy</w:t>
            </w:r>
          </w:p>
        </w:tc>
        <w:tc>
          <w:tcPr>
            <w:tcW w:type="dxa" w:w="74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Introduces a spatial error metric: each strike scored by distance from the bullseye. Makes placement a measurable axis rather than a heatmap impression.</w:t>
            </w:r>
          </w:p>
        </w:tc>
      </w:tr>
      <w:tr>
        <w:trPr>
          <w:cantSplit/>
          <w:tblHeader w:val="false"/>
        </w:trPr>
        <w:tc>
          <w:tcPr>
            <w:tcW w:type="dxa" w:w="19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Reaction</w:t>
            </w:r>
          </w:p>
        </w:tc>
        <w:tc>
          <w:tcPr>
            <w:tcW w:type="dxa" w:w="74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Introduces a temporal metric: cue-to-impact latency. Makes readiness and decision speed measurable independently of force.</w:t>
            </w:r>
          </w:p>
        </w:tc>
      </w:tr>
    </w:tbl>
    <w:p>
      <w:pPr>
        <w:spacing w:after="200"/>
      </w:pPr>
      <w:r>
        <w:rPr>
          <w:sz w:val="2"/>
          <w:szCs w:val="2"/>
        </w:rPr>
        <w:t xml:space="preserve"/>
      </w:r>
    </w:p>
    <w:p>
      <w:pPr>
        <w:spacing w:after="120" w:line="276"/>
      </w:pPr>
      <w:r>
        <w:rPr>
          <w:rFonts w:ascii="Calibri" w:cs="Calibri" w:eastAsia="Calibri" w:hAnsi="Calibri"/>
          <w:color w:val="1A1526"/>
          <w:sz w:val="21"/>
          <w:szCs w:val="21"/>
        </w:rPr>
        <w:t xml:space="preserve">Three modes is the minimum that supports a multi-axis athlete profile — force, placement, timing. Two axes describe a line; three describe a shape, which is what makes the Tier II athlete analysis worth showing.</w:t>
      </w:r>
    </w:p>
    <w:p>
      <w:pPr>
        <w:pStyle w:val="Heading2"/>
        <w:keepNext/>
        <w:spacing w:after="90" w:before="220"/>
      </w:pPr>
      <w:r>
        <w:rPr>
          <w:rFonts w:ascii="Calibri" w:cs="Calibri" w:eastAsia="Calibri" w:hAnsi="Calibri"/>
          <w:b/>
          <w:bCs/>
          <w:color w:val="1A1526"/>
          <w:sz w:val="24"/>
          <w:szCs w:val="24"/>
        </w:rPr>
        <w:t xml:space="preserve">5.2 Leaderboard insights</w:t>
      </w:r>
    </w:p>
    <w:p>
      <w:pPr>
        <w:spacing w:after="120" w:line="276"/>
      </w:pPr>
      <w:r>
        <w:rPr>
          <w:rFonts w:ascii="Calibri" w:cs="Calibri" w:eastAsia="Calibri" w:hAnsi="Calibri"/>
          <w:color w:val="1A1526"/>
          <w:sz w:val="21"/>
          <w:szCs w:val="21"/>
        </w:rPr>
        <w:t xml:space="preserve">The single Tier I ranking becomes the full leaderboard suite already built in the insights tab:</w:t>
      </w:r>
    </w:p>
    <w:p>
      <w:pPr>
        <w:pStyle w:val="ListParagraph"/>
        <w:numPr>
          <w:ilvl w:val="0"/>
          <w:numId w:val="2"/>
        </w:numPr>
        <w:spacing w:after="70" w:line="270"/>
      </w:pPr>
      <w:r>
        <w:rPr>
          <w:rFonts w:ascii="Calibri" w:cs="Calibri" w:eastAsia="Calibri" w:hAnsi="Calibri"/>
          <w:color w:val="1A1526"/>
          <w:sz w:val="21"/>
          <w:szCs w:val="21"/>
        </w:rPr>
        <w:t xml:space="preserve">Athlete Leaderboard — SI-ranked, with average SI, peak index, session count and event volume per athlete.</w:t>
      </w:r>
    </w:p>
    <w:p>
      <w:pPr>
        <w:pStyle w:val="ListParagraph"/>
        <w:numPr>
          <w:ilvl w:val="0"/>
          <w:numId w:val="2"/>
        </w:numPr>
        <w:spacing w:after="70" w:line="270"/>
      </w:pPr>
      <w:r>
        <w:rPr>
          <w:rFonts w:ascii="Calibri" w:cs="Calibri" w:eastAsia="Calibri" w:hAnsi="Calibri"/>
          <w:color w:val="1A1526"/>
          <w:sz w:val="21"/>
          <w:szCs w:val="21"/>
        </w:rPr>
        <w:t xml:space="preserve">Accuracy Leaderboard — accuracy percentage and average offset from target centre.</w:t>
      </w:r>
    </w:p>
    <w:p>
      <w:pPr>
        <w:pStyle w:val="ListParagraph"/>
        <w:numPr>
          <w:ilvl w:val="0"/>
          <w:numId w:val="2"/>
        </w:numPr>
        <w:spacing w:after="70" w:line="270"/>
      </w:pPr>
      <w:r>
        <w:rPr>
          <w:rFonts w:ascii="Calibri" w:cs="Calibri" w:eastAsia="Calibri" w:hAnsi="Calibri"/>
          <w:color w:val="1A1526"/>
          <w:sz w:val="21"/>
          <w:szCs w:val="21"/>
        </w:rPr>
        <w:t xml:space="preserve">Reaction Leaderboard — average reaction time, average correct-response reaction time, attempts.</w:t>
      </w:r>
    </w:p>
    <w:p>
      <w:pPr>
        <w:pStyle w:val="ListParagraph"/>
        <w:numPr>
          <w:ilvl w:val="0"/>
          <w:numId w:val="2"/>
        </w:numPr>
        <w:spacing w:after="70" w:line="270"/>
      </w:pPr>
      <w:r>
        <w:rPr>
          <w:rFonts w:ascii="Calibri" w:cs="Calibri" w:eastAsia="Calibri" w:hAnsi="Calibri"/>
          <w:color w:val="1A1526"/>
          <w:sz w:val="21"/>
          <w:szCs w:val="21"/>
        </w:rPr>
        <w:t xml:space="preserve">Team Leaderboard — team-level aggregates, mode-filterable.</w:t>
      </w:r>
    </w:p>
    <w:p>
      <w:pPr>
        <w:pStyle w:val="ListParagraph"/>
        <w:numPr>
          <w:ilvl w:val="0"/>
          <w:numId w:val="2"/>
        </w:numPr>
        <w:spacing w:after="70" w:line="270"/>
      </w:pPr>
      <w:r>
        <w:rPr>
          <w:rFonts w:ascii="Calibri" w:cs="Calibri" w:eastAsia="Calibri" w:hAnsi="Calibri"/>
          <w:color w:val="1A1526"/>
          <w:sz w:val="21"/>
          <w:szCs w:val="21"/>
        </w:rPr>
        <w:t xml:space="preserve">Most Improved — delta-based ranking across the selected window. This is the first genuinely derived leaderboard: it ranks change rather than level, so it needs the 90-day window Tier II unlocks.</w:t>
      </w:r>
    </w:p>
    <w:p>
      <w:pPr>
        <w:pStyle w:val="ListParagraph"/>
        <w:numPr>
          <w:ilvl w:val="0"/>
          <w:numId w:val="2"/>
        </w:numPr>
        <w:spacing w:after="70" w:line="270"/>
      </w:pPr>
      <w:r>
        <w:rPr>
          <w:rFonts w:ascii="Calibri" w:cs="Calibri" w:eastAsia="Calibri" w:hAnsi="Calibri"/>
          <w:color w:val="1A1526"/>
          <w:sz w:val="21"/>
          <w:szCs w:val="21"/>
        </w:rPr>
        <w:t xml:space="preserve">Date-range control across 30 and 90 days, and mode filtering across the three unlocked modes.</w:t>
      </w:r>
    </w:p>
    <w:p>
      <w:pPr>
        <w:pStyle w:val="Heading2"/>
        <w:keepNext/>
        <w:spacing w:after="90" w:before="220"/>
      </w:pPr>
      <w:r>
        <w:rPr>
          <w:rFonts w:ascii="Calibri" w:cs="Calibri" w:eastAsia="Calibri" w:hAnsi="Calibri"/>
          <w:b/>
          <w:bCs/>
          <w:color w:val="1A1526"/>
          <w:sz w:val="24"/>
          <w:szCs w:val="24"/>
        </w:rPr>
        <w:t xml:space="preserve">5.3 Team comparisons</w:t>
      </w:r>
    </w:p>
    <w:p>
      <w:pPr>
        <w:pStyle w:val="ListParagraph"/>
        <w:numPr>
          <w:ilvl w:val="0"/>
          <w:numId w:val="2"/>
        </w:numPr>
        <w:spacing w:after="70" w:line="270"/>
      </w:pPr>
      <w:r>
        <w:rPr>
          <w:rFonts w:ascii="Calibri" w:cs="Calibri" w:eastAsia="Calibri" w:hAnsi="Calibri"/>
          <w:color w:val="1A1526"/>
          <w:sz w:val="21"/>
          <w:szCs w:val="21"/>
        </w:rPr>
        <w:t xml:space="preserve">Program Teams view — every team in the program side by side, per mode.</w:t>
      </w:r>
    </w:p>
    <w:p>
      <w:pPr>
        <w:pStyle w:val="ListParagraph"/>
        <w:numPr>
          <w:ilvl w:val="0"/>
          <w:numId w:val="2"/>
        </w:numPr>
        <w:spacing w:after="70" w:line="270"/>
      </w:pPr>
      <w:r>
        <w:rPr>
          <w:rFonts w:ascii="Calibri" w:cs="Calibri" w:eastAsia="Calibri" w:hAnsi="Calibri"/>
          <w:color w:val="1A1526"/>
          <w:sz w:val="21"/>
          <w:szCs w:val="21"/>
        </w:rPr>
        <w:t xml:space="preserve">Individual Athletes against the team mean, so a coach can see who is carrying or dragging an aggregate.</w:t>
      </w:r>
    </w:p>
    <w:p>
      <w:pPr>
        <w:pStyle w:val="ListParagraph"/>
        <w:numPr>
          <w:ilvl w:val="0"/>
          <w:numId w:val="2"/>
        </w:numPr>
        <w:spacing w:after="70" w:line="270"/>
      </w:pPr>
      <w:r>
        <w:rPr>
          <w:rFonts w:ascii="Calibri" w:cs="Calibri" w:eastAsia="Calibri" w:hAnsi="Calibri"/>
          <w:color w:val="1A1526"/>
          <w:sz w:val="21"/>
          <w:szCs w:val="21"/>
        </w:rPr>
        <w:t xml:space="preserve">Parent and child team support — the teams table already carries </w:t>
      </w:r>
      <w:r>
        <w:rPr>
          <w:rFonts w:ascii="Courier New" w:cs="Courier New" w:eastAsia="Courier New" w:hAnsi="Courier New"/>
          <w:color w:val="1A1526"/>
          <w:sz w:val="19"/>
          <w:szCs w:val="19"/>
        </w:rPr>
        <w:t xml:space="preserve">parent_team_id</w:t>
      </w:r>
      <w:r>
        <w:rPr>
          <w:rFonts w:ascii="Calibri" w:cs="Calibri" w:eastAsia="Calibri" w:hAnsi="Calibri"/>
          <w:color w:val="1A1526"/>
          <w:sz w:val="21"/>
          <w:szCs w:val="21"/>
        </w:rPr>
        <w:t xml:space="preserve">, so varsity against JV style hierarchies compare without new schema.</w:t>
      </w:r>
    </w:p>
    <w:p>
      <w:pPr>
        <w:pStyle w:val="ListParagraph"/>
        <w:numPr>
          <w:ilvl w:val="0"/>
          <w:numId w:val="2"/>
        </w:numPr>
        <w:spacing w:after="70" w:line="270"/>
      </w:pPr>
      <w:r>
        <w:rPr>
          <w:rFonts w:ascii="Calibri" w:cs="Calibri" w:eastAsia="Calibri" w:hAnsi="Calibri"/>
          <w:color w:val="1A1526"/>
          <w:sz w:val="21"/>
          <w:szCs w:val="21"/>
        </w:rPr>
        <w:t xml:space="preserve">Per-mode profile summaries: Power profile, Accuracy profile, Reaction profile.</w:t>
      </w:r>
    </w:p>
    <w:p>
      <w:pPr>
        <w:pStyle w:val="Heading2"/>
        <w:keepNext/>
        <w:spacing w:after="90" w:before="220"/>
      </w:pPr>
      <w:r>
        <w:rPr>
          <w:rFonts w:ascii="Calibri" w:cs="Calibri" w:eastAsia="Calibri" w:hAnsi="Calibri"/>
          <w:b/>
          <w:bCs/>
          <w:color w:val="1A1526"/>
          <w:sz w:val="24"/>
          <w:szCs w:val="24"/>
        </w:rPr>
        <w:t xml:space="preserve">5.4 Athlete analysis</w:t>
      </w:r>
    </w:p>
    <w:p>
      <w:pPr>
        <w:spacing w:after="120" w:line="276"/>
      </w:pPr>
      <w:r>
        <w:rPr>
          <w:rFonts w:ascii="Calibri" w:cs="Calibri" w:eastAsia="Calibri" w:hAnsi="Calibri"/>
          <w:color w:val="1A1526"/>
          <w:sz w:val="21"/>
          <w:szCs w:val="21"/>
        </w:rPr>
        <w:t xml:space="preserve">The per-athlete diagnostic view. Each of the three unlocked modes contributes an axis, and each axis is scored and banded using the classification already implemented in the dashboard:</w:t>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2400"/>
        <w:gridCol w:w="2000"/>
        <w:gridCol w:w="4960"/>
      </w:tblGrid>
      <w:tr>
        <w:trPr>
          <w:cantSplit/>
          <w:tblHeader/>
        </w:trPr>
        <w:tc>
          <w:tcPr>
            <w:tcW w:type="dxa" w:w="24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Band</w:t>
            </w:r>
          </w:p>
        </w:tc>
        <w:tc>
          <w:tcPr>
            <w:tcW w:type="dxa" w:w="20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Score range</w:t>
            </w:r>
          </w:p>
        </w:tc>
        <w:tc>
          <w:tcPr>
            <w:tcW w:type="dxa" w:w="496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Presentation</w:t>
            </w:r>
          </w:p>
        </w:tc>
      </w:tr>
      <w:tr>
        <w:trPr>
          <w:cantSplit/>
          <w:tblHeader w:val="false"/>
        </w:trPr>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Strong</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75–100</w:t>
            </w:r>
          </w:p>
        </w:tc>
        <w:tc>
          <w:tcPr>
            <w:tcW w:type="dxa" w:w="49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Confirmed strength — maintain</w:t>
            </w:r>
          </w:p>
        </w:tc>
      </w:tr>
      <w:tr>
        <w:trPr>
          <w:cantSplit/>
          <w:tblHeader w:val="false"/>
        </w:trPr>
        <w:tc>
          <w:tcPr>
            <w:tcW w:type="dxa" w:w="24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Developing</w:t>
            </w:r>
          </w:p>
        </w:tc>
        <w:tc>
          <w:tcPr>
            <w:tcW w:type="dxa" w:w="2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45–74</w:t>
            </w:r>
          </w:p>
        </w:tc>
        <w:tc>
          <w:tcPr>
            <w:tcW w:type="dxa" w:w="49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In progress — keep loading</w:t>
            </w:r>
          </w:p>
        </w:tc>
      </w:tr>
      <w:tr>
        <w:trPr>
          <w:cantSplit/>
          <w:tblHeader w:val="false"/>
        </w:trPr>
        <w:tc>
          <w:tcPr>
            <w:tcW w:type="dxa" w:w="24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Priority</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0–44</w:t>
            </w:r>
          </w:p>
        </w:tc>
        <w:tc>
          <w:tcPr>
            <w:tcW w:type="dxa" w:w="49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Labelled “Focus here” — the weakest axis is surfaced first</w:t>
            </w:r>
          </w:p>
        </w:tc>
      </w:tr>
    </w:tbl>
    <w:p>
      <w:pPr>
        <w:spacing w:after="180"/>
      </w:pPr>
      <w:r>
        <w:rPr>
          <w:sz w:val="2"/>
          <w:szCs w:val="2"/>
        </w:rPr>
        <w:t xml:space="preserve"/>
      </w:r>
    </w:p>
    <w:p>
      <w:pPr>
        <w:pStyle w:val="ListParagraph"/>
        <w:numPr>
          <w:ilvl w:val="0"/>
          <w:numId w:val="2"/>
        </w:numPr>
        <w:spacing w:after="70" w:line="270"/>
      </w:pPr>
      <w:r>
        <w:rPr>
          <w:rFonts w:ascii="Calibri" w:cs="Calibri" w:eastAsia="Calibri" w:hAnsi="Calibri"/>
          <w:color w:val="1A1526"/>
          <w:sz w:val="21"/>
          <w:szCs w:val="21"/>
        </w:rPr>
        <w:t xml:space="preserve">Axis breakdown across force, placement and timing, weakest first.</w:t>
      </w:r>
    </w:p>
    <w:p>
      <w:pPr>
        <w:pStyle w:val="ListParagraph"/>
        <w:numPr>
          <w:ilvl w:val="0"/>
          <w:numId w:val="2"/>
        </w:numPr>
        <w:spacing w:after="70" w:line="270"/>
      </w:pPr>
      <w:r>
        <w:rPr>
          <w:rFonts w:ascii="Calibri" w:cs="Calibri" w:eastAsia="Calibri" w:hAnsi="Calibri"/>
          <w:color w:val="1A1526"/>
          <w:sz w:val="21"/>
          <w:szCs w:val="21"/>
        </w:rPr>
        <w:t xml:space="preserve">Consistency — dispersion of SI and of accuracy offset within and across sessions, not just the mean.</w:t>
      </w:r>
    </w:p>
    <w:p>
      <w:pPr>
        <w:pStyle w:val="ListParagraph"/>
        <w:numPr>
          <w:ilvl w:val="0"/>
          <w:numId w:val="2"/>
        </w:numPr>
        <w:spacing w:after="70" w:line="270"/>
      </w:pPr>
      <w:r>
        <w:rPr>
          <w:rFonts w:ascii="Calibri" w:cs="Calibri" w:eastAsia="Calibri" w:hAnsi="Calibri"/>
          <w:color w:val="1A1526"/>
          <w:sz w:val="21"/>
          <w:szCs w:val="21"/>
        </w:rPr>
        <w:t xml:space="preserve">Cadence — average and median strike rate, plus longest pause, from session_summaries.</w:t>
      </w:r>
    </w:p>
    <w:p>
      <w:pPr>
        <w:pStyle w:val="ListParagraph"/>
        <w:numPr>
          <w:ilvl w:val="0"/>
          <w:numId w:val="2"/>
        </w:numPr>
        <w:spacing w:after="70" w:line="270"/>
      </w:pPr>
      <w:r>
        <w:rPr>
          <w:rFonts w:ascii="Calibri" w:cs="Calibri" w:eastAsia="Calibri" w:hAnsi="Calibri"/>
          <w:color w:val="1A1526"/>
          <w:sz w:val="21"/>
          <w:szCs w:val="21"/>
        </w:rPr>
        <w:t xml:space="preserve">Centre of mass and most-contacted cell — the athlete's spatial bias.</w:t>
      </w:r>
    </w:p>
    <w:p>
      <w:pPr>
        <w:pStyle w:val="Heading2"/>
        <w:keepNext/>
        <w:spacing w:after="90" w:before="220"/>
      </w:pPr>
      <w:r>
        <w:rPr>
          <w:rFonts w:ascii="Calibri" w:cs="Calibri" w:eastAsia="Calibri" w:hAnsi="Calibri"/>
          <w:b/>
          <w:bCs/>
          <w:color w:val="1A1526"/>
          <w:sz w:val="24"/>
          <w:szCs w:val="24"/>
        </w:rPr>
        <w:t xml:space="preserve">5.5 3D angle analysis</w:t>
      </w:r>
    </w:p>
    <w:p>
      <w:pPr>
        <w:spacing w:after="120" w:line="276"/>
      </w:pPr>
      <w:r>
        <w:rPr>
          <w:rFonts w:ascii="Calibri" w:cs="Calibri" w:eastAsia="Calibri" w:hAnsi="Calibri"/>
          <w:color w:val="1A1526"/>
          <w:sz w:val="21"/>
          <w:szCs w:val="21"/>
        </w:rPr>
        <w:t xml:space="preserve">The Strike Compass (</w:t>
      </w:r>
      <w:r>
        <w:rPr>
          <w:rFonts w:ascii="Courier New" w:cs="Courier New" w:eastAsia="Courier New" w:hAnsi="Courier New"/>
          <w:color w:val="1A1526"/>
          <w:sz w:val="19"/>
          <w:szCs w:val="19"/>
        </w:rPr>
        <w:t xml:space="preserve">strikeCompass.tsx</w:t>
      </w:r>
      <w:r>
        <w:rPr>
          <w:rFonts w:ascii="Calibri" w:cs="Calibri" w:eastAsia="Calibri" w:hAnsi="Calibri"/>
          <w:color w:val="1A1526"/>
          <w:sz w:val="21"/>
          <w:szCs w:val="21"/>
        </w:rPr>
        <w:t xml:space="preserve">) — the bag rendered as a plane tilted in 3D space, with an arrow animating in along the recorded </w:t>
      </w:r>
      <w:r>
        <w:rPr>
          <w:rFonts w:ascii="Courier New" w:cs="Courier New" w:eastAsia="Courier New" w:hAnsi="Courier New"/>
          <w:color w:val="1A1526"/>
          <w:sz w:val="19"/>
          <w:szCs w:val="19"/>
        </w:rPr>
        <w:t xml:space="preserve">angle_deg</w:t>
      </w:r>
      <w:r>
        <w:rPr>
          <w:rFonts w:ascii="Calibri" w:cs="Calibri" w:eastAsia="Calibri" w:hAnsi="Calibri"/>
          <w:color w:val="1A1526"/>
          <w:sz w:val="21"/>
          <w:szCs w:val="21"/>
        </w:rPr>
        <w:t xml:space="preserve"> and landing on the actual contact cells. Drag to orbit; snap views for Front, Side and Top.</w:t>
      </w:r>
    </w:p>
    <w:p>
      <w:pPr>
        <w:pStyle w:val="ListParagraph"/>
        <w:numPr>
          <w:ilvl w:val="0"/>
          <w:numId w:val="2"/>
        </w:numPr>
        <w:spacing w:after="70" w:line="270"/>
      </w:pPr>
      <w:r>
        <w:rPr>
          <w:rFonts w:ascii="Calibri" w:cs="Calibri" w:eastAsia="Calibri" w:hAnsi="Calibri"/>
          <w:color w:val="1A1526"/>
          <w:sz w:val="21"/>
          <w:szCs w:val="21"/>
        </w:rPr>
        <w:t xml:space="preserve">Per-strike angle replay, synchronised to the event timeline.</w:t>
      </w:r>
    </w:p>
    <w:p>
      <w:pPr>
        <w:pStyle w:val="ListParagraph"/>
        <w:numPr>
          <w:ilvl w:val="0"/>
          <w:numId w:val="2"/>
        </w:numPr>
        <w:spacing w:after="70" w:line="270"/>
      </w:pPr>
      <w:r>
        <w:rPr>
          <w:rFonts w:ascii="Calibri" w:cs="Calibri" w:eastAsia="Calibri" w:hAnsi="Calibri"/>
          <w:color w:val="1A1526"/>
          <w:sz w:val="21"/>
          <w:szCs w:val="21"/>
        </w:rPr>
        <w:t xml:space="preserve">Session angle distribution from the angles_deg summary field.</w:t>
      </w:r>
    </w:p>
    <w:p>
      <w:pPr>
        <w:pStyle w:val="ListParagraph"/>
        <w:numPr>
          <w:ilvl w:val="0"/>
          <w:numId w:val="2"/>
        </w:numPr>
        <w:spacing w:after="70" w:line="270"/>
      </w:pPr>
      <w:r>
        <w:rPr>
          <w:rFonts w:ascii="Calibri" w:cs="Calibri" w:eastAsia="Calibri" w:hAnsi="Calibri"/>
          <w:color w:val="1A1526"/>
          <w:sz w:val="21"/>
          <w:szCs w:val="21"/>
        </w:rPr>
        <w:t xml:space="preserve">Angle bias detection — flags a directional skew, for example consistently crossing the centre line.</w:t>
      </w:r>
    </w:p>
    <w:p>
      <w:pPr>
        <w:spacing w:after="120" w:line="276"/>
      </w:pPr>
      <w:r>
        <w:rPr>
          <w:rFonts w:ascii="Calibri" w:cs="Calibri" w:eastAsia="Calibri" w:hAnsi="Calibri"/>
          <w:color w:val="1A1526"/>
          <w:sz w:val="21"/>
          <w:szCs w:val="21"/>
        </w:rPr>
        <w:t xml:space="preserve">This is the first feature where a coach sees something they physically could not observe from the sideline, which makes it the natural anchor of the Tier II value story.</w:t>
      </w:r>
    </w:p>
    <w:p>
      <w:pPr>
        <w:pStyle w:val="Heading2"/>
        <w:keepNext/>
        <w:spacing w:after="90" w:before="220"/>
      </w:pPr>
      <w:r>
        <w:rPr>
          <w:rFonts w:ascii="Calibri" w:cs="Calibri" w:eastAsia="Calibri" w:hAnsi="Calibri"/>
          <w:b/>
          <w:bCs/>
          <w:color w:val="1A1526"/>
          <w:sz w:val="24"/>
          <w:szCs w:val="24"/>
        </w:rPr>
        <w:t xml:space="preserve">5.6 Data export</w:t>
      </w:r>
    </w:p>
    <w:p>
      <w:pPr>
        <w:spacing w:after="120" w:line="276"/>
      </w:pPr>
      <w:r>
        <w:rPr>
          <w:rFonts w:ascii="Calibri" w:cs="Calibri" w:eastAsia="Calibri" w:hAnsi="Calibri"/>
          <w:color w:val="1A1526"/>
          <w:sz w:val="21"/>
          <w:szCs w:val="21"/>
        </w:rPr>
        <w:t xml:space="preserve">Session-summary CSV export, via the existing export modal (</w:t>
      </w:r>
      <w:r>
        <w:rPr>
          <w:rFonts w:ascii="Courier New" w:cs="Courier New" w:eastAsia="Courier New" w:hAnsi="Courier New"/>
          <w:color w:val="1A1526"/>
          <w:sz w:val="19"/>
          <w:szCs w:val="19"/>
        </w:rPr>
        <w:t xml:space="preserve">exportSessionsModal.tsx</w:t>
      </w:r>
      <w:r>
        <w:rPr>
          <w:rFonts w:ascii="Calibri" w:cs="Calibri" w:eastAsia="Calibri" w:hAnsi="Calibri"/>
          <w:color w:val="1A1526"/>
          <w:sz w:val="21"/>
          <w:szCs w:val="21"/>
        </w:rPr>
        <w:t xml:space="preserve">). Export is a mid-tier expectation rather than a premium feature — a coach who can see a leaderboard on screen but cannot get the same numbers into a spreadsheet reads the restriction as punitive, not as a tier boundary.</w:t>
      </w:r>
    </w:p>
    <w:p>
      <w:pPr>
        <w:pStyle w:val="ListParagraph"/>
        <w:numPr>
          <w:ilvl w:val="0"/>
          <w:numId w:val="2"/>
        </w:numPr>
        <w:spacing w:after="70" w:line="270"/>
      </w:pPr>
      <w:r>
        <w:rPr>
          <w:rFonts w:ascii="Calibri" w:cs="Calibri" w:eastAsia="Calibri" w:hAnsi="Calibri"/>
          <w:color w:val="1A1526"/>
          <w:sz w:val="21"/>
          <w:szCs w:val="21"/>
        </w:rPr>
        <w:t xml:space="preserve">One row per session: date, athlete, mode, strike count, duration, average and peak SI, average peak force, cadence, accuracy and reaction aggregates where the mode produces them.</w:t>
      </w:r>
    </w:p>
    <w:p>
      <w:pPr>
        <w:pStyle w:val="ListParagraph"/>
        <w:numPr>
          <w:ilvl w:val="0"/>
          <w:numId w:val="2"/>
        </w:numPr>
        <w:spacing w:after="70" w:line="270"/>
      </w:pPr>
      <w:r>
        <w:rPr>
          <w:rFonts w:ascii="Calibri" w:cs="Calibri" w:eastAsia="Calibri" w:hAnsi="Calibri"/>
          <w:color w:val="1A1526"/>
          <w:sz w:val="21"/>
          <w:szCs w:val="21"/>
        </w:rPr>
        <w:t xml:space="preserve">Scoped to the program, filtered by the same team, athlete, mode and date-range selections as the dashboard.</w:t>
      </w:r>
    </w:p>
    <w:p>
      <w:pPr>
        <w:pStyle w:val="ListParagraph"/>
        <w:numPr>
          <w:ilvl w:val="0"/>
          <w:numId w:val="2"/>
        </w:numPr>
        <w:spacing w:after="70" w:line="270"/>
      </w:pPr>
      <w:r>
        <w:rPr>
          <w:rFonts w:ascii="Calibri" w:cs="Calibri" w:eastAsia="Calibri" w:hAnsi="Calibri"/>
          <w:color w:val="1A1526"/>
          <w:sz w:val="21"/>
          <w:szCs w:val="21"/>
        </w:rPr>
        <w:t xml:space="preserve">Capped at the tier's 90-day history window — export cannot be a back door to data the tier does not otherwise display.</w:t>
      </w:r>
    </w:p>
    <w:p>
      <w:pPr>
        <w:pStyle w:val="ListParagraph"/>
        <w:numPr>
          <w:ilvl w:val="0"/>
          <w:numId w:val="2"/>
        </w:numPr>
        <w:spacing w:after="70" w:line="270"/>
      </w:pPr>
      <w:r>
        <w:rPr>
          <w:rFonts w:ascii="Calibri" w:cs="Calibri" w:eastAsia="Calibri" w:hAnsi="Calibri"/>
          <w:color w:val="1A1526"/>
          <w:sz w:val="21"/>
          <w:szCs w:val="21"/>
        </w:rPr>
        <w:t xml:space="preserve">Raw session export — full NDJSON and per-cell </w:t>
      </w:r>
      <w:r>
        <w:rPr>
          <w:rFonts w:ascii="Courier New" w:cs="Courier New" w:eastAsia="Courier New" w:hAnsi="Courier New"/>
          <w:color w:val="1A1526"/>
          <w:sz w:val="19"/>
          <w:szCs w:val="19"/>
        </w:rPr>
        <w:t xml:space="preserve">event_cells</w:t>
      </w:r>
      <w:r>
        <w:rPr>
          <w:rFonts w:ascii="Calibri" w:cs="Calibri" w:eastAsia="Calibri" w:hAnsi="Calibri"/>
          <w:color w:val="1A1526"/>
          <w:sz w:val="21"/>
          <w:szCs w:val="21"/>
        </w:rPr>
        <w:t xml:space="preserve"> data — remains Tier III. That is the export a customer builds their own analysis pipeline on, which is the same need the Tier III API serves.</w:t>
      </w:r>
    </w:p>
    <w:p>
      <w:pPr>
        <w:pStyle w:val="Heading2"/>
        <w:keepNext/>
        <w:spacing w:after="90" w:before="220"/>
      </w:pPr>
      <w:r>
        <w:rPr>
          <w:rFonts w:ascii="Calibri" w:cs="Calibri" w:eastAsia="Calibri" w:hAnsi="Calibri"/>
          <w:b/>
          <w:bCs/>
          <w:color w:val="1A1526"/>
          <w:sz w:val="24"/>
          <w:szCs w:val="24"/>
        </w:rPr>
        <w:t xml:space="preserve">5.7 Explicitly withheld</w:t>
      </w:r>
    </w:p>
    <w:p>
      <w:pPr>
        <w:pStyle w:val="ListParagraph"/>
        <w:numPr>
          <w:ilvl w:val="0"/>
          <w:numId w:val="2"/>
        </w:numPr>
        <w:spacing w:after="70" w:line="270"/>
      </w:pPr>
      <w:r>
        <w:rPr>
          <w:rFonts w:ascii="Calibri" w:cs="Calibri" w:eastAsia="Calibri" w:hAnsi="Calibri"/>
          <w:b/>
          <w:bCs/>
          <w:color w:val="1A1526"/>
          <w:sz w:val="21"/>
          <w:szCs w:val="21"/>
        </w:rPr>
        <w:t xml:space="preserve">Volume and Target modes</w:t>
      </w:r>
      <w:r>
        <w:rPr>
          <w:rFonts w:ascii="Calibri" w:cs="Calibri" w:eastAsia="Calibri" w:hAnsi="Calibri"/>
          <w:color w:val="1A1526"/>
          <w:sz w:val="21"/>
          <w:szCs w:val="21"/>
        </w:rPr>
        <w:t xml:space="preserve"> — see section 2. These are the data sources for Tier III's derived features; unlocking them at Tier II would either give away the fatigue tracker or ship two modes whose best output is disabled.</w:t>
      </w:r>
    </w:p>
    <w:p>
      <w:pPr>
        <w:pStyle w:val="ListParagraph"/>
        <w:numPr>
          <w:ilvl w:val="0"/>
          <w:numId w:val="2"/>
        </w:numPr>
        <w:spacing w:after="70" w:line="270"/>
      </w:pPr>
      <w:r>
        <w:rPr>
          <w:rFonts w:ascii="Calibri" w:cs="Calibri" w:eastAsia="Calibri" w:hAnsi="Calibri"/>
          <w:b/>
          <w:bCs/>
          <w:color w:val="1A1526"/>
          <w:sz w:val="21"/>
          <w:szCs w:val="21"/>
        </w:rPr>
        <w:t xml:space="preserve">Fatigue tracker</w:t>
      </w:r>
      <w:r>
        <w:rPr>
          <w:rFonts w:ascii="Calibri" w:cs="Calibri" w:eastAsia="Calibri" w:hAnsi="Calibri"/>
          <w:color w:val="1A1526"/>
          <w:sz w:val="21"/>
          <w:szCs w:val="21"/>
        </w:rPr>
        <w:t xml:space="preserve"> — requires the windowed Volume protocol to regress SI against.</w:t>
      </w:r>
    </w:p>
    <w:p>
      <w:pPr>
        <w:pStyle w:val="ListParagraph"/>
        <w:numPr>
          <w:ilvl w:val="0"/>
          <w:numId w:val="2"/>
        </w:numPr>
        <w:spacing w:after="70" w:line="270"/>
      </w:pPr>
      <w:r>
        <w:rPr>
          <w:rFonts w:ascii="Calibri" w:cs="Calibri" w:eastAsia="Calibri" w:hAnsi="Calibri"/>
          <w:b/>
          <w:bCs/>
          <w:color w:val="1A1526"/>
          <w:sz w:val="21"/>
          <w:szCs w:val="21"/>
        </w:rPr>
        <w:t xml:space="preserve">AI analysis</w:t>
      </w:r>
      <w:r>
        <w:rPr>
          <w:rFonts w:ascii="Calibri" w:cs="Calibri" w:eastAsia="Calibri" w:hAnsi="Calibri"/>
          <w:color w:val="1A1526"/>
          <w:sz w:val="21"/>
          <w:szCs w:val="21"/>
        </w:rPr>
        <w:t xml:space="preserve"> — consumes Tier II's comparative outputs as inputs, so it sits one rung above them by construction.</w:t>
      </w:r>
    </w:p>
    <w:p>
      <w:pPr>
        <w:pStyle w:val="ListParagraph"/>
        <w:numPr>
          <w:ilvl w:val="0"/>
          <w:numId w:val="2"/>
        </w:numPr>
        <w:spacing w:after="70" w:line="270"/>
      </w:pPr>
      <w:r>
        <w:rPr>
          <w:rFonts w:ascii="Calibri" w:cs="Calibri" w:eastAsia="Calibri" w:hAnsi="Calibri"/>
          <w:b/>
          <w:bCs/>
          <w:color w:val="1A1526"/>
          <w:sz w:val="21"/>
          <w:szCs w:val="21"/>
        </w:rPr>
        <w:t xml:space="preserve">Raw data export, API access and unlimited history</w:t>
      </w:r>
      <w:r>
        <w:rPr>
          <w:rFonts w:ascii="Calibri" w:cs="Calibri" w:eastAsia="Calibri" w:hAnsi="Calibri"/>
          <w:color w:val="1A1526"/>
          <w:sz w:val="21"/>
          <w:szCs w:val="21"/>
        </w:rPr>
        <w:t xml:space="preserve"> — organisational and integration needs rather than analytical ones.</w:t>
      </w:r>
    </w:p>
    <w:p>
      <w:pPr>
        <w:pStyle w:val="Heading1"/>
        <w:keepNext/>
        <w:spacing w:after="140" w:before="320"/>
      </w:pPr>
      <w:r>
        <w:rPr>
          <w:rFonts w:ascii="Calibri" w:cs="Calibri" w:eastAsia="Calibri" w:hAnsi="Calibri"/>
          <w:b/>
          <w:bCs/>
          <w:color w:val="6A00A8"/>
          <w:sz w:val="30"/>
          <w:szCs w:val="30"/>
        </w:rPr>
        <w:t xml:space="preserve">6. Tier III — Intelligence</w:t>
      </w:r>
    </w:p>
    <w:p>
      <w:pPr>
        <w:spacing w:after="160" w:line="276"/>
      </w:pPr>
      <w:r>
        <w:rPr>
          <w:rFonts w:ascii="Calibri" w:cs="Calibri" w:eastAsia="Calibri" w:hAnsi="Calibri"/>
          <w:i/>
          <w:iCs/>
          <w:color w:val="5A5568"/>
          <w:sz w:val="21"/>
          <w:szCs w:val="21"/>
        </w:rPr>
        <w:t xml:space="preserve">Everything in Tiers I and II, plus the full mode set and the derived layer. Answers </w:t>
      </w:r>
      <w:r>
        <w:rPr>
          <w:rFonts w:ascii="Calibri" w:cs="Calibri" w:eastAsia="Calibri" w:hAnsi="Calibri"/>
          <w:b/>
          <w:bCs/>
          <w:i/>
          <w:iCs/>
          <w:color w:val="5A5568"/>
          <w:sz w:val="21"/>
          <w:szCs w:val="21"/>
        </w:rPr>
        <w:t xml:space="preserve">what should we do about it</w:t>
      </w:r>
      <w:r>
        <w:rPr>
          <w:rFonts w:ascii="Calibri" w:cs="Calibri" w:eastAsia="Calibri" w:hAnsi="Calibri"/>
          <w:i/>
          <w:iCs/>
          <w:color w:val="5A5568"/>
          <w:sz w:val="21"/>
          <w:szCs w:val="21"/>
        </w:rPr>
        <w:t xml:space="preserve">.</w:t>
      </w:r>
    </w:p>
    <w:p>
      <w:pPr>
        <w:pStyle w:val="Heading2"/>
        <w:keepNext/>
        <w:spacing w:after="90" w:before="220"/>
      </w:pPr>
      <w:r>
        <w:rPr>
          <w:rFonts w:ascii="Calibri" w:cs="Calibri" w:eastAsia="Calibri" w:hAnsi="Calibri"/>
          <w:b/>
          <w:bCs/>
          <w:color w:val="1A1526"/>
          <w:sz w:val="24"/>
          <w:szCs w:val="24"/>
        </w:rPr>
        <w:t xml:space="preserve">6.1 All five impact modes</w:t>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1900"/>
        <w:gridCol w:w="7460"/>
      </w:tblGrid>
      <w:tr>
        <w:trPr>
          <w:cantSplit/>
          <w:tblHeader/>
        </w:trPr>
        <w:tc>
          <w:tcPr>
            <w:tcW w:type="dxa" w:w="19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Mode</w:t>
            </w:r>
          </w:p>
        </w:tc>
        <w:tc>
          <w:tcPr>
            <w:tcW w:type="dxa" w:w="746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it adds</w:t>
            </w:r>
          </w:p>
        </w:tc>
      </w:tr>
      <w:tr>
        <w:trPr>
          <w:cantSplit/>
          <w:tblHeader w:val="false"/>
        </w:trPr>
        <w:tc>
          <w:tcPr>
            <w:tcW w:type="dxa" w:w="19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Volume</w:t>
            </w:r>
          </w:p>
        </w:tc>
        <w:tc>
          <w:tcPr>
            <w:tcW w:type="dxa" w:w="74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Wait for the cue, then throw as many strikes as possible in a 5-second window. The only mode that generates repeated fixed-length windows within one session — which is precisely what a fatigue regression needs.</w:t>
            </w:r>
          </w:p>
        </w:tc>
      </w:tr>
      <w:tr>
        <w:trPr>
          <w:cantSplit/>
          <w:tblHeader w:val="false"/>
        </w:trPr>
        <w:tc>
          <w:tcPr>
            <w:tcW w:type="dxa" w:w="19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Target</w:t>
            </w:r>
          </w:p>
        </w:tc>
        <w:tc>
          <w:tcPr>
            <w:tcW w:type="dxa" w:w="74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Listen for a zone cue, then strike that section. Scores reaction time and accuracy simultaneously, so it measures decision-making under load rather than either axis alone.</w:t>
            </w:r>
          </w:p>
        </w:tc>
      </w:tr>
    </w:tbl>
    <w:p>
      <w:pPr>
        <w:spacing w:after="200"/>
      </w:pPr>
      <w:r>
        <w:rPr>
          <w:sz w:val="2"/>
          <w:szCs w:val="2"/>
        </w:rPr>
        <w:t xml:space="preserve"/>
      </w:r>
    </w:p>
    <w:p>
      <w:pPr>
        <w:pStyle w:val="Heading2"/>
        <w:keepNext/>
        <w:spacing w:after="90" w:before="220"/>
      </w:pPr>
      <w:r>
        <w:rPr>
          <w:rFonts w:ascii="Calibri" w:cs="Calibri" w:eastAsia="Calibri" w:hAnsi="Calibri"/>
          <w:b/>
          <w:bCs/>
          <w:color w:val="1A1526"/>
          <w:sz w:val="24"/>
          <w:szCs w:val="24"/>
        </w:rPr>
        <w:t xml:space="preserve">6.2 Fatigue tracker</w:t>
      </w:r>
    </w:p>
    <w:p>
      <w:pPr>
        <w:spacing w:after="120" w:line="276"/>
      </w:pPr>
      <w:r>
        <w:rPr>
          <w:rFonts w:ascii="Calibri" w:cs="Calibri" w:eastAsia="Calibri" w:hAnsi="Calibri"/>
          <w:color w:val="1A1526"/>
          <w:sz w:val="21"/>
          <w:szCs w:val="21"/>
        </w:rPr>
        <w:t xml:space="preserve">Built on signals the pipeline already computes and stores in the session_summaries quality JSON:</w:t>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2900"/>
        <w:gridCol w:w="6460"/>
      </w:tblGrid>
      <w:tr>
        <w:trPr>
          <w:cantSplit/>
          <w:tblHeader/>
        </w:trPr>
        <w:tc>
          <w:tcPr>
            <w:tcW w:type="dxa" w:w="29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Signal</w:t>
            </w:r>
          </w:p>
        </w:tc>
        <w:tc>
          <w:tcPr>
            <w:tcW w:type="dxa" w:w="646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Meaning and use</w:t>
            </w:r>
          </w:p>
        </w:tc>
      </w:tr>
      <w:tr>
        <w:trPr>
          <w:cantSplit/>
          <w:tblHeader w:val="false"/>
        </w:trPr>
        <w:tc>
          <w:tcPr>
            <w:tcW w:type="dxa" w:w="29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si_fatigue_slope</w:t>
            </w:r>
          </w:p>
        </w:tc>
        <w:tc>
          <w:tcPr>
            <w:tcW w:type="dxa" w:w="64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SI points lost per window, from a linear regression across the session's Volume windows. A slope steeper than −2 SI per window triggers a fatigue alert.</w:t>
            </w:r>
          </w:p>
        </w:tc>
      </w:tr>
      <w:tr>
        <w:trPr>
          <w:cantSplit/>
          <w:tblHeader w:val="false"/>
        </w:trPr>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si_trend</w:t>
            </w:r>
          </w:p>
        </w:tc>
        <w:tc>
          <w:tcPr>
            <w:tcW w:type="dxa" w:w="64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Categorical classification — fatiguing, building, or stable. Drives the trend chip in the UI.</w:t>
            </w:r>
          </w:p>
        </w:tc>
      </w:tr>
      <w:tr>
        <w:trPr>
          <w:cantSplit/>
          <w:tblHeader w:val="false"/>
        </w:trPr>
        <w:tc>
          <w:tcPr>
            <w:tcW w:type="dxa" w:w="29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reaction_fatigue_delta_ms</w:t>
            </w:r>
          </w:p>
        </w:tc>
        <w:tc>
          <w:tcPr>
            <w:tcW w:type="dxa" w:w="64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Reaction-time drift from early to late in the session, in ms. Surfaced as “Fatigue drift +N ms”.</w:t>
            </w:r>
          </w:p>
        </w:tc>
      </w:tr>
      <w:tr>
        <w:trPr>
          <w:cantSplit/>
          <w:tblHeader w:val="false"/>
        </w:trPr>
        <w:tc>
          <w:tcPr>
            <w:tcW w:type="dxa" w:w="29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First-half against second-half SI</w:t>
            </w:r>
          </w:p>
        </w:tc>
        <w:tc>
          <w:tcPr>
            <w:tcW w:type="dxa" w:w="64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Coarse fatigue proxy for sessions with too few windows to regress reliably.</w:t>
            </w:r>
          </w:p>
        </w:tc>
      </w:tr>
    </w:tbl>
    <w:p>
      <w:pPr>
        <w:spacing w:after="180"/>
      </w:pPr>
      <w:r>
        <w:rPr>
          <w:sz w:val="2"/>
          <w:szCs w:val="2"/>
        </w:rPr>
        <w:t xml:space="preserve"/>
      </w:r>
    </w:p>
    <w:p>
      <w:pPr>
        <w:pStyle w:val="ListParagraph"/>
        <w:numPr>
          <w:ilvl w:val="0"/>
          <w:numId w:val="2"/>
        </w:numPr>
        <w:spacing w:after="70" w:line="270"/>
      </w:pPr>
      <w:r>
        <w:rPr>
          <w:rFonts w:ascii="Calibri" w:cs="Calibri" w:eastAsia="Calibri" w:hAnsi="Calibri"/>
          <w:color w:val="1A1526"/>
          <w:sz w:val="21"/>
          <w:szCs w:val="21"/>
        </w:rPr>
        <w:t xml:space="preserve">Per-athlete fatigue slope, per session and averaged across the window.</w:t>
      </w:r>
    </w:p>
    <w:p>
      <w:pPr>
        <w:pStyle w:val="ListParagraph"/>
        <w:numPr>
          <w:ilvl w:val="0"/>
          <w:numId w:val="2"/>
        </w:numPr>
        <w:spacing w:after="70" w:line="270"/>
      </w:pPr>
      <w:r>
        <w:rPr>
          <w:rFonts w:ascii="Calibri" w:cs="Calibri" w:eastAsia="Calibri" w:hAnsi="Calibri"/>
          <w:color w:val="1A1526"/>
          <w:sz w:val="21"/>
          <w:szCs w:val="21"/>
        </w:rPr>
        <w:t xml:space="preserve">Roster-level fatigue alert — names the athletes whose average slope is below the threshold, ranked by severity.</w:t>
      </w:r>
    </w:p>
    <w:p>
      <w:pPr>
        <w:pStyle w:val="ListParagraph"/>
        <w:numPr>
          <w:ilvl w:val="0"/>
          <w:numId w:val="2"/>
        </w:numPr>
        <w:spacing w:after="70" w:line="270"/>
      </w:pPr>
      <w:r>
        <w:rPr>
          <w:rFonts w:ascii="Calibri" w:cs="Calibri" w:eastAsia="Calibri" w:hAnsi="Calibri"/>
          <w:color w:val="1A1526"/>
          <w:sz w:val="21"/>
          <w:szCs w:val="21"/>
        </w:rPr>
        <w:t xml:space="preserve">Longitudinal fatigue curve — slope tracked session over session, which is where load management actually happens. Requires the unlimited history window.</w:t>
      </w:r>
    </w:p>
    <w:p>
      <w:pPr>
        <w:pStyle w:val="ListParagraph"/>
        <w:numPr>
          <w:ilvl w:val="1"/>
          <w:numId w:val="2"/>
        </w:numPr>
        <w:spacing w:after="70" w:line="270"/>
      </w:pPr>
      <w:r>
        <w:rPr>
          <w:rFonts w:ascii="Calibri" w:cs="Calibri" w:eastAsia="Calibri" w:hAnsi="Calibri"/>
          <w:b/>
          <w:bCs/>
          <w:color w:val="6A00A8"/>
          <w:sz w:val="21"/>
          <w:szCs w:val="21"/>
        </w:rPr>
        <w:t xml:space="preserve">NEW BUILD</w:t>
      </w:r>
      <w:r>
        <w:rPr>
          <w:rFonts w:ascii="Calibri" w:cs="Calibri" w:eastAsia="Calibri" w:hAnsi="Calibri"/>
          <w:color w:val="1A1526"/>
          <w:sz w:val="21"/>
          <w:szCs w:val="21"/>
        </w:rPr>
        <w:t xml:space="preserve"> — the longitudinal curve. The per-session slope exists; charting it over time does not yet.</w:t>
      </w:r>
    </w:p>
    <w:p>
      <w:pPr>
        <w:pStyle w:val="Heading2"/>
        <w:keepNext/>
        <w:spacing w:after="90" w:before="220"/>
      </w:pPr>
      <w:r>
        <w:rPr>
          <w:rFonts w:ascii="Calibri" w:cs="Calibri" w:eastAsia="Calibri" w:hAnsi="Calibri"/>
          <w:b/>
          <w:bCs/>
          <w:color w:val="1A1526"/>
          <w:sz w:val="24"/>
          <w:szCs w:val="24"/>
        </w:rPr>
        <w:t xml:space="preserve">6.3 AI analysis</w:t>
      </w:r>
    </w:p>
    <w:p>
      <w:pPr>
        <w:spacing w:after="120" w:line="276"/>
      </w:pPr>
      <w:r>
        <w:rPr>
          <w:rFonts w:ascii="Calibri" w:cs="Calibri" w:eastAsia="Calibri" w:hAnsi="Calibri"/>
          <w:color w:val="1A1526"/>
          <w:sz w:val="21"/>
          <w:szCs w:val="21"/>
        </w:rPr>
        <w:t xml:space="preserve">The insight-card engine. For each mode it produces a prioritised card carrying a headline, supporting metrics with direction indicators, and a coaching cue — a concrete prescription, not a restatement of the number. Cards are tagged across Power, Accuracy, Reaction, Consistency, Fatigue, Tempo, Volume and Target, and prioritised high, medium or low.</w:t>
      </w:r>
    </w:p>
    <w:p>
      <w:pPr>
        <w:spacing w:after="60"/>
      </w:pPr>
      <w:r>
        <w:rPr>
          <w:sz w:val="2"/>
          <w:szCs w:val="2"/>
        </w:rPr>
        <w:t xml:space="preserve"/>
      </w:r>
    </w:p>
    <w:tbl>
      <w:tblPr>
        <w:tblW w:type="dxa" w:w="9360"/>
        <w:tblBorders>
          <w:top w:val="single" w:color="F3E6FB" w:sz="2"/>
          <w:left w:val="single" w:color="6A00A8" w:sz="24"/>
          <w:bottom w:val="single" w:color="F3E6FB" w:sz="2"/>
          <w:right w:val="single" w:color="F3E6FB" w:sz="2"/>
          <w:insideH w:val="none"/>
          <w:insideV w:val="none"/>
        </w:tblBorders>
      </w:tblPr>
      <w:tblGrid>
        <w:gridCol w:w="9360"/>
      </w:tblGrid>
      <w:tr>
        <w:trPr>
          <w:cantSplit/>
        </w:trPr>
        <w:tc>
          <w:tcPr>
            <w:tcW w:type="dxa" w:w="9360"/>
            <w:shd w:fill="F3E6FB" w:color="auto" w:val="clear"/>
            <w:tcMar>
              <w:top w:type="dxa" w:w="120"/>
              <w:left w:type="dxa" w:w="180"/>
              <w:bottom w:type="dxa" w:w="120"/>
              <w:right w:type="dxa" w:w="180"/>
            </w:tcMar>
          </w:tcPr>
          <w:p>
            <w:pPr>
              <w:spacing w:after="40"/>
            </w:pPr>
            <w:r>
              <w:rPr>
                <w:rFonts w:ascii="Calibri" w:cs="Calibri" w:eastAsia="Calibri" w:hAnsi="Calibri"/>
                <w:b/>
                <w:bCs/>
                <w:color w:val="6A00A8"/>
                <w:sz w:val="20"/>
                <w:szCs w:val="20"/>
              </w:rPr>
              <w:t xml:space="preserve">Worked example — what a card actually says</w:t>
            </w:r>
          </w:p>
          <w:p>
            <w:pPr>
              <w:spacing w:after="60" w:line="264"/>
            </w:pPr>
            <w:r>
              <w:rPr>
                <w:rFonts w:ascii="Calibri" w:cs="Calibri" w:eastAsia="Calibri" w:hAnsi="Calibri"/>
                <w:b/>
                <w:bCs/>
                <w:color w:val="6A00A8"/>
                <w:sz w:val="20"/>
                <w:szCs w:val="20"/>
              </w:rPr>
              <w:t xml:space="preserve">Headline   </w:t>
            </w:r>
            <w:r>
              <w:rPr>
                <w:rFonts w:ascii="Calibri" w:cs="Calibri" w:eastAsia="Calibri" w:hAnsi="Calibri"/>
                <w:color w:val="1A1526"/>
                <w:sz w:val="20"/>
                <w:szCs w:val="20"/>
              </w:rPr>
              <w:t xml:space="preserve">“Marcus showing SI fatigue drop across windows”</w:t>
            </w:r>
          </w:p>
          <w:p>
            <w:pPr>
              <w:spacing w:after="60" w:line="264"/>
            </w:pPr>
            <w:r>
              <w:rPr>
                <w:rFonts w:ascii="Calibri" w:cs="Calibri" w:eastAsia="Calibri" w:hAnsi="Calibri"/>
                <w:b/>
                <w:bCs/>
                <w:color w:val="6A00A8"/>
                <w:sz w:val="20"/>
                <w:szCs w:val="20"/>
              </w:rPr>
              <w:t xml:space="preserve">Metrics   </w:t>
            </w:r>
            <w:r>
              <w:rPr>
                <w:rFonts w:ascii="Calibri" w:cs="Calibri" w:eastAsia="Calibri" w:hAnsi="Calibri"/>
                <w:color w:val="1A1526"/>
                <w:sz w:val="20"/>
                <w:szCs w:val="20"/>
              </w:rPr>
              <w:t xml:space="preserve">SI slope −4.2 per window (down)</w:t>
            </w:r>
          </w:p>
          <w:p>
            <w:pPr>
              <w:spacing w:after="60" w:line="264"/>
            </w:pPr>
            <w:r>
              <w:rPr>
                <w:rFonts w:ascii="Calibri" w:cs="Calibri" w:eastAsia="Calibri" w:hAnsi="Calibri"/>
                <w:b/>
                <w:bCs/>
                <w:color w:val="6A00A8"/>
                <w:sz w:val="20"/>
                <w:szCs w:val="20"/>
              </w:rPr>
              <w:t xml:space="preserve">Cue   </w:t>
            </w:r>
            <w:r>
              <w:rPr>
                <w:rFonts w:ascii="Calibri" w:cs="Calibri" w:eastAsia="Calibri" w:hAnsi="Calibri"/>
                <w:color w:val="1A1526"/>
                <w:sz w:val="20"/>
                <w:szCs w:val="20"/>
              </w:rPr>
              <w:t xml:space="preserve">“Marcus and Devon are losing power across windows. Shorten windows to 4 s and add 30 s rest between — prioritise quality output per window over raw hit count.”</w:t>
            </w:r>
          </w:p>
          <w:p>
            <w:pPr>
              <w:spacing w:after="0" w:line="264"/>
            </w:pPr>
            <w:r>
              <w:rPr>
                <w:rFonts w:ascii="Calibri" w:cs="Calibri" w:eastAsia="Calibri" w:hAnsi="Calibri"/>
                <w:b/>
                <w:bCs/>
                <w:color w:val="6A00A8"/>
                <w:sz w:val="20"/>
                <w:szCs w:val="20"/>
              </w:rPr>
              <w:t xml:space="preserve">Priority   </w:t>
            </w:r>
            <w:r>
              <w:rPr>
                <w:rFonts w:ascii="Calibri" w:cs="Calibri" w:eastAsia="Calibri" w:hAnsi="Calibri"/>
                <w:color w:val="1A1526"/>
                <w:sz w:val="20"/>
                <w:szCs w:val="20"/>
              </w:rPr>
              <w:t xml:space="preserve">high</w:t>
            </w:r>
          </w:p>
        </w:tc>
      </w:tr>
    </w:tbl>
    <w:p>
      <w:pPr>
        <w:spacing w:after="200"/>
      </w:pPr>
      <w:r>
        <w:rPr>
          <w:sz w:val="2"/>
          <w:szCs w:val="2"/>
        </w:rPr>
        <w:t xml:space="preserve"/>
      </w:r>
    </w:p>
    <w:p>
      <w:pPr>
        <w:spacing w:after="120" w:line="276"/>
      </w:pPr>
      <w:r>
        <w:rPr>
          <w:rFonts w:ascii="Calibri" w:cs="Calibri" w:eastAsia="Calibri" w:hAnsi="Calibri"/>
          <w:b/>
          <w:bCs/>
          <w:color w:val="1A1526"/>
          <w:sz w:val="21"/>
          <w:szCs w:val="21"/>
        </w:rPr>
        <w:t xml:space="preserve">Positioning note. </w:t>
      </w:r>
      <w:r>
        <w:rPr>
          <w:rFonts w:ascii="Calibri" w:cs="Calibri" w:eastAsia="Calibri" w:hAnsi="Calibri"/>
          <w:color w:val="1A1526"/>
          <w:sz w:val="21"/>
          <w:szCs w:val="21"/>
        </w:rPr>
        <w:t xml:space="preserve">The engine as implemented today is a deterministic rules engine over the derived metrics, not a language model. That is a feature, not a shortfall: it is reproducible, auditable, and cannot hallucinate a cue. Recommendation — market it as </w:t>
      </w:r>
      <w:r>
        <w:rPr>
          <w:rFonts w:ascii="Calibri" w:cs="Calibri" w:eastAsia="Calibri" w:hAnsi="Calibri"/>
          <w:i/>
          <w:iCs/>
          <w:color w:val="1A1526"/>
          <w:sz w:val="21"/>
          <w:szCs w:val="21"/>
        </w:rPr>
        <w:t xml:space="preserve">automated coaching intelligence</w:t>
      </w:r>
      <w:r>
        <w:rPr>
          <w:rFonts w:ascii="Calibri" w:cs="Calibri" w:eastAsia="Calibri" w:hAnsi="Calibri"/>
          <w:color w:val="1A1526"/>
          <w:sz w:val="21"/>
          <w:szCs w:val="21"/>
        </w:rPr>
        <w:t xml:space="preserve"> and keep any genuine LLM layer as a later, clearly separated addition. Committing to “AI” in the sales narrative and then having a coach ask how it reasoned is a support problem we can avoid by naming it accurately now.</w:t>
      </w:r>
    </w:p>
    <w:p>
      <w:pPr>
        <w:pStyle w:val="Heading2"/>
        <w:keepNext/>
        <w:spacing w:after="90" w:before="220"/>
      </w:pPr>
      <w:r>
        <w:rPr>
          <w:rFonts w:ascii="Calibri" w:cs="Calibri" w:eastAsia="Calibri" w:hAnsi="Calibri"/>
          <w:b/>
          <w:bCs/>
          <w:color w:val="1A1526"/>
          <w:sz w:val="24"/>
          <w:szCs w:val="24"/>
        </w:rPr>
        <w:t xml:space="preserve">6.4 Advanced dashboard</w:t>
      </w:r>
    </w:p>
    <w:p>
      <w:pPr>
        <w:pStyle w:val="ListParagraph"/>
        <w:numPr>
          <w:ilvl w:val="0"/>
          <w:numId w:val="2"/>
        </w:numPr>
        <w:spacing w:after="70" w:line="270"/>
      </w:pPr>
      <w:r>
        <w:rPr>
          <w:rFonts w:ascii="Calibri" w:cs="Calibri" w:eastAsia="Calibri" w:hAnsi="Calibri"/>
          <w:color w:val="1A1526"/>
          <w:sz w:val="21"/>
          <w:szCs w:val="21"/>
        </w:rPr>
        <w:t xml:space="preserve">Unlimited history window and all-time trend charts, against 30 and 90 days below.</w:t>
      </w:r>
    </w:p>
    <w:p>
      <w:pPr>
        <w:pStyle w:val="ListParagraph"/>
        <w:numPr>
          <w:ilvl w:val="0"/>
          <w:numId w:val="2"/>
        </w:numPr>
        <w:spacing w:after="70" w:line="270"/>
      </w:pPr>
      <w:r>
        <w:rPr>
          <w:rFonts w:ascii="Calibri" w:cs="Calibri" w:eastAsia="Calibri" w:hAnsi="Calibri"/>
          <w:color w:val="1A1526"/>
          <w:sz w:val="21"/>
          <w:szCs w:val="21"/>
        </w:rPr>
        <w:t xml:space="preserve">Multi-team program roll-up in one view, rather than one team at a time.</w:t>
      </w:r>
    </w:p>
    <w:p>
      <w:pPr>
        <w:pStyle w:val="ListParagraph"/>
        <w:numPr>
          <w:ilvl w:val="0"/>
          <w:numId w:val="2"/>
        </w:numPr>
        <w:spacing w:after="70" w:line="270"/>
      </w:pPr>
      <w:r>
        <w:rPr>
          <w:rFonts w:ascii="Calibri" w:cs="Calibri" w:eastAsia="Calibri" w:hAnsi="Calibri"/>
          <w:color w:val="1A1526"/>
          <w:sz w:val="21"/>
          <w:szCs w:val="21"/>
        </w:rPr>
        <w:t xml:space="preserve">Cross-mode composite athlete profile spanning all five axes.</w:t>
      </w:r>
    </w:p>
    <w:p>
      <w:pPr>
        <w:pStyle w:val="ListParagraph"/>
        <w:numPr>
          <w:ilvl w:val="0"/>
          <w:numId w:val="2"/>
        </w:numPr>
        <w:spacing w:after="70" w:line="270"/>
      </w:pPr>
      <w:r>
        <w:rPr>
          <w:rFonts w:ascii="Calibri" w:cs="Calibri" w:eastAsia="Calibri" w:hAnsi="Calibri"/>
          <w:color w:val="1A1526"/>
          <w:sz w:val="21"/>
          <w:szCs w:val="21"/>
        </w:rPr>
        <w:t xml:space="preserve">Custom date ranges and saved views.</w:t>
      </w:r>
    </w:p>
    <w:p>
      <w:pPr>
        <w:pStyle w:val="ListParagraph"/>
        <w:numPr>
          <w:ilvl w:val="0"/>
          <w:numId w:val="2"/>
        </w:numPr>
        <w:spacing w:after="70" w:line="270"/>
      </w:pPr>
      <w:r>
        <w:rPr>
          <w:rFonts w:ascii="Calibri" w:cs="Calibri" w:eastAsia="Calibri" w:hAnsi="Calibri"/>
          <w:color w:val="1A1526"/>
          <w:sz w:val="21"/>
          <w:szCs w:val="21"/>
        </w:rPr>
        <w:t xml:space="preserve">Raw session export — full NDJSON and </w:t>
      </w:r>
      <w:r>
        <w:rPr>
          <w:rFonts w:ascii="Courier New" w:cs="Courier New" w:eastAsia="Courier New" w:hAnsi="Courier New"/>
          <w:color w:val="1A1526"/>
          <w:sz w:val="19"/>
          <w:szCs w:val="19"/>
        </w:rPr>
        <w:t xml:space="preserve">event_cells</w:t>
      </w:r>
      <w:r>
        <w:rPr>
          <w:rFonts w:ascii="Calibri" w:cs="Calibri" w:eastAsia="Calibri" w:hAnsi="Calibri"/>
          <w:color w:val="1A1526"/>
          <w:sz w:val="21"/>
          <w:szCs w:val="21"/>
        </w:rPr>
        <w:t xml:space="preserve"> data, beyond the session-summary CSV that Tier II includes.</w:t>
      </w:r>
    </w:p>
    <w:p>
      <w:pPr>
        <w:pStyle w:val="ListParagraph"/>
        <w:numPr>
          <w:ilvl w:val="0"/>
          <w:numId w:val="2"/>
        </w:numPr>
        <w:spacing w:after="70" w:line="270"/>
      </w:pPr>
      <w:r>
        <w:rPr>
          <w:rFonts w:ascii="Calibri" w:cs="Calibri" w:eastAsia="Calibri" w:hAnsi="Calibri"/>
          <w:color w:val="1A1526"/>
          <w:sz w:val="21"/>
          <w:szCs w:val="21"/>
        </w:rPr>
        <w:t xml:space="preserve">Distributional views rather than means: SI and impulse histograms from the </w:t>
      </w:r>
      <w:r>
        <w:rPr>
          <w:rFonts w:ascii="Courier New" w:cs="Courier New" w:eastAsia="Courier New" w:hAnsi="Courier New"/>
          <w:color w:val="1A1526"/>
          <w:sz w:val="19"/>
          <w:szCs w:val="19"/>
        </w:rPr>
        <w:t xml:space="preserve">*_stats</w:t>
      </w:r>
      <w:r>
        <w:rPr>
          <w:rFonts w:ascii="Calibri" w:cs="Calibri" w:eastAsia="Calibri" w:hAnsi="Calibri"/>
          <w:color w:val="1A1526"/>
          <w:sz w:val="21"/>
          <w:szCs w:val="21"/>
        </w:rPr>
        <w:t xml:space="preserve"> summary fields.</w:t>
      </w:r>
    </w:p>
    <w:p>
      <w:pPr>
        <w:pStyle w:val="ListParagraph"/>
        <w:numPr>
          <w:ilvl w:val="1"/>
          <w:numId w:val="2"/>
        </w:numPr>
        <w:spacing w:after="70" w:line="270"/>
      </w:pPr>
      <w:r>
        <w:rPr>
          <w:rFonts w:ascii="Calibri" w:cs="Calibri" w:eastAsia="Calibri" w:hAnsi="Calibri"/>
          <w:b/>
          <w:bCs/>
          <w:color w:val="6A00A8"/>
          <w:sz w:val="21"/>
          <w:szCs w:val="21"/>
        </w:rPr>
        <w:t xml:space="preserve">NEW BUILD</w:t>
      </w:r>
      <w:r>
        <w:rPr>
          <w:rFonts w:ascii="Calibri" w:cs="Calibri" w:eastAsia="Calibri" w:hAnsi="Calibri"/>
          <w:color w:val="1A1526"/>
          <w:sz w:val="21"/>
          <w:szCs w:val="21"/>
        </w:rPr>
        <w:t xml:space="preserve"> — saved views, custom ranges, raw export, and the histogram views.</w:t>
      </w:r>
    </w:p>
    <w:p>
      <w:pPr>
        <w:pStyle w:val="Heading2"/>
        <w:keepNext/>
        <w:spacing w:after="90" w:before="220"/>
      </w:pPr>
      <w:r>
        <w:rPr>
          <w:rFonts w:ascii="Calibri" w:cs="Calibri" w:eastAsia="Calibri" w:hAnsi="Calibri"/>
          <w:b/>
          <w:bCs/>
          <w:color w:val="1A1526"/>
          <w:sz w:val="24"/>
          <w:szCs w:val="24"/>
        </w:rPr>
        <w:t xml:space="preserve">6.5 API connection support</w:t>
      </w:r>
    </w:p>
    <w:p>
      <w:pPr>
        <w:spacing w:after="120" w:line="276"/>
      </w:pPr>
      <w:r>
        <w:rPr>
          <w:rFonts w:ascii="Calibri" w:cs="Calibri" w:eastAsia="Calibri" w:hAnsi="Calibri"/>
          <w:color w:val="1A1526"/>
          <w:sz w:val="21"/>
          <w:szCs w:val="21"/>
        </w:rPr>
        <w:t xml:space="preserve">The largest genuinely new surface in this plan. Nothing today exposes program data programmatically beyond the CSV export, so this needs building from scratch. Minimum viable scope:</w:t>
      </w:r>
    </w:p>
    <w:p>
      <w:pPr>
        <w:pStyle w:val="ListParagraph"/>
        <w:numPr>
          <w:ilvl w:val="0"/>
          <w:numId w:val="2"/>
        </w:numPr>
        <w:spacing w:after="70" w:line="270"/>
      </w:pPr>
      <w:r>
        <w:rPr>
          <w:rFonts w:ascii="Calibri" w:cs="Calibri" w:eastAsia="Calibri" w:hAnsi="Calibri"/>
          <w:color w:val="1A1526"/>
          <w:sz w:val="21"/>
          <w:szCs w:val="21"/>
        </w:rPr>
        <w:t xml:space="preserve">Per-program API keys, issued and revocable from the admin surface, stored hashed.</w:t>
      </w:r>
    </w:p>
    <w:p>
      <w:pPr>
        <w:pStyle w:val="ListParagraph"/>
        <w:numPr>
          <w:ilvl w:val="0"/>
          <w:numId w:val="2"/>
        </w:numPr>
        <w:spacing w:after="70" w:line="270"/>
      </w:pPr>
      <w:r>
        <w:rPr>
          <w:rFonts w:ascii="Calibri" w:cs="Calibri" w:eastAsia="Calibri" w:hAnsi="Calibri"/>
          <w:color w:val="1A1526"/>
          <w:sz w:val="21"/>
          <w:szCs w:val="21"/>
        </w:rPr>
        <w:t xml:space="preserve">Read endpoints scoped to one program: sessions, session summaries, events, athletes, teams.</w:t>
      </w:r>
    </w:p>
    <w:p>
      <w:pPr>
        <w:pStyle w:val="ListParagraph"/>
        <w:numPr>
          <w:ilvl w:val="0"/>
          <w:numId w:val="2"/>
        </w:numPr>
        <w:spacing w:after="70" w:line="270"/>
      </w:pPr>
      <w:r>
        <w:rPr>
          <w:rFonts w:ascii="Calibri" w:cs="Calibri" w:eastAsia="Calibri" w:hAnsi="Calibri"/>
          <w:color w:val="1A1526"/>
          <w:sz w:val="21"/>
          <w:szCs w:val="21"/>
        </w:rPr>
        <w:t xml:space="preserve">Served by an edge function holding the service-role key, which resolves the program from the API key and applies the same scoping RLS would. The service-role key must never leave the server.</w:t>
      </w:r>
    </w:p>
    <w:p>
      <w:pPr>
        <w:pStyle w:val="ListParagraph"/>
        <w:numPr>
          <w:ilvl w:val="0"/>
          <w:numId w:val="2"/>
        </w:numPr>
        <w:spacing w:after="70" w:line="270"/>
      </w:pPr>
      <w:r>
        <w:rPr>
          <w:rFonts w:ascii="Calibri" w:cs="Calibri" w:eastAsia="Calibri" w:hAnsi="Calibri"/>
          <w:color w:val="1A1526"/>
          <w:sz w:val="21"/>
          <w:szCs w:val="21"/>
        </w:rPr>
        <w:t xml:space="preserve">Per-key rate limiting and a request log, both for abuse protection and because usage volume is a future pricing input.</w:t>
      </w:r>
    </w:p>
    <w:p>
      <w:pPr>
        <w:pStyle w:val="ListParagraph"/>
        <w:numPr>
          <w:ilvl w:val="0"/>
          <w:numId w:val="2"/>
        </w:numPr>
        <w:spacing w:after="70" w:line="270"/>
      </w:pPr>
      <w:r>
        <w:rPr>
          <w:rFonts w:ascii="Calibri" w:cs="Calibri" w:eastAsia="Calibri" w:hAnsi="Calibri"/>
          <w:color w:val="1A1526"/>
          <w:sz w:val="21"/>
          <w:szCs w:val="21"/>
        </w:rPr>
        <w:t xml:space="preserve">Optional outbound webhook on session completion — the integration pattern most strength-and-conditioning platforms expect.</w:t>
      </w:r>
    </w:p>
    <w:p>
      <w:pPr>
        <w:pStyle w:val="ListParagraph"/>
        <w:numPr>
          <w:ilvl w:val="1"/>
          <w:numId w:val="2"/>
        </w:numPr>
        <w:spacing w:after="70" w:line="270"/>
      </w:pPr>
      <w:r>
        <w:rPr>
          <w:rFonts w:ascii="Calibri" w:cs="Calibri" w:eastAsia="Calibri" w:hAnsi="Calibri"/>
          <w:b/>
          <w:bCs/>
          <w:color w:val="6A00A8"/>
          <w:sz w:val="21"/>
          <w:szCs w:val="21"/>
        </w:rPr>
        <w:t xml:space="preserve">NEW BUILD</w:t>
      </w:r>
      <w:r>
        <w:rPr>
          <w:rFonts w:ascii="Calibri" w:cs="Calibri" w:eastAsia="Calibri" w:hAnsi="Calibri"/>
          <w:color w:val="1A1526"/>
          <w:sz w:val="21"/>
          <w:szCs w:val="21"/>
        </w:rPr>
        <w:t xml:space="preserve"> — all of the above.</w:t>
      </w:r>
    </w:p>
    <w:p>
      <w:pPr>
        <w:pStyle w:val="Heading1"/>
        <w:keepNext/>
        <w:spacing w:after="140" w:before="320"/>
      </w:pPr>
      <w:r>
        <w:rPr>
          <w:rFonts w:ascii="Calibri" w:cs="Calibri" w:eastAsia="Calibri" w:hAnsi="Calibri"/>
          <w:b/>
          <w:bCs/>
          <w:color w:val="6A00A8"/>
          <w:sz w:val="30"/>
          <w:szCs w:val="30"/>
        </w:rPr>
        <w:t xml:space="preserve">7. Metric availability matrix</w:t>
      </w:r>
    </w:p>
    <w:p>
      <w:pPr>
        <w:spacing w:after="120" w:line="276"/>
      </w:pPr>
      <w:r>
        <w:rPr>
          <w:rFonts w:ascii="Calibri" w:cs="Calibri" w:eastAsia="Calibri" w:hAnsi="Calibri"/>
          <w:i/>
          <w:iCs/>
          <w:color w:val="5A5568"/>
          <w:sz w:val="21"/>
          <w:szCs w:val="21"/>
        </w:rPr>
        <w:t xml:space="preserve">Field-level mapping from the data model to tier. This is the table to implement against.</w:t>
      </w:r>
    </w:p>
    <w:p>
      <w:pPr>
        <w:spacing w:after="80"/>
      </w:pPr>
      <w:r>
        <w:rPr>
          <w:sz w:val="2"/>
          <w:szCs w:val="2"/>
        </w:rPr>
        <w:t xml:space="preserve"/>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3960"/>
        <w:gridCol w:w="2160"/>
        <w:gridCol w:w="1080"/>
        <w:gridCol w:w="1080"/>
        <w:gridCol w:w="1080"/>
      </w:tblGrid>
      <w:tr>
        <w:trPr>
          <w:cantSplit/>
          <w:tblHeader/>
        </w:trPr>
        <w:tc>
          <w:tcPr>
            <w:tcW w:type="dxa" w:w="396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Metric / field</w:t>
            </w:r>
          </w:p>
        </w:tc>
        <w:tc>
          <w:tcPr>
            <w:tcW w:type="dxa" w:w="216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Source</w:t>
            </w:r>
          </w:p>
        </w:tc>
        <w:tc>
          <w:tcPr>
            <w:tcW w:type="dxa" w:w="108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w:t>
            </w:r>
          </w:p>
        </w:tc>
        <w:tc>
          <w:tcPr>
            <w:tcW w:type="dxa" w:w="108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II</w:t>
            </w:r>
          </w:p>
        </w:tc>
        <w:tc>
          <w:tcPr>
            <w:tcW w:type="dxa" w:w="108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III</w:t>
            </w:r>
          </w:p>
        </w:tc>
      </w:tr>
      <w:tr>
        <w:trPr>
          <w:cantSplit/>
          <w:tblHeader w:val="false"/>
        </w:trPr>
        <w:tc>
          <w:tcPr>
            <w:tcW w:type="dxa" w:w="39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peak_force_n, peak_pressure_kpa</w:t>
            </w:r>
          </w:p>
        </w:tc>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events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strength_index (SI)</w:t>
            </w:r>
          </w:p>
        </w:tc>
        <w:tc>
          <w:tcPr>
            <w:tcW w:type="dxa" w:w="21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events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duration_ms</w:t>
            </w:r>
          </w:p>
        </w:tc>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events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Live per-cell grid</w:t>
            </w:r>
          </w:p>
        </w:tc>
        <w:tc>
          <w:tcPr>
            <w:tcW w:type="dxa" w:w="21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liveMetrics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heatmap</w:t>
            </w:r>
          </w:p>
        </w:tc>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session_summaries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num_events, session_duration_ms</w:t>
            </w:r>
          </w:p>
        </w:tc>
        <w:tc>
          <w:tcPr>
            <w:tcW w:type="dxa" w:w="21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session_summaries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impulse_index</w:t>
            </w:r>
          </w:p>
        </w:tc>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events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rise_time_ms, decay_time_ms</w:t>
            </w:r>
          </w:p>
        </w:tc>
        <w:tc>
          <w:tcPr>
            <w:tcW w:type="dxa" w:w="21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events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accuracy (offset, score)</w:t>
            </w:r>
          </w:p>
        </w:tc>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events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reaction_time_ms</w:t>
            </w:r>
          </w:p>
        </w:tc>
        <w:tc>
          <w:tcPr>
            <w:tcW w:type="dxa" w:w="21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events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angle_deg</w:t>
            </w:r>
          </w:p>
        </w:tc>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events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angles_deg distribution</w:t>
            </w:r>
          </w:p>
        </w:tc>
        <w:tc>
          <w:tcPr>
            <w:tcW w:type="dxa" w:w="21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session_summaries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center_of_mass_mm, most_contacted_cell_rc</w:t>
            </w:r>
          </w:p>
        </w:tc>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session_summaries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cadence_hz_avg / median</w:t>
            </w:r>
          </w:p>
        </w:tc>
        <w:tc>
          <w:tcPr>
            <w:tcW w:type="dxa" w:w="21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session_summaries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iei_prev_ms, iei_ms, longest_pause_ms</w:t>
            </w:r>
          </w:p>
        </w:tc>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events / summaries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peak_force_stats, impulse_stats (mean / rank)</w:t>
            </w:r>
          </w:p>
        </w:tc>
        <w:tc>
          <w:tcPr>
            <w:tcW w:type="dxa" w:w="21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session_summaries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Session-summary CSV export</w:t>
            </w:r>
          </w:p>
        </w:tc>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session_summaries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si_fatigue_slope, si_trend</w:t>
            </w:r>
          </w:p>
        </w:tc>
        <w:tc>
          <w:tcPr>
            <w:tcW w:type="dxa" w:w="21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quality JSON</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reaction_fatigue_delta_ms</w:t>
            </w:r>
          </w:p>
        </w:tc>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quality JSON</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Full distributions from *_stats</w:t>
            </w:r>
          </w:p>
        </w:tc>
        <w:tc>
          <w:tcPr>
            <w:tcW w:type="dxa" w:w="21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session_summaries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temporal, quality (raw)</w:t>
            </w:r>
          </w:p>
        </w:tc>
        <w:tc>
          <w:tcPr>
            <w:tcW w:type="dxa" w:w="216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events</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9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Raw NDJSON / event_cells export</w:t>
            </w:r>
          </w:p>
        </w:tc>
        <w:tc>
          <w:tcPr>
            <w:tcW w:type="dxa" w:w="216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sessions, event_cells</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108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bl>
    <w:p>
      <w:pPr>
        <w:spacing w:after="220"/>
      </w:pPr>
      <w:r>
        <w:rPr>
          <w:sz w:val="2"/>
          <w:szCs w:val="2"/>
        </w:rPr>
        <w:t xml:space="preserve"/>
      </w:r>
    </w:p>
    <w:tbl>
      <w:tblPr>
        <w:tblW w:type="dxa" w:w="9360"/>
        <w:tblBorders>
          <w:top w:val="single" w:color="F3E6FB" w:sz="2"/>
          <w:left w:val="single" w:color="6A00A8" w:sz="24"/>
          <w:bottom w:val="single" w:color="F3E6FB" w:sz="2"/>
          <w:right w:val="single" w:color="F3E6FB" w:sz="2"/>
          <w:insideH w:val="none"/>
          <w:insideV w:val="none"/>
        </w:tblBorders>
      </w:tblPr>
      <w:tblGrid>
        <w:gridCol w:w="9360"/>
      </w:tblGrid>
      <w:tr>
        <w:trPr>
          <w:cantSplit/>
        </w:trPr>
        <w:tc>
          <w:tcPr>
            <w:tcW w:type="dxa" w:w="9360"/>
            <w:shd w:fill="F3E6FB" w:color="auto" w:val="clear"/>
            <w:tcMar>
              <w:top w:type="dxa" w:w="120"/>
              <w:left w:type="dxa" w:w="180"/>
              <w:bottom w:type="dxa" w:w="120"/>
              <w:right w:type="dxa" w:w="180"/>
            </w:tcMar>
          </w:tcPr>
          <w:p>
            <w:pPr>
              <w:spacing w:after="40"/>
            </w:pPr>
            <w:r>
              <w:rPr>
                <w:rFonts w:ascii="Calibri" w:cs="Calibri" w:eastAsia="Calibri" w:hAnsi="Calibri"/>
                <w:b/>
                <w:bCs/>
                <w:color w:val="6A00A8"/>
                <w:sz w:val="20"/>
                <w:szCs w:val="20"/>
              </w:rPr>
              <w:t xml:space="preserve">Reading this table</w:t>
            </w:r>
          </w:p>
          <w:p>
            <w:pPr>
              <w:spacing w:after="60" w:line="264"/>
            </w:pPr>
            <w:r>
              <w:rPr>
                <w:rFonts w:ascii="Calibri" w:cs="Calibri" w:eastAsia="Calibri" w:hAnsi="Calibri"/>
                <w:color w:val="1A1526"/>
                <w:sz w:val="20"/>
                <w:szCs w:val="20"/>
              </w:rPr>
              <w:t xml:space="preserve">A field marked Yes at Tier II is readable and displayable at Tier II and above. Cumulative inheritance is assumed throughout — Tier III is a superset of Tier II, which is a superset of Tier I.</w:t>
            </w:r>
          </w:p>
          <w:p>
            <w:pPr>
              <w:spacing w:after="60" w:line="264"/>
            </w:pPr>
            <w:r>
              <w:rPr>
                <w:rFonts w:ascii="Calibri" w:cs="Calibri" w:eastAsia="Calibri" w:hAnsi="Calibri"/>
                <w:color w:val="1A1526"/>
                <w:sz w:val="20"/>
                <w:szCs w:val="20"/>
              </w:rPr>
              <w:t xml:space="preserve">Where a field appears at one tier as an aggregate and a higher tier as a distribution (peak_force_stats, impulse_stats), the gate is on the presentation, not the field. Tier II sees the mean and rank; Tier III sees the histogram.</w:t>
            </w:r>
          </w:p>
          <w:p>
            <w:pPr>
              <w:spacing w:after="0" w:line="264"/>
            </w:pPr>
            <w:r>
              <w:rPr>
                <w:rFonts w:ascii="Calibri" w:cs="Calibri" w:eastAsia="Calibri" w:hAnsi="Calibri"/>
                <w:color w:val="1A1526"/>
                <w:sz w:val="20"/>
                <w:szCs w:val="20"/>
              </w:rPr>
              <w:t xml:space="preserve">Export follows the same rule. Tier II exports the aggregate row per session; Tier III exports the underlying stream. Neither export may return a field the tier cannot display on screen.</w:t>
            </w:r>
          </w:p>
        </w:tc>
      </w:tr>
    </w:tbl>
    <w:p>
      <w:pPr>
        <w:pStyle w:val="Heading1"/>
        <w:keepNext/>
        <w:spacing w:after="140" w:before="320"/>
      </w:pPr>
      <w:r>
        <w:rPr>
          <w:rFonts w:ascii="Calibri" w:cs="Calibri" w:eastAsia="Calibri" w:hAnsi="Calibri"/>
          <w:b/>
          <w:bCs/>
          <w:color w:val="6A00A8"/>
          <w:sz w:val="30"/>
          <w:szCs w:val="30"/>
        </w:rPr>
        <w:t xml:space="preserve">8. Entitlement model and enforcement</w:t>
      </w:r>
    </w:p>
    <w:p>
      <w:pPr>
        <w:pStyle w:val="Heading2"/>
        <w:keepNext/>
        <w:spacing w:after="90" w:before="220"/>
      </w:pPr>
      <w:r>
        <w:rPr>
          <w:rFonts w:ascii="Calibri" w:cs="Calibri" w:eastAsia="Calibri" w:hAnsi="Calibri"/>
          <w:b/>
          <w:bCs/>
          <w:color w:val="1A1526"/>
          <w:sz w:val="24"/>
          <w:szCs w:val="24"/>
        </w:rPr>
        <w:t xml:space="preserve">8.1 Current state</w:t>
      </w:r>
    </w:p>
    <w:p>
      <w:pPr>
        <w:spacing w:after="120" w:line="276"/>
      </w:pPr>
      <w:r>
        <w:rPr>
          <w:rFonts w:ascii="Calibri" w:cs="Calibri" w:eastAsia="Calibri" w:hAnsi="Calibri"/>
          <w:color w:val="1A1526"/>
          <w:sz w:val="21"/>
          <w:szCs w:val="21"/>
        </w:rPr>
        <w:t xml:space="preserve">The schema is most of the way there and the client has none of it. </w:t>
      </w:r>
      <w:r>
        <w:rPr>
          <w:rFonts w:ascii="Courier New" w:cs="Courier New" w:eastAsia="Courier New" w:hAnsi="Courier New"/>
          <w:color w:val="1A1526"/>
          <w:sz w:val="19"/>
          <w:szCs w:val="19"/>
        </w:rPr>
        <w:t xml:space="preserve">programs</w:t>
      </w:r>
      <w:r>
        <w:rPr>
          <w:rFonts w:ascii="Calibri" w:cs="Calibri" w:eastAsia="Calibri" w:hAnsi="Calibri"/>
          <w:color w:val="1A1526"/>
          <w:sz w:val="21"/>
          <w:szCs w:val="21"/>
        </w:rPr>
        <w:t xml:space="preserve"> already carries </w:t>
      </w:r>
      <w:r>
        <w:rPr>
          <w:rFonts w:ascii="Courier New" w:cs="Courier New" w:eastAsia="Courier New" w:hAnsi="Courier New"/>
          <w:color w:val="1A1526"/>
          <w:sz w:val="19"/>
          <w:szCs w:val="19"/>
        </w:rPr>
        <w:t xml:space="preserve">plan</w:t>
      </w:r>
      <w:r>
        <w:rPr>
          <w:rFonts w:ascii="Calibri" w:cs="Calibri" w:eastAsia="Calibri" w:hAnsi="Calibri"/>
          <w:color w:val="1A1526"/>
          <w:sz w:val="21"/>
          <w:szCs w:val="21"/>
        </w:rPr>
        <w:t xml:space="preserve"> (CHECK-constrained to trial, free, pro, enterprise), </w:t>
      </w:r>
      <w:r>
        <w:rPr>
          <w:rFonts w:ascii="Courier New" w:cs="Courier New" w:eastAsia="Courier New" w:hAnsi="Courier New"/>
          <w:color w:val="1A1526"/>
          <w:sz w:val="19"/>
          <w:szCs w:val="19"/>
        </w:rPr>
        <w:t xml:space="preserve">status</w:t>
      </w:r>
      <w:r>
        <w:rPr>
          <w:rFonts w:ascii="Calibri" w:cs="Calibri" w:eastAsia="Calibri" w:hAnsi="Calibri"/>
          <w:color w:val="1A1526"/>
          <w:sz w:val="21"/>
          <w:szCs w:val="21"/>
        </w:rPr>
        <w:t xml:space="preserve">, </w:t>
      </w:r>
      <w:r>
        <w:rPr>
          <w:rFonts w:ascii="Courier New" w:cs="Courier New" w:eastAsia="Courier New" w:hAnsi="Courier New"/>
          <w:color w:val="1A1526"/>
          <w:sz w:val="19"/>
          <w:szCs w:val="19"/>
        </w:rPr>
        <w:t xml:space="preserve">max_coaches</w:t>
      </w:r>
      <w:r>
        <w:rPr>
          <w:rFonts w:ascii="Calibri" w:cs="Calibri" w:eastAsia="Calibri" w:hAnsi="Calibri"/>
          <w:color w:val="1A1526"/>
          <w:sz w:val="21"/>
          <w:szCs w:val="21"/>
        </w:rPr>
        <w:t xml:space="preserve">, </w:t>
      </w:r>
      <w:r>
        <w:rPr>
          <w:rFonts w:ascii="Courier New" w:cs="Courier New" w:eastAsia="Courier New" w:hAnsi="Courier New"/>
          <w:color w:val="1A1526"/>
          <w:sz w:val="19"/>
          <w:szCs w:val="19"/>
        </w:rPr>
        <w:t xml:space="preserve">max_athletes</w:t>
      </w:r>
      <w:r>
        <w:rPr>
          <w:rFonts w:ascii="Calibri" w:cs="Calibri" w:eastAsia="Calibri" w:hAnsi="Calibri"/>
          <w:color w:val="1A1526"/>
          <w:sz w:val="21"/>
          <w:szCs w:val="21"/>
        </w:rPr>
        <w:t xml:space="preserve">, </w:t>
      </w:r>
      <w:r>
        <w:rPr>
          <w:rFonts w:ascii="Courier New" w:cs="Courier New" w:eastAsia="Courier New" w:hAnsi="Courier New"/>
          <w:color w:val="1A1526"/>
          <w:sz w:val="19"/>
          <w:szCs w:val="19"/>
        </w:rPr>
        <w:t xml:space="preserve">max_devices</w:t>
      </w:r>
      <w:r>
        <w:rPr>
          <w:rFonts w:ascii="Calibri" w:cs="Calibri" w:eastAsia="Calibri" w:hAnsi="Calibri"/>
          <w:color w:val="1A1526"/>
          <w:sz w:val="21"/>
          <w:szCs w:val="21"/>
        </w:rPr>
        <w:t xml:space="preserve">, </w:t>
      </w:r>
      <w:r>
        <w:rPr>
          <w:rFonts w:ascii="Courier New" w:cs="Courier New" w:eastAsia="Courier New" w:hAnsi="Courier New"/>
          <w:color w:val="1A1526"/>
          <w:sz w:val="19"/>
          <w:szCs w:val="19"/>
        </w:rPr>
        <w:t xml:space="preserve">max_sessions_per_month</w:t>
      </w:r>
      <w:r>
        <w:rPr>
          <w:rFonts w:ascii="Calibri" w:cs="Calibri" w:eastAsia="Calibri" w:hAnsi="Calibri"/>
          <w:color w:val="1A1526"/>
          <w:sz w:val="21"/>
          <w:szCs w:val="21"/>
        </w:rPr>
        <w:t xml:space="preserve"> and </w:t>
      </w:r>
      <w:r>
        <w:rPr>
          <w:rFonts w:ascii="Courier New" w:cs="Courier New" w:eastAsia="Courier New" w:hAnsi="Courier New"/>
          <w:color w:val="1A1526"/>
          <w:sz w:val="19"/>
          <w:szCs w:val="19"/>
        </w:rPr>
        <w:t xml:space="preserve">is_grandfathered</w:t>
      </w:r>
      <w:r>
        <w:rPr>
          <w:rFonts w:ascii="Calibri" w:cs="Calibri" w:eastAsia="Calibri" w:hAnsi="Calibri"/>
          <w:color w:val="1A1526"/>
          <w:sz w:val="21"/>
          <w:szCs w:val="21"/>
        </w:rPr>
        <w:t xml:space="preserve">.</w:t>
      </w:r>
    </w:p>
    <w:p>
      <w:pPr>
        <w:spacing w:after="120" w:line="276"/>
      </w:pPr>
      <w:r>
        <w:rPr>
          <w:rFonts w:ascii="Calibri" w:cs="Calibri" w:eastAsia="Calibri" w:hAnsi="Calibri"/>
          <w:color w:val="1A1526"/>
          <w:sz w:val="21"/>
          <w:szCs w:val="21"/>
        </w:rPr>
        <w:t xml:space="preserve">A repository-wide search for plan or tier checks in </w:t>
      </w:r>
      <w:r>
        <w:rPr>
          <w:rFonts w:ascii="Courier New" w:cs="Courier New" w:eastAsia="Courier New" w:hAnsi="Courier New"/>
          <w:color w:val="1A1526"/>
          <w:sz w:val="19"/>
          <w:szCs w:val="19"/>
        </w:rPr>
        <w:t xml:space="preserve">src/</w:t>
      </w:r>
      <w:r>
        <w:rPr>
          <w:rFonts w:ascii="Calibri" w:cs="Calibri" w:eastAsia="Calibri" w:hAnsi="Calibri"/>
          <w:color w:val="1A1526"/>
          <w:sz w:val="21"/>
          <w:szCs w:val="21"/>
        </w:rPr>
        <w:t xml:space="preserve"> returns nothing functional: the limit columns are displayed read-only in the admin view with an 80%-of-cap warning, and </w:t>
      </w:r>
      <w:r>
        <w:rPr>
          <w:rFonts w:ascii="Courier New" w:cs="Courier New" w:eastAsia="Courier New" w:hAnsi="Courier New"/>
          <w:color w:val="1A1526"/>
          <w:sz w:val="19"/>
          <w:szCs w:val="19"/>
        </w:rPr>
        <w:t xml:space="preserve">tier</w:t>
      </w:r>
      <w:r>
        <w:rPr>
          <w:rFonts w:ascii="Calibri" w:cs="Calibri" w:eastAsia="Calibri" w:hAnsi="Calibri"/>
          <w:color w:val="1A1526"/>
          <w:sz w:val="21"/>
          <w:szCs w:val="21"/>
        </w:rPr>
        <w:t xml:space="preserve"> appears only as a local variable naming SI performance bands. </w:t>
      </w:r>
      <w:r>
        <w:rPr>
          <w:rFonts w:ascii="Calibri" w:cs="Calibri" w:eastAsia="Calibri" w:hAnsi="Calibri"/>
          <w:b/>
          <w:bCs/>
          <w:color w:val="1A1526"/>
          <w:sz w:val="21"/>
          <w:szCs w:val="21"/>
        </w:rPr>
        <w:t xml:space="preserve">There is no feature gating in the application today.</w:t>
      </w:r>
      <w:r>
        <w:rPr>
          <w:rFonts w:ascii="Calibri" w:cs="Calibri" w:eastAsia="Calibri" w:hAnsi="Calibri"/>
          <w:color w:val="1A1526"/>
          <w:sz w:val="21"/>
          <w:szCs w:val="21"/>
        </w:rPr>
        <w:t xml:space="preserve"> Entitlements are greenfield, which is good news — there is no legacy gating logic to unpick.</w:t>
      </w:r>
    </w:p>
    <w:p>
      <w:pPr>
        <w:pStyle w:val="Heading2"/>
        <w:keepNext/>
        <w:spacing w:after="90" w:before="220"/>
      </w:pPr>
      <w:r>
        <w:rPr>
          <w:rFonts w:ascii="Calibri" w:cs="Calibri" w:eastAsia="Calibri" w:hAnsi="Calibri"/>
          <w:b/>
          <w:bCs/>
          <w:color w:val="1A1526"/>
          <w:sz w:val="24"/>
          <w:szCs w:val="24"/>
        </w:rPr>
        <w:t xml:space="preserve">8.2 Proposed schema change</w:t>
      </w:r>
    </w:p>
    <w:p>
      <w:pPr>
        <w:pStyle w:val="ListParagraph"/>
        <w:numPr>
          <w:ilvl w:val="0"/>
          <w:numId w:val="2"/>
        </w:numPr>
        <w:spacing w:after="70" w:line="270"/>
      </w:pPr>
      <w:r>
        <w:rPr>
          <w:rFonts w:ascii="Calibri" w:cs="Calibri" w:eastAsia="Calibri" w:hAnsi="Calibri"/>
          <w:color w:val="1A1526"/>
          <w:sz w:val="21"/>
          <w:szCs w:val="21"/>
        </w:rPr>
        <w:t xml:space="preserve">Extend the </w:t>
      </w:r>
      <w:r>
        <w:rPr>
          <w:rFonts w:ascii="Courier New" w:cs="Courier New" w:eastAsia="Courier New" w:hAnsi="Courier New"/>
          <w:color w:val="1A1526"/>
          <w:sz w:val="19"/>
          <w:szCs w:val="19"/>
        </w:rPr>
        <w:t xml:space="preserve">plan</w:t>
      </w:r>
      <w:r>
        <w:rPr>
          <w:rFonts w:ascii="Calibri" w:cs="Calibri" w:eastAsia="Calibri" w:hAnsi="Calibri"/>
          <w:color w:val="1A1526"/>
          <w:sz w:val="21"/>
          <w:szCs w:val="21"/>
        </w:rPr>
        <w:t xml:space="preserve"> CHECK constraint to include </w:t>
      </w:r>
      <w:r>
        <w:rPr>
          <w:rFonts w:ascii="Courier New" w:cs="Courier New" w:eastAsia="Courier New" w:hAnsi="Courier New"/>
          <w:color w:val="1A1526"/>
          <w:sz w:val="19"/>
          <w:szCs w:val="19"/>
        </w:rPr>
        <w:t xml:space="preserve">tier_1</w:t>
      </w:r>
      <w:r>
        <w:rPr>
          <w:rFonts w:ascii="Calibri" w:cs="Calibri" w:eastAsia="Calibri" w:hAnsi="Calibri"/>
          <w:color w:val="1A1526"/>
          <w:sz w:val="21"/>
          <w:szCs w:val="21"/>
        </w:rPr>
        <w:t xml:space="preserve">, </w:t>
      </w:r>
      <w:r>
        <w:rPr>
          <w:rFonts w:ascii="Courier New" w:cs="Courier New" w:eastAsia="Courier New" w:hAnsi="Courier New"/>
          <w:color w:val="1A1526"/>
          <w:sz w:val="19"/>
          <w:szCs w:val="19"/>
        </w:rPr>
        <w:t xml:space="preserve">tier_2</w:t>
      </w:r>
      <w:r>
        <w:rPr>
          <w:rFonts w:ascii="Calibri" w:cs="Calibri" w:eastAsia="Calibri" w:hAnsi="Calibri"/>
          <w:color w:val="1A1526"/>
          <w:sz w:val="21"/>
          <w:szCs w:val="21"/>
        </w:rPr>
        <w:t xml:space="preserve">, </w:t>
      </w:r>
      <w:r>
        <w:rPr>
          <w:rFonts w:ascii="Courier New" w:cs="Courier New" w:eastAsia="Courier New" w:hAnsi="Courier New"/>
          <w:color w:val="1A1526"/>
          <w:sz w:val="19"/>
          <w:szCs w:val="19"/>
        </w:rPr>
        <w:t xml:space="preserve">tier_3</w:t>
      </w:r>
      <w:r>
        <w:rPr>
          <w:rFonts w:ascii="Calibri" w:cs="Calibri" w:eastAsia="Calibri" w:hAnsi="Calibri"/>
          <w:color w:val="1A1526"/>
          <w:sz w:val="21"/>
          <w:szCs w:val="21"/>
        </w:rPr>
        <w:t xml:space="preserve">. Keep </w:t>
      </w:r>
      <w:r>
        <w:rPr>
          <w:rFonts w:ascii="Courier New" w:cs="Courier New" w:eastAsia="Courier New" w:hAnsi="Courier New"/>
          <w:color w:val="1A1526"/>
          <w:sz w:val="19"/>
          <w:szCs w:val="19"/>
        </w:rPr>
        <w:t xml:space="preserve">trial</w:t>
      </w:r>
      <w:r>
        <w:rPr>
          <w:rFonts w:ascii="Calibri" w:cs="Calibri" w:eastAsia="Calibri" w:hAnsi="Calibri"/>
          <w:color w:val="1A1526"/>
          <w:sz w:val="21"/>
          <w:szCs w:val="21"/>
        </w:rPr>
        <w:t xml:space="preserve"> and </w:t>
      </w:r>
      <w:r>
        <w:rPr>
          <w:rFonts w:ascii="Courier New" w:cs="Courier New" w:eastAsia="Courier New" w:hAnsi="Courier New"/>
          <w:color w:val="1A1526"/>
          <w:sz w:val="19"/>
          <w:szCs w:val="19"/>
        </w:rPr>
        <w:t xml:space="preserve">enterprise</w:t>
      </w:r>
      <w:r>
        <w:rPr>
          <w:rFonts w:ascii="Calibri" w:cs="Calibri" w:eastAsia="Calibri" w:hAnsi="Calibri"/>
          <w:color w:val="1A1526"/>
          <w:sz w:val="21"/>
          <w:szCs w:val="21"/>
        </w:rPr>
        <w:t xml:space="preserve">; retire </w:t>
      </w:r>
      <w:r>
        <w:rPr>
          <w:rFonts w:ascii="Courier New" w:cs="Courier New" w:eastAsia="Courier New" w:hAnsi="Courier New"/>
          <w:color w:val="1A1526"/>
          <w:sz w:val="19"/>
          <w:szCs w:val="19"/>
        </w:rPr>
        <w:t xml:space="preserve">free</w:t>
      </w:r>
      <w:r>
        <w:rPr>
          <w:rFonts w:ascii="Calibri" w:cs="Calibri" w:eastAsia="Calibri" w:hAnsi="Calibri"/>
          <w:color w:val="1A1526"/>
          <w:sz w:val="21"/>
          <w:szCs w:val="21"/>
        </w:rPr>
        <w:t xml:space="preserve"> and </w:t>
      </w:r>
      <w:r>
        <w:rPr>
          <w:rFonts w:ascii="Courier New" w:cs="Courier New" w:eastAsia="Courier New" w:hAnsi="Courier New"/>
          <w:color w:val="1A1526"/>
          <w:sz w:val="19"/>
          <w:szCs w:val="19"/>
        </w:rPr>
        <w:t xml:space="preserve">pro</w:t>
      </w:r>
      <w:r>
        <w:rPr>
          <w:rFonts w:ascii="Calibri" w:cs="Calibri" w:eastAsia="Calibri" w:hAnsi="Calibri"/>
          <w:color w:val="1A1526"/>
          <w:sz w:val="21"/>
          <w:szCs w:val="21"/>
        </w:rPr>
        <w:t xml:space="preserve"> after migration.</w:t>
      </w:r>
    </w:p>
    <w:p>
      <w:pPr>
        <w:pStyle w:val="ListParagraph"/>
        <w:numPr>
          <w:ilvl w:val="0"/>
          <w:numId w:val="2"/>
        </w:numPr>
        <w:spacing w:after="70" w:line="270"/>
      </w:pPr>
      <w:r>
        <w:rPr>
          <w:rFonts w:ascii="Calibri" w:cs="Calibri" w:eastAsia="Calibri" w:hAnsi="Calibri"/>
          <w:color w:val="1A1526"/>
          <w:sz w:val="21"/>
          <w:szCs w:val="21"/>
        </w:rPr>
        <w:t xml:space="preserve">Migration mapping: </w:t>
      </w:r>
      <w:r>
        <w:rPr>
          <w:rFonts w:ascii="Courier New" w:cs="Courier New" w:eastAsia="Courier New" w:hAnsi="Courier New"/>
          <w:color w:val="1A1526"/>
          <w:sz w:val="19"/>
          <w:szCs w:val="19"/>
        </w:rPr>
        <w:t xml:space="preserve">free → tier_1</w:t>
      </w:r>
      <w:r>
        <w:rPr>
          <w:rFonts w:ascii="Calibri" w:cs="Calibri" w:eastAsia="Calibri" w:hAnsi="Calibri"/>
          <w:color w:val="1A1526"/>
          <w:sz w:val="21"/>
          <w:szCs w:val="21"/>
        </w:rPr>
        <w:t xml:space="preserve">, </w:t>
      </w:r>
      <w:r>
        <w:rPr>
          <w:rFonts w:ascii="Courier New" w:cs="Courier New" w:eastAsia="Courier New" w:hAnsi="Courier New"/>
          <w:color w:val="1A1526"/>
          <w:sz w:val="19"/>
          <w:szCs w:val="19"/>
        </w:rPr>
        <w:t xml:space="preserve">pro → tier_2</w:t>
      </w:r>
      <w:r>
        <w:rPr>
          <w:rFonts w:ascii="Calibri" w:cs="Calibri" w:eastAsia="Calibri" w:hAnsi="Calibri"/>
          <w:color w:val="1A1526"/>
          <w:sz w:val="21"/>
          <w:szCs w:val="21"/>
        </w:rPr>
        <w:t xml:space="preserve">, </w:t>
      </w:r>
      <w:r>
        <w:rPr>
          <w:rFonts w:ascii="Courier New" w:cs="Courier New" w:eastAsia="Courier New" w:hAnsi="Courier New"/>
          <w:color w:val="1A1526"/>
          <w:sz w:val="19"/>
          <w:szCs w:val="19"/>
        </w:rPr>
        <w:t xml:space="preserve">enterprise → tier_3</w:t>
      </w:r>
      <w:r>
        <w:rPr>
          <w:rFonts w:ascii="Calibri" w:cs="Calibri" w:eastAsia="Calibri" w:hAnsi="Calibri"/>
          <w:color w:val="1A1526"/>
          <w:sz w:val="21"/>
          <w:szCs w:val="21"/>
        </w:rPr>
        <w:t xml:space="preserve">. Set </w:t>
      </w:r>
      <w:r>
        <w:rPr>
          <w:rFonts w:ascii="Courier New" w:cs="Courier New" w:eastAsia="Courier New" w:hAnsi="Courier New"/>
          <w:color w:val="1A1526"/>
          <w:sz w:val="19"/>
          <w:szCs w:val="19"/>
        </w:rPr>
        <w:t xml:space="preserve">is_grandfathered</w:t>
      </w:r>
      <w:r>
        <w:rPr>
          <w:rFonts w:ascii="Calibri" w:cs="Calibri" w:eastAsia="Calibri" w:hAnsi="Calibri"/>
          <w:color w:val="1A1526"/>
          <w:sz w:val="21"/>
          <w:szCs w:val="21"/>
        </w:rPr>
        <w:t xml:space="preserve"> on every program migrated this way so a later repricing does not silently downgrade an existing customer.</w:t>
      </w:r>
    </w:p>
    <w:p>
      <w:pPr>
        <w:pStyle w:val="ListParagraph"/>
        <w:numPr>
          <w:ilvl w:val="0"/>
          <w:numId w:val="2"/>
        </w:numPr>
        <w:spacing w:after="70" w:line="270"/>
      </w:pPr>
      <w:r>
        <w:rPr>
          <w:rFonts w:ascii="Courier New" w:cs="Courier New" w:eastAsia="Courier New" w:hAnsi="Courier New"/>
          <w:color w:val="1A1526"/>
          <w:sz w:val="19"/>
          <w:szCs w:val="19"/>
        </w:rPr>
        <w:t xml:space="preserve">trial</w:t>
      </w:r>
      <w:r>
        <w:rPr>
          <w:rFonts w:ascii="Calibri" w:cs="Calibri" w:eastAsia="Calibri" w:hAnsi="Calibri"/>
          <w:color w:val="1A1526"/>
          <w:sz w:val="21"/>
          <w:szCs w:val="21"/>
        </w:rPr>
        <w:t xml:space="preserve"> resolves to Tier III entitlements for a fixed period. Show the ceiling, then let it lapse — a trial that starts at Tier I gives a prospect no reason to upgrade.</w:t>
      </w:r>
    </w:p>
    <w:p>
      <w:pPr>
        <w:pStyle w:val="ListParagraph"/>
        <w:numPr>
          <w:ilvl w:val="0"/>
          <w:numId w:val="2"/>
        </w:numPr>
        <w:spacing w:after="70" w:line="270"/>
      </w:pPr>
      <w:r>
        <w:rPr>
          <w:rFonts w:ascii="Calibri" w:cs="Calibri" w:eastAsia="Calibri" w:hAnsi="Calibri"/>
          <w:color w:val="1A1526"/>
          <w:sz w:val="21"/>
          <w:szCs w:val="21"/>
        </w:rPr>
        <w:t xml:space="preserve">Add </w:t>
      </w:r>
      <w:r>
        <w:rPr>
          <w:rFonts w:ascii="Courier New" w:cs="Courier New" w:eastAsia="Courier New" w:hAnsi="Courier New"/>
          <w:color w:val="1A1526"/>
          <w:sz w:val="19"/>
          <w:szCs w:val="19"/>
        </w:rPr>
        <w:t xml:space="preserve">plan_features jsonb DEFAULT '{}'</w:t>
      </w:r>
      <w:r>
        <w:rPr>
          <w:rFonts w:ascii="Calibri" w:cs="Calibri" w:eastAsia="Calibri" w:hAnsi="Calibri"/>
          <w:color w:val="1A1526"/>
          <w:sz w:val="21"/>
          <w:szCs w:val="21"/>
        </w:rPr>
        <w:t xml:space="preserve"> for per-program overrides. Design partners, pilot programs and one-off concessions all need an escape hatch that does not mean inventing a fourth tier.</w:t>
      </w:r>
    </w:p>
    <w:p>
      <w:pPr>
        <w:pStyle w:val="ListParagraph"/>
        <w:numPr>
          <w:ilvl w:val="0"/>
          <w:numId w:val="2"/>
        </w:numPr>
        <w:spacing w:after="70" w:line="270"/>
      </w:pPr>
      <w:r>
        <w:rPr>
          <w:rFonts w:ascii="Calibri" w:cs="Calibri" w:eastAsia="Calibri" w:hAnsi="Calibri"/>
          <w:color w:val="1A1526"/>
          <w:sz w:val="21"/>
          <w:szCs w:val="21"/>
        </w:rPr>
        <w:t xml:space="preserve">Populate the limit columns per tier — they exist and are currently mostly null, so nothing enforces them.</w:t>
      </w:r>
    </w:p>
    <w:p>
      <w:pPr>
        <w:pStyle w:val="Heading2"/>
        <w:keepNext/>
        <w:spacing w:after="90" w:before="220"/>
      </w:pPr>
      <w:r>
        <w:rPr>
          <w:rFonts w:ascii="Calibri" w:cs="Calibri" w:eastAsia="Calibri" w:hAnsi="Calibri"/>
          <w:b/>
          <w:bCs/>
          <w:color w:val="1A1526"/>
          <w:sz w:val="24"/>
          <w:szCs w:val="24"/>
        </w:rPr>
        <w:t xml:space="preserve">8.3 Entitlement resolution</w:t>
      </w:r>
    </w:p>
    <w:p>
      <w:pPr>
        <w:spacing w:after="120" w:line="276"/>
      </w:pPr>
      <w:r>
        <w:rPr>
          <w:rFonts w:ascii="Calibri" w:cs="Calibri" w:eastAsia="Calibri" w:hAnsi="Calibri"/>
          <w:color w:val="1A1526"/>
          <w:sz w:val="21"/>
          <w:szCs w:val="21"/>
        </w:rPr>
        <w:t xml:space="preserve">One module, </w:t>
      </w:r>
      <w:r>
        <w:rPr>
          <w:rFonts w:ascii="Courier New" w:cs="Courier New" w:eastAsia="Courier New" w:hAnsi="Courier New"/>
          <w:color w:val="1A1526"/>
          <w:sz w:val="19"/>
          <w:szCs w:val="19"/>
        </w:rPr>
        <w:t xml:space="preserve">src/lib/entitlements.ts</w:t>
      </w:r>
      <w:r>
        <w:rPr>
          <w:rFonts w:ascii="Calibri" w:cs="Calibri" w:eastAsia="Calibri" w:hAnsi="Calibri"/>
          <w:color w:val="1A1526"/>
          <w:sz w:val="21"/>
          <w:szCs w:val="21"/>
        </w:rPr>
        <w:t xml:space="preserve">, is the single source of truth. It exports a </w:t>
      </w:r>
      <w:r>
        <w:rPr>
          <w:rFonts w:ascii="Courier New" w:cs="Courier New" w:eastAsia="Courier New" w:hAnsi="Courier New"/>
          <w:color w:val="1A1526"/>
          <w:sz w:val="19"/>
          <w:szCs w:val="19"/>
        </w:rPr>
        <w:t xml:space="preserve">TIER_FEATURES</w:t>
      </w:r>
      <w:r>
        <w:rPr>
          <w:rFonts w:ascii="Calibri" w:cs="Calibri" w:eastAsia="Calibri" w:hAnsi="Calibri"/>
          <w:color w:val="1A1526"/>
          <w:sz w:val="21"/>
          <w:szCs w:val="21"/>
        </w:rPr>
        <w:t xml:space="preserve"> map and a </w:t>
      </w:r>
      <w:r>
        <w:rPr>
          <w:rFonts w:ascii="Courier New" w:cs="Courier New" w:eastAsia="Courier New" w:hAnsi="Courier New"/>
          <w:color w:val="1A1526"/>
          <w:sz w:val="19"/>
          <w:szCs w:val="19"/>
        </w:rPr>
        <w:t xml:space="preserve">useEntitlements()</w:t>
      </w:r>
      <w:r>
        <w:rPr>
          <w:rFonts w:ascii="Calibri" w:cs="Calibri" w:eastAsia="Calibri" w:hAnsi="Calibri"/>
          <w:color w:val="1A1526"/>
          <w:sz w:val="21"/>
          <w:szCs w:val="21"/>
        </w:rPr>
        <w:t xml:space="preserve"> hook returning the resolved feature set for the current program: tier defaults deep-merged with </w:t>
      </w:r>
      <w:r>
        <w:rPr>
          <w:rFonts w:ascii="Courier New" w:cs="Courier New" w:eastAsia="Courier New" w:hAnsi="Courier New"/>
          <w:color w:val="1A1526"/>
          <w:sz w:val="19"/>
          <w:szCs w:val="19"/>
        </w:rPr>
        <w:t xml:space="preserve">plan_features</w:t>
      </w:r>
      <w:r>
        <w:rPr>
          <w:rFonts w:ascii="Calibri" w:cs="Calibri" w:eastAsia="Calibri" w:hAnsi="Calibri"/>
          <w:color w:val="1A1526"/>
          <w:sz w:val="21"/>
          <w:szCs w:val="21"/>
        </w:rPr>
        <w:t xml:space="preserve"> overrides.</w:t>
      </w:r>
    </w:p>
    <w:p>
      <w:pPr>
        <w:spacing w:after="120" w:line="276"/>
      </w:pPr>
      <w:r>
        <w:rPr>
          <w:rFonts w:ascii="Calibri" w:cs="Calibri" w:eastAsia="Calibri" w:hAnsi="Calibri"/>
          <w:color w:val="1A1526"/>
          <w:sz w:val="21"/>
          <w:szCs w:val="21"/>
        </w:rPr>
        <w:t xml:space="preserve">Hard rule: no component may test </w:t>
      </w:r>
      <w:r>
        <w:rPr>
          <w:rFonts w:ascii="Courier New" w:cs="Courier New" w:eastAsia="Courier New" w:hAnsi="Courier New"/>
          <w:color w:val="1A1526"/>
          <w:sz w:val="19"/>
          <w:szCs w:val="19"/>
        </w:rPr>
        <w:t xml:space="preserve">plan === 'tier_2'</w:t>
      </w:r>
      <w:r>
        <w:rPr>
          <w:rFonts w:ascii="Calibri" w:cs="Calibri" w:eastAsia="Calibri" w:hAnsi="Calibri"/>
          <w:color w:val="1A1526"/>
          <w:sz w:val="21"/>
          <w:szCs w:val="21"/>
        </w:rPr>
        <w:t xml:space="preserve"> directly. Components ask capability questions — </w:t>
      </w:r>
      <w:r>
        <w:rPr>
          <w:rFonts w:ascii="Courier New" w:cs="Courier New" w:eastAsia="Courier New" w:hAnsi="Courier New"/>
          <w:color w:val="1A1526"/>
          <w:sz w:val="19"/>
          <w:szCs w:val="19"/>
        </w:rPr>
        <w:t xml:space="preserve">can('fatigueTracker')</w:t>
      </w:r>
      <w:r>
        <w:rPr>
          <w:rFonts w:ascii="Calibri" w:cs="Calibri" w:eastAsia="Calibri" w:hAnsi="Calibri"/>
          <w:color w:val="1A1526"/>
          <w:sz w:val="21"/>
          <w:szCs w:val="21"/>
        </w:rPr>
        <w:t xml:space="preserve">, </w:t>
      </w:r>
      <w:r>
        <w:rPr>
          <w:rFonts w:ascii="Courier New" w:cs="Courier New" w:eastAsia="Courier New" w:hAnsi="Courier New"/>
          <w:color w:val="1A1526"/>
          <w:sz w:val="19"/>
          <w:szCs w:val="19"/>
        </w:rPr>
        <w:t xml:space="preserve">can('csvExport')</w:t>
      </w:r>
      <w:r>
        <w:rPr>
          <w:rFonts w:ascii="Calibri" w:cs="Calibri" w:eastAsia="Calibri" w:hAnsi="Calibri"/>
          <w:color w:val="1A1526"/>
          <w:sz w:val="21"/>
          <w:szCs w:val="21"/>
        </w:rPr>
        <w:t xml:space="preserve">, </w:t>
      </w:r>
      <w:r>
        <w:rPr>
          <w:rFonts w:ascii="Courier New" w:cs="Courier New" w:eastAsia="Courier New" w:hAnsi="Courier New"/>
          <w:color w:val="1A1526"/>
          <w:sz w:val="19"/>
          <w:szCs w:val="19"/>
        </w:rPr>
        <w:t xml:space="preserve">modes()</w:t>
      </w:r>
      <w:r>
        <w:rPr>
          <w:rFonts w:ascii="Calibri" w:cs="Calibri" w:eastAsia="Calibri" w:hAnsi="Calibri"/>
          <w:color w:val="1A1526"/>
          <w:sz w:val="21"/>
          <w:szCs w:val="21"/>
        </w:rPr>
        <w:t xml:space="preserve"> — so the tier definitions change in one file. Scattered plan-string comparisons across a 400 KB dashboard is the failure mode to design against from day one.</w:t>
      </w:r>
    </w:p>
    <w:p>
      <w:pPr>
        <w:pStyle w:val="Heading2"/>
        <w:keepNext/>
        <w:spacing w:after="90" w:before="220"/>
      </w:pPr>
      <w:r>
        <w:rPr>
          <w:rFonts w:ascii="Calibri" w:cs="Calibri" w:eastAsia="Calibri" w:hAnsi="Calibri"/>
          <w:b/>
          <w:bCs/>
          <w:color w:val="1A1526"/>
          <w:sz w:val="24"/>
          <w:szCs w:val="24"/>
        </w:rPr>
        <w:t xml:space="preserve">8.4 Server-side enforcement</w:t>
      </w:r>
    </w:p>
    <w:tbl>
      <w:tblPr>
        <w:tblW w:type="dxa" w:w="9360"/>
        <w:tblBorders>
          <w:top w:val="single" w:color="FFF6E6" w:sz="2"/>
          <w:left w:val="single" w:color="9A6B00" w:sz="24"/>
          <w:bottom w:val="single" w:color="FFF6E6" w:sz="2"/>
          <w:right w:val="single" w:color="FFF6E6" w:sz="2"/>
          <w:insideH w:val="none"/>
          <w:insideV w:val="none"/>
        </w:tblBorders>
      </w:tblPr>
      <w:tblGrid>
        <w:gridCol w:w="9360"/>
      </w:tblGrid>
      <w:tr>
        <w:trPr>
          <w:cantSplit/>
        </w:trPr>
        <w:tc>
          <w:tcPr>
            <w:tcW w:type="dxa" w:w="9360"/>
            <w:shd w:fill="FFF6E6" w:color="auto" w:val="clear"/>
            <w:tcMar>
              <w:top w:type="dxa" w:w="120"/>
              <w:left w:type="dxa" w:w="180"/>
              <w:bottom w:type="dxa" w:w="120"/>
              <w:right w:type="dxa" w:w="180"/>
            </w:tcMar>
          </w:tcPr>
          <w:p>
            <w:pPr>
              <w:spacing w:after="40"/>
            </w:pPr>
            <w:r>
              <w:rPr>
                <w:rFonts w:ascii="Calibri" w:cs="Calibri" w:eastAsia="Calibri" w:hAnsi="Calibri"/>
                <w:b/>
                <w:bCs/>
                <w:color w:val="9A6B00"/>
                <w:sz w:val="20"/>
                <w:szCs w:val="20"/>
              </w:rPr>
              <w:t xml:space="preserve">Security finding</w:t>
            </w:r>
          </w:p>
          <w:p>
            <w:pPr>
              <w:spacing w:after="60" w:line="264"/>
            </w:pPr>
            <w:r>
              <w:rPr>
                <w:rFonts w:ascii="Calibri" w:cs="Calibri" w:eastAsia="Calibri" w:hAnsi="Calibri"/>
                <w:color w:val="1A1526"/>
                <w:sz w:val="20"/>
                <w:szCs w:val="20"/>
              </w:rPr>
              <w:t xml:space="preserve">The client authenticates with the Supabase anon key and relies on RLS. Any data a Tier I program's session can read from the browser is readable by that program directly, whatever the React UI chooses to render. Hiding the fatigue slope behind a conditional does not withhold it.</w:t>
            </w:r>
          </w:p>
          <w:p>
            <w:pPr>
              <w:spacing w:after="0" w:line="264"/>
            </w:pPr>
            <w:r>
              <w:rPr>
                <w:rFonts w:ascii="Calibri" w:cs="Calibri" w:eastAsia="Calibri" w:hAnsi="Calibri"/>
                <w:color w:val="1A1526"/>
                <w:sz w:val="20"/>
                <w:szCs w:val="20"/>
              </w:rPr>
              <w:t xml:space="preserve">This matters concretely: si_fatigue_slope, si_trend and reaction_fatigue_delta_ms are already stored in the session_summaries quality JSON for every session on every plan. A Tier I customer can query them today.</w:t>
            </w:r>
          </w:p>
        </w:tc>
      </w:tr>
    </w:tbl>
    <w:p>
      <w:pPr>
        <w:spacing w:after="200"/>
      </w:pPr>
      <w:r>
        <w:rPr>
          <w:sz w:val="2"/>
          <w:szCs w:val="2"/>
        </w:rPr>
        <w:t xml:space="preserve"/>
      </w:r>
    </w:p>
    <w:p>
      <w:pPr>
        <w:spacing w:after="120" w:line="276"/>
      </w:pPr>
      <w:r>
        <w:rPr>
          <w:rFonts w:ascii="Calibri" w:cs="Calibri" w:eastAsia="Calibri" w:hAnsi="Calibri"/>
          <w:color w:val="1A1526"/>
          <w:sz w:val="21"/>
          <w:szCs w:val="21"/>
        </w:rPr>
        <w:t xml:space="preserve">Recommended approach, in order of preference:</w:t>
      </w:r>
    </w:p>
    <w:p>
      <w:pPr>
        <w:pStyle w:val="ListParagraph"/>
        <w:numPr>
          <w:ilvl w:val="0"/>
          <w:numId w:val="2"/>
        </w:numPr>
        <w:spacing w:after="70" w:line="270"/>
      </w:pPr>
      <w:r>
        <w:rPr>
          <w:rFonts w:ascii="Calibri" w:cs="Calibri" w:eastAsia="Calibri" w:hAnsi="Calibri"/>
          <w:b/>
          <w:bCs/>
          <w:color w:val="1A1526"/>
          <w:sz w:val="21"/>
          <w:szCs w:val="21"/>
        </w:rPr>
        <w:t xml:space="preserve">Move derivation server-side. </w:t>
      </w:r>
      <w:r>
        <w:rPr>
          <w:rFonts w:ascii="Calibri" w:cs="Calibri" w:eastAsia="Calibri" w:hAnsi="Calibri"/>
          <w:color w:val="1A1526"/>
          <w:sz w:val="21"/>
          <w:szCs w:val="21"/>
        </w:rPr>
        <w:t xml:space="preserve">The Tier III features — AI analysis cards and the fatigue tracker — should be computed by a Postgres function or edge function that checks the program's tier before returning anything, rather than in dashboard.tsx from client-readable rows. This is the only approach that genuinely withholds the insight, and it has the side benefit of making the rules engine testable in isolation.</w:t>
      </w:r>
    </w:p>
    <w:p>
      <w:pPr>
        <w:pStyle w:val="ListParagraph"/>
        <w:numPr>
          <w:ilvl w:val="0"/>
          <w:numId w:val="2"/>
        </w:numPr>
        <w:spacing w:after="70" w:line="270"/>
      </w:pPr>
      <w:r>
        <w:rPr>
          <w:rFonts w:ascii="Calibri" w:cs="Calibri" w:eastAsia="Calibri" w:hAnsi="Calibri"/>
          <w:b/>
          <w:bCs/>
          <w:color w:val="1A1526"/>
          <w:sz w:val="21"/>
          <w:szCs w:val="21"/>
        </w:rPr>
        <w:t xml:space="preserve">Tier-scoped read surfaces. </w:t>
      </w:r>
      <w:r>
        <w:rPr>
          <w:rFonts w:ascii="Calibri" w:cs="Calibri" w:eastAsia="Calibri" w:hAnsi="Calibri"/>
          <w:color w:val="1A1526"/>
          <w:sz w:val="21"/>
          <w:szCs w:val="21"/>
        </w:rPr>
        <w:t xml:space="preserve">PostgreSQL RLS is row-level, not column-level, so gating individual fields needs either SECURITY DEFINER views or an RPC that projects only the tier-permitted columns. Prefer a small number of purpose-built RPCs (get_leaderboard, get_athlete_analysis, get_insights) over exposing tables and filtering client-side.</w:t>
      </w:r>
    </w:p>
    <w:p>
      <w:pPr>
        <w:pStyle w:val="ListParagraph"/>
        <w:numPr>
          <w:ilvl w:val="0"/>
          <w:numId w:val="2"/>
        </w:numPr>
        <w:spacing w:after="70" w:line="270"/>
      </w:pPr>
      <w:r>
        <w:rPr>
          <w:rFonts w:ascii="Calibri" w:cs="Calibri" w:eastAsia="Calibri" w:hAnsi="Calibri"/>
          <w:b/>
          <w:bCs/>
          <w:color w:val="1A1526"/>
          <w:sz w:val="21"/>
          <w:szCs w:val="21"/>
        </w:rPr>
        <w:t xml:space="preserve">Enforce mode entitlement at write time. </w:t>
      </w:r>
      <w:r>
        <w:rPr>
          <w:rFonts w:ascii="Calibri" w:cs="Calibri" w:eastAsia="Calibri" w:hAnsi="Calibri"/>
          <w:color w:val="1A1526"/>
          <w:sz w:val="21"/>
          <w:szCs w:val="21"/>
        </w:rPr>
        <w:t xml:space="preserve">A session insert whose mode is not in the program's entitled set should be rejected by a policy or trigger, not merely hidden in the mode rolodex. Otherwise a modified client records Target sessions on Tier I.</w:t>
      </w:r>
    </w:p>
    <w:p>
      <w:pPr>
        <w:pStyle w:val="ListParagraph"/>
        <w:numPr>
          <w:ilvl w:val="0"/>
          <w:numId w:val="2"/>
        </w:numPr>
        <w:spacing w:after="70" w:line="270"/>
      </w:pPr>
      <w:r>
        <w:rPr>
          <w:rFonts w:ascii="Calibri" w:cs="Calibri" w:eastAsia="Calibri" w:hAnsi="Calibri"/>
          <w:b/>
          <w:bCs/>
          <w:color w:val="1A1526"/>
          <w:sz w:val="21"/>
          <w:szCs w:val="21"/>
        </w:rPr>
        <w:t xml:space="preserve">Generate exports server-side. </w:t>
      </w:r>
      <w:r>
        <w:rPr>
          <w:rFonts w:ascii="Calibri" w:cs="Calibri" w:eastAsia="Calibri" w:hAnsi="Calibri"/>
          <w:color w:val="1A1526"/>
          <w:sz w:val="21"/>
          <w:szCs w:val="21"/>
        </w:rPr>
        <w:t xml:space="preserve">The CSV must be assembled by a tier-checked function, not built in the browser from rows the client already holds — otherwise the export gate is as cosmetic as a hidden panel, and Tier II's 90-day cap is trivially bypassed.</w:t>
      </w:r>
    </w:p>
    <w:p>
      <w:pPr>
        <w:pStyle w:val="ListParagraph"/>
        <w:numPr>
          <w:ilvl w:val="0"/>
          <w:numId w:val="2"/>
        </w:numPr>
        <w:spacing w:after="70" w:line="270"/>
      </w:pPr>
      <w:r>
        <w:rPr>
          <w:rFonts w:ascii="Calibri" w:cs="Calibri" w:eastAsia="Calibri" w:hAnsi="Calibri"/>
          <w:b/>
          <w:bCs/>
          <w:color w:val="1A1526"/>
          <w:sz w:val="21"/>
          <w:szCs w:val="21"/>
        </w:rPr>
        <w:t xml:space="preserve">A tier helper for policies. </w:t>
      </w:r>
      <w:r>
        <w:rPr>
          <w:rFonts w:ascii="Calibri" w:cs="Calibri" w:eastAsia="Calibri" w:hAnsi="Calibri"/>
          <w:color w:val="1A1526"/>
          <w:sz w:val="21"/>
          <w:szCs w:val="21"/>
        </w:rPr>
        <w:t xml:space="preserve">A </w:t>
      </w:r>
      <w:r>
        <w:rPr>
          <w:rFonts w:ascii="Courier New" w:cs="Courier New" w:eastAsia="Courier New" w:hAnsi="Courier New"/>
          <w:color w:val="1A1526"/>
          <w:sz w:val="19"/>
          <w:szCs w:val="19"/>
        </w:rPr>
        <w:t xml:space="preserve">program_tier(program_id)</w:t>
      </w:r>
      <w:r>
        <w:rPr>
          <w:rFonts w:ascii="Calibri" w:cs="Calibri" w:eastAsia="Calibri" w:hAnsi="Calibri"/>
          <w:color w:val="1A1526"/>
          <w:sz w:val="21"/>
          <w:szCs w:val="21"/>
        </w:rPr>
        <w:t xml:space="preserve"> SQL function keeps policy predicates readable and gives one place to change resolution logic.</w:t>
      </w:r>
    </w:p>
    <w:p>
      <w:pPr>
        <w:pStyle w:val="ListParagraph"/>
        <w:numPr>
          <w:ilvl w:val="0"/>
          <w:numId w:val="2"/>
        </w:numPr>
        <w:spacing w:after="70" w:line="270"/>
      </w:pPr>
      <w:r>
        <w:rPr>
          <w:rFonts w:ascii="Calibri" w:cs="Calibri" w:eastAsia="Calibri" w:hAnsi="Calibri"/>
          <w:b/>
          <w:bCs/>
          <w:color w:val="1A1526"/>
          <w:sz w:val="21"/>
          <w:szCs w:val="21"/>
        </w:rPr>
        <w:t xml:space="preserve">Enforce the numeric limits. </w:t>
      </w:r>
      <w:r>
        <w:rPr>
          <w:rFonts w:ascii="Calibri" w:cs="Calibri" w:eastAsia="Calibri" w:hAnsi="Calibri"/>
          <w:color w:val="1A1526"/>
          <w:sz w:val="21"/>
          <w:szCs w:val="21"/>
        </w:rPr>
        <w:t xml:space="preserve">max_athletes, max_devices and max_sessions_per_month need insert-time triggers. Today they are advisory display only.</w:t>
      </w:r>
    </w:p>
    <w:p>
      <w:pPr>
        <w:pStyle w:val="Heading2"/>
        <w:keepNext/>
        <w:spacing w:after="90" w:before="220"/>
      </w:pPr>
      <w:r>
        <w:rPr>
          <w:rFonts w:ascii="Calibri" w:cs="Calibri" w:eastAsia="Calibri" w:hAnsi="Calibri"/>
          <w:b/>
          <w:bCs/>
          <w:color w:val="1A1526"/>
          <w:sz w:val="24"/>
          <w:szCs w:val="24"/>
        </w:rPr>
        <w:t xml:space="preserve">8.5 Client behaviour for locked features</w:t>
      </w:r>
    </w:p>
    <w:p>
      <w:pPr>
        <w:pStyle w:val="ListParagraph"/>
        <w:numPr>
          <w:ilvl w:val="0"/>
          <w:numId w:val="2"/>
        </w:numPr>
        <w:spacing w:after="70" w:line="270"/>
      </w:pPr>
      <w:r>
        <w:rPr>
          <w:rFonts w:ascii="Calibri" w:cs="Calibri" w:eastAsia="Calibri" w:hAnsi="Calibri"/>
          <w:color w:val="1A1526"/>
          <w:sz w:val="21"/>
          <w:szCs w:val="21"/>
        </w:rPr>
        <w:t xml:space="preserve">Locked features are visible but disabled, not absent. A Tier I coach should be able to see that a fatigue tracker exists — invisible features cannot be upsold.</w:t>
      </w:r>
    </w:p>
    <w:p>
      <w:pPr>
        <w:pStyle w:val="ListParagraph"/>
        <w:numPr>
          <w:ilvl w:val="0"/>
          <w:numId w:val="2"/>
        </w:numPr>
        <w:spacing w:after="70" w:line="270"/>
      </w:pPr>
      <w:r>
        <w:rPr>
          <w:rFonts w:ascii="Calibri" w:cs="Calibri" w:eastAsia="Calibri" w:hAnsi="Calibri"/>
          <w:color w:val="1A1526"/>
          <w:sz w:val="21"/>
          <w:szCs w:val="21"/>
        </w:rPr>
        <w:t xml:space="preserve">Locked panels render as a preview state with representative sample data, clearly labelled as sample, plus a one-line statement of what the feature would tell them about their own athletes.</w:t>
      </w:r>
    </w:p>
    <w:p>
      <w:pPr>
        <w:pStyle w:val="ListParagraph"/>
        <w:numPr>
          <w:ilvl w:val="0"/>
          <w:numId w:val="2"/>
        </w:numPr>
        <w:spacing w:after="70" w:line="270"/>
      </w:pPr>
      <w:r>
        <w:rPr>
          <w:rFonts w:ascii="Calibri" w:cs="Calibri" w:eastAsia="Calibri" w:hAnsi="Calibri"/>
          <w:color w:val="1A1526"/>
          <w:sz w:val="21"/>
          <w:szCs w:val="21"/>
        </w:rPr>
        <w:t xml:space="preserve">Locked modes stay in the mode rolodex with a lock badge, preserving the sense of the full product.</w:t>
      </w:r>
    </w:p>
    <w:p>
      <w:pPr>
        <w:pStyle w:val="ListParagraph"/>
        <w:numPr>
          <w:ilvl w:val="0"/>
          <w:numId w:val="2"/>
        </w:numPr>
        <w:spacing w:after="70" w:line="270"/>
      </w:pPr>
      <w:r>
        <w:rPr>
          <w:rFonts w:ascii="Calibri" w:cs="Calibri" w:eastAsia="Calibri" w:hAnsi="Calibri"/>
          <w:color w:val="1A1526"/>
          <w:sz w:val="21"/>
          <w:szCs w:val="21"/>
        </w:rPr>
        <w:t xml:space="preserve">Every locked surface carries a single upgrade affordance naming the tier required, so the path from curiosity to conversion is one click.</w:t>
      </w:r>
    </w:p>
    <w:p>
      <w:pPr>
        <w:pStyle w:val="ListParagraph"/>
        <w:numPr>
          <w:ilvl w:val="0"/>
          <w:numId w:val="2"/>
        </w:numPr>
        <w:spacing w:after="70" w:line="270"/>
      </w:pPr>
      <w:r>
        <w:rPr>
          <w:rFonts w:ascii="Calibri" w:cs="Calibri" w:eastAsia="Calibri" w:hAnsi="Calibri"/>
          <w:color w:val="1A1526"/>
          <w:sz w:val="21"/>
          <w:szCs w:val="21"/>
        </w:rPr>
        <w:t xml:space="preserve">Downgrade must be non-destructive: data captured at a higher tier is retained and simply not displayed, so re-upgrading restores history rather than starting over. Both a customer-trust and a support-load consideration.</w:t>
      </w:r>
    </w:p>
    <w:p>
      <w:pPr>
        <w:pStyle w:val="Heading1"/>
        <w:keepNext/>
        <w:spacing w:after="140" w:before="320"/>
      </w:pPr>
      <w:r>
        <w:rPr>
          <w:rFonts w:ascii="Calibri" w:cs="Calibri" w:eastAsia="Calibri" w:hAnsi="Calibri"/>
          <w:b/>
          <w:bCs/>
          <w:color w:val="6A00A8"/>
          <w:sz w:val="30"/>
          <w:szCs w:val="30"/>
        </w:rPr>
        <w:t xml:space="preserve">9. Program limits by tier</w:t>
      </w:r>
    </w:p>
    <w:p>
      <w:pPr>
        <w:spacing w:after="120" w:line="276"/>
      </w:pPr>
      <w:r>
        <w:rPr>
          <w:rFonts w:ascii="Calibri" w:cs="Calibri" w:eastAsia="Calibri" w:hAnsi="Calibri"/>
          <w:i/>
          <w:iCs/>
          <w:color w:val="5A5568"/>
          <w:sz w:val="21"/>
          <w:szCs w:val="21"/>
        </w:rPr>
        <w:t xml:space="preserve">Values to populate the existing limit columns.</w:t>
      </w:r>
    </w:p>
    <w:p>
      <w:pPr>
        <w:spacing w:after="80"/>
      </w:pPr>
      <w:r>
        <w:rPr>
          <w:sz w:val="2"/>
          <w:szCs w:val="2"/>
        </w:rPr>
        <w:t xml:space="preserve"/>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3360"/>
        <w:gridCol w:w="2000"/>
        <w:gridCol w:w="2000"/>
        <w:gridCol w:w="2000"/>
      </w:tblGrid>
      <w:tr>
        <w:trPr>
          <w:cantSplit/>
          <w:tblHeader/>
        </w:trPr>
        <w:tc>
          <w:tcPr>
            <w:tcW w:type="dxa" w:w="336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Limit column</w:t>
            </w:r>
          </w:p>
        </w:tc>
        <w:tc>
          <w:tcPr>
            <w:tcW w:type="dxa" w:w="20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Tier I</w:t>
            </w:r>
          </w:p>
        </w:tc>
        <w:tc>
          <w:tcPr>
            <w:tcW w:type="dxa" w:w="20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Tier II</w:t>
            </w:r>
          </w:p>
        </w:tc>
        <w:tc>
          <w:tcPr>
            <w:tcW w:type="dxa" w:w="20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Tier III</w:t>
            </w:r>
          </w:p>
        </w:tc>
      </w:tr>
      <w:tr>
        <w:trPr>
          <w:cantSplit/>
          <w:tblHeader w:val="false"/>
        </w:trPr>
        <w:tc>
          <w:tcPr>
            <w:tcW w:type="dxa" w:w="3360"/>
            <w:shd w:fill="F7F3FB" w:color="auto" w:val="clear"/>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max_athletes</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50</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150</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Unlimited</w:t>
            </w:r>
          </w:p>
        </w:tc>
      </w:tr>
      <w:tr>
        <w:trPr>
          <w:cantSplit/>
          <w:tblHeader w:val="false"/>
        </w:trPr>
        <w:tc>
          <w:tcPr>
            <w:tcW w:type="dxa" w:w="3360"/>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max_coaches</w:t>
            </w:r>
          </w:p>
        </w:tc>
        <w:tc>
          <w:tcPr>
            <w:tcW w:type="dxa" w:w="2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1</w:t>
            </w:r>
          </w:p>
        </w:tc>
        <w:tc>
          <w:tcPr>
            <w:tcW w:type="dxa" w:w="2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5</w:t>
            </w:r>
          </w:p>
        </w:tc>
        <w:tc>
          <w:tcPr>
            <w:tcW w:type="dxa" w:w="2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Unlimited</w:t>
            </w:r>
          </w:p>
        </w:tc>
      </w:tr>
      <w:tr>
        <w:trPr>
          <w:cantSplit/>
          <w:tblHeader w:val="false"/>
        </w:trPr>
        <w:tc>
          <w:tcPr>
            <w:tcW w:type="dxa" w:w="3360"/>
            <w:shd w:fill="F7F3FB" w:color="auto" w:val="clear"/>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max_devices</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1</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3</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Unlimited</w:t>
            </w:r>
          </w:p>
        </w:tc>
      </w:tr>
      <w:tr>
        <w:trPr>
          <w:cantSplit/>
          <w:tblHeader w:val="false"/>
        </w:trPr>
        <w:tc>
          <w:tcPr>
            <w:tcW w:type="dxa" w:w="3360"/>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max_sessions_per_month</w:t>
            </w:r>
          </w:p>
        </w:tc>
        <w:tc>
          <w:tcPr>
            <w:tcW w:type="dxa" w:w="2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50</w:t>
            </w:r>
          </w:p>
        </w:tc>
        <w:tc>
          <w:tcPr>
            <w:tcW w:type="dxa" w:w="2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500</w:t>
            </w:r>
          </w:p>
        </w:tc>
        <w:tc>
          <w:tcPr>
            <w:tcW w:type="dxa" w:w="2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Unlimited</w:t>
            </w:r>
          </w:p>
        </w:tc>
      </w:tr>
      <w:tr>
        <w:trPr>
          <w:cantSplit/>
          <w:tblHeader w:val="false"/>
        </w:trPr>
        <w:tc>
          <w:tcPr>
            <w:tcW w:type="dxa" w:w="3360"/>
            <w:shd w:fill="F7F3FB" w:color="auto" w:val="clear"/>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Teams</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1</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4</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Unlimited</w:t>
            </w:r>
          </w:p>
        </w:tc>
      </w:tr>
      <w:tr>
        <w:trPr>
          <w:cantSplit/>
          <w:tblHeader w:val="false"/>
        </w:trPr>
        <w:tc>
          <w:tcPr>
            <w:tcW w:type="dxa" w:w="3360"/>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History window</w:t>
            </w:r>
          </w:p>
        </w:tc>
        <w:tc>
          <w:tcPr>
            <w:tcW w:type="dxa" w:w="2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30 days</w:t>
            </w:r>
          </w:p>
        </w:tc>
        <w:tc>
          <w:tcPr>
            <w:tcW w:type="dxa" w:w="2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90 days</w:t>
            </w:r>
          </w:p>
        </w:tc>
        <w:tc>
          <w:tcPr>
            <w:tcW w:type="dxa" w:w="2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Unlimited</w:t>
            </w:r>
          </w:p>
        </w:tc>
      </w:tr>
      <w:tr>
        <w:trPr>
          <w:cantSplit/>
          <w:tblHeader w:val="false"/>
        </w:trPr>
        <w:tc>
          <w:tcPr>
            <w:tcW w:type="dxa" w:w="3360"/>
            <w:shd w:fill="F7F3FB" w:color="auto" w:val="clear"/>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Session-summary CSV export</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360"/>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Raw session export</w:t>
            </w:r>
          </w:p>
        </w:tc>
        <w:tc>
          <w:tcPr>
            <w:tcW w:type="dxa" w:w="2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r>
        <w:trPr>
          <w:cantSplit/>
          <w:tblHeader w:val="false"/>
        </w:trPr>
        <w:tc>
          <w:tcPr>
            <w:tcW w:type="dxa" w:w="3360"/>
            <w:shd w:fill="F7F3FB" w:color="auto" w:val="clear"/>
            <w:tcMar>
              <w:top w:type="dxa" w:w="60"/>
              <w:left w:type="dxa" w:w="110"/>
              <w:bottom w:type="dxa" w:w="60"/>
              <w:right w:type="dxa" w:w="110"/>
            </w:tcMar>
          </w:tcPr>
          <w:p>
            <w:pPr>
              <w:spacing w:after="0" w:line="250"/>
            </w:pPr>
            <w:r>
              <w:rPr>
                <w:rFonts w:ascii="Calibri" w:cs="Calibri" w:eastAsia="Calibri" w:hAnsi="Calibri"/>
                <w:b/>
                <w:bCs/>
                <w:color w:val="1A1526"/>
                <w:sz w:val="19"/>
                <w:szCs w:val="19"/>
              </w:rPr>
              <w:t xml:space="preserve">API keys</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t>
            </w:r>
          </w:p>
        </w:tc>
        <w:tc>
          <w:tcPr>
            <w:tcW w:type="dxa" w:w="2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Yes</w:t>
            </w:r>
          </w:p>
        </w:tc>
      </w:tr>
    </w:tbl>
    <w:p>
      <w:pPr>
        <w:spacing w:after="200"/>
      </w:pPr>
      <w:r>
        <w:rPr>
          <w:sz w:val="2"/>
          <w:szCs w:val="2"/>
        </w:rPr>
        <w:t xml:space="preserve"/>
      </w:r>
    </w:p>
    <w:p>
      <w:pPr>
        <w:spacing w:after="120" w:line="276"/>
      </w:pPr>
      <w:r>
        <w:rPr>
          <w:rFonts w:ascii="Calibri" w:cs="Calibri" w:eastAsia="Calibri" w:hAnsi="Calibri"/>
          <w:color w:val="1A1526"/>
          <w:sz w:val="21"/>
          <w:szCs w:val="21"/>
        </w:rPr>
        <w:t xml:space="preserve">Unlimited is represented as </w:t>
      </w:r>
      <w:r>
        <w:rPr>
          <w:rFonts w:ascii="Courier New" w:cs="Courier New" w:eastAsia="Courier New" w:hAnsi="Courier New"/>
          <w:color w:val="1A1526"/>
          <w:sz w:val="19"/>
          <w:szCs w:val="19"/>
        </w:rPr>
        <w:t xml:space="preserve">NULL</w:t>
      </w:r>
      <w:r>
        <w:rPr>
          <w:rFonts w:ascii="Calibri" w:cs="Calibri" w:eastAsia="Calibri" w:hAnsi="Calibri"/>
          <w:color w:val="1A1526"/>
          <w:sz w:val="21"/>
          <w:szCs w:val="21"/>
        </w:rPr>
        <w:t xml:space="preserve">, matching how the admin view already treats these columns.</w:t>
      </w:r>
    </w:p>
    <w:p>
      <w:pPr>
        <w:spacing w:after="60"/>
      </w:pPr>
      <w:r>
        <w:rPr>
          <w:sz w:val="2"/>
          <w:szCs w:val="2"/>
        </w:rPr>
        <w:t xml:space="preserve"/>
      </w:r>
    </w:p>
    <w:tbl>
      <w:tblPr>
        <w:tblW w:type="dxa" w:w="9360"/>
        <w:tblBorders>
          <w:top w:val="single" w:color="F3E6FB" w:sz="2"/>
          <w:left w:val="single" w:color="6A00A8" w:sz="24"/>
          <w:bottom w:val="single" w:color="F3E6FB" w:sz="2"/>
          <w:right w:val="single" w:color="F3E6FB" w:sz="2"/>
          <w:insideH w:val="none"/>
          <w:insideV w:val="none"/>
        </w:tblBorders>
      </w:tblPr>
      <w:tblGrid>
        <w:gridCol w:w="9360"/>
      </w:tblGrid>
      <w:tr>
        <w:trPr>
          <w:cantSplit/>
        </w:trPr>
        <w:tc>
          <w:tcPr>
            <w:tcW w:type="dxa" w:w="9360"/>
            <w:shd w:fill="F3E6FB" w:color="auto" w:val="clear"/>
            <w:tcMar>
              <w:top w:type="dxa" w:w="120"/>
              <w:left w:type="dxa" w:w="180"/>
              <w:bottom w:type="dxa" w:w="120"/>
              <w:right w:type="dxa" w:w="180"/>
            </w:tcMar>
          </w:tcPr>
          <w:p>
            <w:pPr>
              <w:spacing w:after="40"/>
            </w:pPr>
            <w:r>
              <w:rPr>
                <w:rFonts w:ascii="Calibri" w:cs="Calibri" w:eastAsia="Calibri" w:hAnsi="Calibri"/>
                <w:b/>
                <w:bCs/>
                <w:color w:val="6A00A8"/>
                <w:sz w:val="20"/>
                <w:szCs w:val="20"/>
              </w:rPr>
              <w:t xml:space="preserve">Worth a second look — the ratios</w:t>
            </w:r>
          </w:p>
          <w:p>
            <w:pPr>
              <w:spacing w:after="60" w:line="264"/>
            </w:pPr>
            <w:r>
              <w:rPr>
                <w:rFonts w:ascii="Calibri" w:cs="Calibri" w:eastAsia="Calibri" w:hAnsi="Calibri"/>
                <w:color w:val="1A1526"/>
                <w:sz w:val="20"/>
                <w:szCs w:val="20"/>
              </w:rPr>
              <w:t xml:space="preserve">The athlete caps above are the agreed numbers. The surrounding caps have not been re-derived against them, and the ratios now look thin: 50 athletes against 1 coach and 1 device at Tier I, and 150 athletes against 3 devices at Tier II.</w:t>
            </w:r>
          </w:p>
          <w:p>
            <w:pPr>
              <w:spacing w:after="60" w:line="264"/>
            </w:pPr>
            <w:r>
              <w:rPr>
                <w:rFonts w:ascii="Calibri" w:cs="Calibri" w:eastAsia="Calibri" w:hAnsi="Calibri"/>
                <w:color w:val="1A1526"/>
                <w:sz w:val="20"/>
                <w:szCs w:val="20"/>
              </w:rPr>
              <w:t xml:space="preserve">Two consequences to weigh. Coach seats: a 50-athlete program almost certainly has more than one person who needs a login, and if the cap forces credential-sharing we lose the per-coach attribution the schema is built to record. Session throughput: 50 athletes sharing one device against a 50-session monthly cap works out to one session per athlete per month, which is thinner than a program of that size will accept.</w:t>
            </w:r>
          </w:p>
          <w:p>
            <w:pPr>
              <w:spacing w:after="0" w:line="264"/>
            </w:pPr>
            <w:r>
              <w:rPr>
                <w:rFonts w:ascii="Calibri" w:cs="Calibri" w:eastAsia="Calibri" w:hAnsi="Calibri"/>
                <w:color w:val="1A1526"/>
                <w:sz w:val="20"/>
                <w:szCs w:val="20"/>
              </w:rPr>
              <w:t xml:space="preserve">Recommendation: raise Tier I to 2 coaches and Tier II to 8, and revisit max_sessions_per_month against realistic training frequency rather than leaving it at the pre-existing figure. Flagged rather than changed — these are your commercial levers, not mine.</w:t>
            </w:r>
          </w:p>
        </w:tc>
      </w:tr>
    </w:tbl>
    <w:p>
      <w:pPr>
        <w:pStyle w:val="Heading1"/>
        <w:keepNext/>
        <w:spacing w:after="140" w:before="320"/>
      </w:pPr>
      <w:r>
        <w:rPr>
          <w:rFonts w:ascii="Calibri" w:cs="Calibri" w:eastAsia="Calibri" w:hAnsi="Calibri"/>
          <w:b/>
          <w:bCs/>
          <w:color w:val="6A00A8"/>
          <w:sz w:val="30"/>
          <w:szCs w:val="30"/>
        </w:rPr>
        <w:t xml:space="preserve">10. Build sequence</w:t>
      </w:r>
    </w:p>
    <w:p>
      <w:pPr>
        <w:spacing w:after="120" w:line="276"/>
      </w:pPr>
      <w:r>
        <w:rPr>
          <w:rFonts w:ascii="Calibri" w:cs="Calibri" w:eastAsia="Calibri" w:hAnsi="Calibri"/>
          <w:color w:val="1A1526"/>
          <w:sz w:val="21"/>
          <w:szCs w:val="21"/>
        </w:rPr>
        <w:t xml:space="preserve">Ordered so that each phase is shippable and nothing is built twice.</w:t>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620"/>
        <w:gridCol w:w="3140"/>
        <w:gridCol w:w="5600"/>
      </w:tblGrid>
      <w:tr>
        <w:trPr>
          <w:cantSplit/>
          <w:tblHeader/>
        </w:trPr>
        <w:tc>
          <w:tcPr>
            <w:tcW w:type="dxa" w:w="62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t>
            </w:r>
          </w:p>
        </w:tc>
        <w:tc>
          <w:tcPr>
            <w:tcW w:type="dxa" w:w="314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Phase</w:t>
            </w:r>
          </w:p>
        </w:tc>
        <w:tc>
          <w:tcPr>
            <w:tcW w:type="dxa" w:w="56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Contents</w:t>
            </w:r>
          </w:p>
        </w:tc>
      </w:tr>
      <w:tr>
        <w:trPr>
          <w:cantSplit/>
          <w:tblHeader w:val="false"/>
        </w:trPr>
        <w:tc>
          <w:tcPr>
            <w:tcW w:type="dxa" w:w="62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1</w:t>
            </w:r>
          </w:p>
        </w:tc>
        <w:tc>
          <w:tcPr>
            <w:tcW w:type="dxa" w:w="314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Entitlement foundation</w:t>
            </w:r>
          </w:p>
        </w:tc>
        <w:tc>
          <w:tcPr>
            <w:tcW w:type="dxa" w:w="56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Schema migration, plan_features column, entitlements.ts, useEntitlements(), program_tier() SQL helper. No user-visible change — this is the substrate.</w:t>
            </w:r>
          </w:p>
        </w:tc>
      </w:tr>
      <w:tr>
        <w:trPr>
          <w:cantSplit/>
          <w:tblHeader w:val="false"/>
        </w:trPr>
        <w:tc>
          <w:tcPr>
            <w:tcW w:type="dxa" w:w="62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2</w:t>
            </w:r>
          </w:p>
        </w:tc>
        <w:tc>
          <w:tcPr>
            <w:tcW w:type="dxa" w:w="314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Gate what already exists</w:t>
            </w:r>
          </w:p>
        </w:tc>
        <w:tc>
          <w:tcPr>
            <w:tcW w:type="dxa" w:w="56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Apply capability checks to shipped features: mode rolodex, leaderboard suite, team comparison, athlete analysis, Strike Compass, CSV export, date-range control. Highest value per unit of work, since the features are already built.</w:t>
            </w:r>
          </w:p>
        </w:tc>
      </w:tr>
      <w:tr>
        <w:trPr>
          <w:cantSplit/>
          <w:tblHeader w:val="false"/>
        </w:trPr>
        <w:tc>
          <w:tcPr>
            <w:tcW w:type="dxa" w:w="62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3</w:t>
            </w:r>
          </w:p>
        </w:tc>
        <w:tc>
          <w:tcPr>
            <w:tcW w:type="dxa" w:w="314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Move Tier III derivation server-side</w:t>
            </w:r>
          </w:p>
        </w:tc>
        <w:tc>
          <w:tcPr>
            <w:tcW w:type="dxa" w:w="56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Relocate the fatigue tracker and AI insight engine out of dashboard.tsx into tier-checked functions. Move CSV generation server-side at the same time. Closes the client-readable gap in 8.4.</w:t>
            </w:r>
          </w:p>
        </w:tc>
      </w:tr>
      <w:tr>
        <w:trPr>
          <w:cantSplit/>
          <w:tblHeader w:val="false"/>
        </w:trPr>
        <w:tc>
          <w:tcPr>
            <w:tcW w:type="dxa" w:w="62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4</w:t>
            </w:r>
          </w:p>
        </w:tc>
        <w:tc>
          <w:tcPr>
            <w:tcW w:type="dxa" w:w="314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Locked-state UX</w:t>
            </w:r>
          </w:p>
        </w:tc>
        <w:tc>
          <w:tcPr>
            <w:tcW w:type="dxa" w:w="56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Preview states, lock badges, upgrade affordances. This is the phase that makes the tiers sell rather than merely restrict.</w:t>
            </w:r>
          </w:p>
        </w:tc>
      </w:tr>
      <w:tr>
        <w:trPr>
          <w:cantSplit/>
          <w:tblHeader w:val="false"/>
        </w:trPr>
        <w:tc>
          <w:tcPr>
            <w:tcW w:type="dxa" w:w="62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5</w:t>
            </w:r>
          </w:p>
        </w:tc>
        <w:tc>
          <w:tcPr>
            <w:tcW w:type="dxa" w:w="314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Limit enforcement</w:t>
            </w:r>
          </w:p>
        </w:tc>
        <w:tc>
          <w:tcPr>
            <w:tcW w:type="dxa" w:w="56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Insert-time triggers for athlete, coach, device and session-per-month caps.</w:t>
            </w:r>
          </w:p>
        </w:tc>
      </w:tr>
      <w:tr>
        <w:trPr>
          <w:cantSplit/>
          <w:tblHeader w:val="false"/>
        </w:trPr>
        <w:tc>
          <w:tcPr>
            <w:tcW w:type="dxa" w:w="62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6</w:t>
            </w:r>
          </w:p>
        </w:tc>
        <w:tc>
          <w:tcPr>
            <w:tcW w:type="dxa" w:w="314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API surface</w:t>
            </w:r>
          </w:p>
        </w:tc>
        <w:tc>
          <w:tcPr>
            <w:tcW w:type="dxa" w:w="56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Per-program keys, scoped read endpoints, rate limiting, request log, optional session-complete webhook.</w:t>
            </w:r>
          </w:p>
        </w:tc>
      </w:tr>
      <w:tr>
        <w:trPr>
          <w:cantSplit/>
          <w:tblHeader w:val="false"/>
        </w:trPr>
        <w:tc>
          <w:tcPr>
            <w:tcW w:type="dxa" w:w="62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7</w:t>
            </w:r>
          </w:p>
        </w:tc>
        <w:tc>
          <w:tcPr>
            <w:tcW w:type="dxa" w:w="314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Advanced dashboard extras</w:t>
            </w:r>
          </w:p>
        </w:tc>
        <w:tc>
          <w:tcPr>
            <w:tcW w:type="dxa" w:w="56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Saved views, custom ranges, distribution histograms, raw session export, longitudinal fatigue curve.</w:t>
            </w:r>
          </w:p>
        </w:tc>
      </w:tr>
    </w:tbl>
    <w:p>
      <w:pPr>
        <w:pStyle w:val="Heading1"/>
        <w:keepNext/>
        <w:spacing w:after="140" w:before="320"/>
      </w:pPr>
      <w:r>
        <w:rPr>
          <w:rFonts w:ascii="Calibri" w:cs="Calibri" w:eastAsia="Calibri" w:hAnsi="Calibri"/>
          <w:b/>
          <w:bCs/>
          <w:color w:val="6A00A8"/>
          <w:sz w:val="30"/>
          <w:szCs w:val="30"/>
        </w:rPr>
        <w:t xml:space="preserve">11. Open questions</w:t>
      </w:r>
    </w:p>
    <w:p>
      <w:pPr>
        <w:spacing w:after="120" w:line="276"/>
      </w:pPr>
      <w:r>
        <w:rPr>
          <w:rFonts w:ascii="Calibri" w:cs="Calibri" w:eastAsia="Calibri" w:hAnsi="Calibri"/>
          <w:i/>
          <w:iCs/>
          <w:color w:val="5A5568"/>
          <w:sz w:val="21"/>
          <w:szCs w:val="21"/>
        </w:rPr>
        <w:t xml:space="preserve">Decisions this document assumes but cannot make.</w:t>
      </w:r>
    </w:p>
    <w:p>
      <w:pPr>
        <w:spacing w:after="80"/>
      </w:pPr>
      <w:r>
        <w:rPr>
          <w:sz w:val="2"/>
          <w:szCs w:val="2"/>
        </w:rPr>
        <w:t xml:space="preserve"/>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620"/>
        <w:gridCol w:w="3740"/>
        <w:gridCol w:w="5000"/>
      </w:tblGrid>
      <w:tr>
        <w:trPr>
          <w:cantSplit/>
          <w:tblHeader/>
        </w:trPr>
        <w:tc>
          <w:tcPr>
            <w:tcW w:type="dxa" w:w="62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t>
            </w:r>
          </w:p>
        </w:tc>
        <w:tc>
          <w:tcPr>
            <w:tcW w:type="dxa" w:w="374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Question</w:t>
            </w:r>
          </w:p>
        </w:tc>
        <w:tc>
          <w:tcPr>
            <w:tcW w:type="dxa" w:w="5000"/>
            <w:shd w:fill="6A00A8"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Assumption made here</w:t>
            </w:r>
          </w:p>
        </w:tc>
      </w:tr>
      <w:tr>
        <w:trPr>
          <w:cantSplit/>
          <w:tblHeader w:val="false"/>
        </w:trPr>
        <w:tc>
          <w:tcPr>
            <w:tcW w:type="dxa" w:w="62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1</w:t>
            </w:r>
          </w:p>
        </w:tc>
        <w:tc>
          <w:tcPr>
            <w:tcW w:type="dxa" w:w="374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Which three modes at Tier II?</w:t>
            </w:r>
          </w:p>
        </w:tc>
        <w:tc>
          <w:tcPr>
            <w:tcW w:type="dxa" w:w="5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Power, Accuracy, Reaction — reserving Volume and Target as the data sources for Tier III's derived features. See section 2.</w:t>
            </w:r>
          </w:p>
        </w:tc>
      </w:tr>
      <w:tr>
        <w:trPr>
          <w:cantSplit/>
          <w:tblHeader w:val="false"/>
        </w:trPr>
        <w:tc>
          <w:tcPr>
            <w:tcW w:type="dxa" w:w="62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2</w:t>
            </w:r>
          </w:p>
        </w:tc>
        <w:tc>
          <w:tcPr>
            <w:tcW w:type="dxa" w:w="374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Is Tier I a paid program tier or the free entry point?</w:t>
            </w:r>
          </w:p>
        </w:tc>
        <w:tc>
          <w:tcPr>
            <w:tcW w:type="dxa" w:w="5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Treated as the lowest paid tier. The unauthenticated /m/home power session remains a separate pre-signup funnel, not Tier I itself.</w:t>
            </w:r>
          </w:p>
        </w:tc>
      </w:tr>
      <w:tr>
        <w:trPr>
          <w:cantSplit/>
          <w:tblHeader w:val="false"/>
        </w:trPr>
        <w:tc>
          <w:tcPr>
            <w:tcW w:type="dxa" w:w="62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3</w:t>
            </w:r>
          </w:p>
        </w:tc>
        <w:tc>
          <w:tcPr>
            <w:tcW w:type="dxa" w:w="374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What does trial resolve to, and for how long?</w:t>
            </w:r>
          </w:p>
        </w:tc>
        <w:tc>
          <w:tcPr>
            <w:tcW w:type="dxa" w:w="5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Tier III for a fixed period, then lapse to Tier I.</w:t>
            </w:r>
          </w:p>
        </w:tc>
      </w:tr>
      <w:tr>
        <w:trPr>
          <w:cantSplit/>
          <w:tblHeader w:val="false"/>
        </w:trPr>
        <w:tc>
          <w:tcPr>
            <w:tcW w:type="dxa" w:w="62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4</w:t>
            </w:r>
          </w:p>
        </w:tc>
        <w:tc>
          <w:tcPr>
            <w:tcW w:type="dxa" w:w="374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How are existing free and pro programs migrated?</w:t>
            </w:r>
          </w:p>
        </w:tc>
        <w:tc>
          <w:tcPr>
            <w:tcW w:type="dxa" w:w="5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free → tier_1, pro → tier_2, all flagged is_grandfathered.</w:t>
            </w:r>
          </w:p>
        </w:tc>
      </w:tr>
      <w:tr>
        <w:trPr>
          <w:cantSplit/>
          <w:tblHeader w:val="false"/>
        </w:trPr>
        <w:tc>
          <w:tcPr>
            <w:tcW w:type="dxa" w:w="62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5</w:t>
            </w:r>
          </w:p>
        </w:tc>
        <w:tc>
          <w:tcPr>
            <w:tcW w:type="dxa" w:w="374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Do the coach, device and session caps still fit the agreed athlete caps?</w:t>
            </w:r>
          </w:p>
        </w:tc>
        <w:tc>
          <w:tcPr>
            <w:tcW w:type="dxa" w:w="5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Left at their earlier values, with a recommendation to raise them in section 9. This is the open question most likely to bite in the first month of selling.</w:t>
            </w:r>
          </w:p>
        </w:tc>
      </w:tr>
      <w:tr>
        <w:trPr>
          <w:cantSplit/>
          <w:tblHeader w:val="false"/>
        </w:trPr>
        <w:tc>
          <w:tcPr>
            <w:tcW w:type="dxa" w:w="62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6</w:t>
            </w:r>
          </w:p>
        </w:tc>
        <w:tc>
          <w:tcPr>
            <w:tcW w:type="dxa" w:w="374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Is “AI analysis” the right external name for a deterministic rules engine?</w:t>
            </w:r>
          </w:p>
        </w:tc>
        <w:tc>
          <w:tcPr>
            <w:tcW w:type="dxa" w:w="5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Recommended external name: automated coaching intelligence. See 6.3.</w:t>
            </w:r>
          </w:p>
        </w:tc>
      </w:tr>
      <w:tr>
        <w:trPr>
          <w:cantSplit/>
          <w:tblHeader w:val="false"/>
        </w:trPr>
        <w:tc>
          <w:tcPr>
            <w:tcW w:type="dxa" w:w="62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7</w:t>
            </w:r>
          </w:p>
        </w:tc>
        <w:tc>
          <w:tcPr>
            <w:tcW w:type="dxa" w:w="374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Does the Tier II export cap need to be visible to the user?</w:t>
            </w:r>
          </w:p>
        </w:tc>
        <w:tc>
          <w:tcPr>
            <w:tcW w:type="dxa" w:w="5000"/>
            <w:shd w:fill="F7F3FB" w:color="auto" w:val="clear"/>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Assumed yes — an export silently truncated at 90 days generates support tickets. Show the window in the export dialog.</w:t>
            </w:r>
          </w:p>
        </w:tc>
      </w:tr>
      <w:tr>
        <w:trPr>
          <w:cantSplit/>
          <w:tblHeader w:val="false"/>
        </w:trPr>
        <w:tc>
          <w:tcPr>
            <w:tcW w:type="dxa" w:w="62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8</w:t>
            </w:r>
          </w:p>
        </w:tc>
        <w:tc>
          <w:tcPr>
            <w:tcW w:type="dxa" w:w="374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Per-program pricing, or per-seat within a program?</w:t>
            </w:r>
          </w:p>
        </w:tc>
        <w:tc>
          <w:tcPr>
            <w:tcW w:type="dxa" w:w="5000"/>
            <w:tcMar>
              <w:top w:type="dxa" w:w="60"/>
              <w:left w:type="dxa" w:w="110"/>
              <w:bottom w:type="dxa" w:w="60"/>
              <w:right w:type="dxa" w:w="110"/>
            </w:tcMar>
          </w:tcPr>
          <w:p>
            <w:pPr>
              <w:spacing w:after="0" w:line="250"/>
            </w:pPr>
            <w:r>
              <w:rPr>
                <w:rFonts w:ascii="Calibri" w:cs="Calibri" w:eastAsia="Calibri" w:hAnsi="Calibri"/>
                <w:b w:val="false"/>
                <w:bCs w:val="false"/>
                <w:color w:val="1A1526"/>
                <w:sz w:val="19"/>
                <w:szCs w:val="19"/>
              </w:rPr>
              <w:t xml:space="preserve">Out of scope by direction. Note that the max_coaches column implies per-program with a seat cap, which is the simpler model to enforce.</w:t>
            </w:r>
          </w:p>
        </w:tc>
      </w:tr>
    </w:tbl>
    <w:p>
      <w:pPr>
        <w:spacing w:after="240"/>
      </w:pPr>
      <w:r>
        <w:rPr>
          <w:sz w:val="2"/>
          <w:szCs w:val="2"/>
        </w:rPr>
        <w:t xml:space="preserve"/>
      </w:r>
    </w:p>
    <w:p>
      <w:pPr>
        <w:spacing w:after="120" w:line="276"/>
      </w:pPr>
      <w:r>
        <w:rPr>
          <w:rFonts w:ascii="Calibri" w:cs="Calibri" w:eastAsia="Calibri" w:hAnsi="Calibri"/>
          <w:i/>
          <w:iCs/>
          <w:color w:val="5A5568"/>
          <w:sz w:val="19"/>
          <w:szCs w:val="19"/>
        </w:rPr>
        <w:t xml:space="preserve">Resolved since v0.1: CSV export moved from Tier III to Tier II (section 5.6), with raw session export retained as the Tier III differentiator. Tier I max_athletes raised to 50 and Tier II to 150 (section 9).</w:t>
      </w:r>
    </w:p>
    <w:p>
      <w:pPr>
        <w:spacing w:after="120"/>
      </w:pPr>
      <w:r>
        <w:rPr>
          <w:sz w:val="2"/>
          <w:szCs w:val="2"/>
        </w:rPr>
        <w:t xml:space="preserve"/>
      </w:r>
    </w:p>
    <w:p>
      <w:pPr>
        <w:spacing w:after="120" w:line="276"/>
      </w:pPr>
      <w:r>
        <w:rPr>
          <w:rFonts w:ascii="Calibri" w:cs="Calibri" w:eastAsia="Calibri" w:hAnsi="Calibri"/>
          <w:i/>
          <w:iCs/>
          <w:color w:val="5A5568"/>
          <w:sz w:val="19"/>
          <w:szCs w:val="19"/>
        </w:rPr>
        <w:t xml:space="preserve">End of document — Trench Sports three-tier subscription plan, draft v0.2.</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568"/>
        <w:sz w:val="16"/>
        <w:szCs w:val="16"/>
      </w:rPr>
      <w:t xml:space="preserve">Trench Sports Three-Tier Subscription Plan  —  </w:t>
    </w:r>
    <w:r>
      <w:rPr>
        <w:rFonts w:ascii="Calibri" w:cs="Calibri" w:eastAsia="Calibri" w:hAnsi="Calibri"/>
        <w:color w:val="5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5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Trench Sports — Three-Tier Subscription Plan</dc:title>
  <dc:creator>Trench Sports</dc:creator>
  <dc:description>Internal product specification: data display and insight derivation by subscription tier</dc:description>
  <cp:lastModifiedBy>Un-named</cp:lastModifiedBy>
  <cp:revision>1</cp:revision>
  <dcterms:created xsi:type="dcterms:W3CDTF">2026-08-04T19:41:26.278Z</dcterms:created>
  <dcterms:modified xsi:type="dcterms:W3CDTF">2026-08-04T19:41:26.278Z</dcterms:modified>
</cp:coreProperties>
</file>

<file path=docProps/custom.xml><?xml version="1.0" encoding="utf-8"?>
<Properties xmlns="http://schemas.openxmlformats.org/officeDocument/2006/custom-properties" xmlns:vt="http://schemas.openxmlformats.org/officeDocument/2006/docPropsVTypes"/>
</file>