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981A" w14:textId="33686EB3" w:rsidR="00B64396" w:rsidRPr="00204436" w:rsidRDefault="00204436" w:rsidP="00204436">
      <w:pPr>
        <w:jc w:val="both"/>
        <w:rPr>
          <w:sz w:val="32"/>
          <w:szCs w:val="32"/>
          <w:lang w:bidi="ar-EG"/>
        </w:rPr>
      </w:pPr>
      <w:r w:rsidRPr="00204436">
        <w:rPr>
          <w:rStyle w:val="rynqvb"/>
          <w:rFonts w:hint="cs"/>
          <w:sz w:val="32"/>
          <w:szCs w:val="32"/>
          <w:rtl/>
          <w:lang w:bidi="ar"/>
        </w:rPr>
        <w:t>التكاليف الإضافية للحصول على عقد (مثل عمولات المبيعات)</w:t>
      </w:r>
      <w:r w:rsidRPr="00204436">
        <w:rPr>
          <w:rStyle w:val="rynqvb"/>
          <w:rFonts w:hint="cs"/>
          <w:sz w:val="32"/>
          <w:szCs w:val="32"/>
          <w:lang w:bidi="ar"/>
        </w:rPr>
        <w:t xml:space="preserve">: </w:t>
      </w:r>
      <w:r w:rsidRPr="00204436">
        <w:rPr>
          <w:rStyle w:val="rynqvb"/>
          <w:rFonts w:hint="cs"/>
          <w:sz w:val="32"/>
          <w:szCs w:val="32"/>
          <w:rtl/>
          <w:lang w:bidi="ar"/>
        </w:rPr>
        <w:t xml:space="preserve">الرسملة: </w:t>
      </w:r>
      <w:r w:rsidRPr="001D4689">
        <w:rPr>
          <w:rStyle w:val="rynqvb"/>
          <w:rFonts w:hint="cs"/>
          <w:b/>
          <w:bCs/>
          <w:sz w:val="32"/>
          <w:szCs w:val="32"/>
          <w:rtl/>
          <w:lang w:bidi="ar"/>
        </w:rPr>
        <w:t>يسمح المعيار الدولي لإعداد التقارير المالية رقم 15 للكيانات برسملة بعض التكاليف</w:t>
      </w:r>
      <w:r w:rsidRPr="00204436">
        <w:rPr>
          <w:rStyle w:val="rynqvb"/>
          <w:rFonts w:hint="cs"/>
          <w:sz w:val="32"/>
          <w:szCs w:val="32"/>
          <w:rtl/>
          <w:lang w:bidi="ar"/>
        </w:rPr>
        <w:t xml:space="preserve"> التي تعزى مباشرة إلى الحصول على عقد مع العميل</w:t>
      </w:r>
      <w:r w:rsidRPr="00204436">
        <w:rPr>
          <w:rStyle w:val="rynqvb"/>
          <w:rFonts w:hint="cs"/>
          <w:sz w:val="32"/>
          <w:szCs w:val="32"/>
          <w:lang w:bidi="ar"/>
        </w:rPr>
        <w:t>.</w:t>
      </w:r>
      <w:r w:rsidRPr="00204436">
        <w:rPr>
          <w:rStyle w:val="hwtze"/>
          <w:rFonts w:hint="cs"/>
          <w:sz w:val="32"/>
          <w:szCs w:val="32"/>
          <w:lang w:bidi="ar"/>
        </w:rPr>
        <w:t xml:space="preserve"> </w:t>
      </w:r>
      <w:r w:rsidRPr="00204436">
        <w:rPr>
          <w:rStyle w:val="rynqvb"/>
          <w:rFonts w:hint="cs"/>
          <w:sz w:val="32"/>
          <w:szCs w:val="32"/>
          <w:rtl/>
          <w:lang w:bidi="ar"/>
        </w:rPr>
        <w:t>على سبيل المثال، عمولات المبيعات المدفوعة لوكلاء المبيعات</w:t>
      </w:r>
      <w:r w:rsidRPr="00204436">
        <w:rPr>
          <w:rStyle w:val="rynqvb"/>
          <w:rFonts w:hint="cs"/>
          <w:sz w:val="32"/>
          <w:szCs w:val="32"/>
          <w:lang w:bidi="ar"/>
        </w:rPr>
        <w:t xml:space="preserve">. </w:t>
      </w:r>
      <w:r w:rsidRPr="00204436">
        <w:rPr>
          <w:rStyle w:val="rynqvb"/>
          <w:rFonts w:hint="cs"/>
          <w:sz w:val="32"/>
          <w:szCs w:val="32"/>
          <w:rtl/>
          <w:lang w:bidi="ar"/>
        </w:rPr>
        <w:t>شرط الرسملة: تتم رسملة هذه التكاليف إذا كان من المتوقع استردادها</w:t>
      </w:r>
      <w:r w:rsidRPr="00204436">
        <w:rPr>
          <w:rStyle w:val="rynqvb"/>
          <w:rFonts w:hint="cs"/>
          <w:sz w:val="32"/>
          <w:szCs w:val="32"/>
          <w:lang w:bidi="ar"/>
        </w:rPr>
        <w:t>.</w:t>
      </w:r>
      <w:r w:rsidRPr="00204436">
        <w:rPr>
          <w:rStyle w:val="hwtze"/>
          <w:rFonts w:hint="cs"/>
          <w:sz w:val="32"/>
          <w:szCs w:val="32"/>
          <w:lang w:bidi="ar"/>
        </w:rPr>
        <w:t xml:space="preserve"> </w:t>
      </w:r>
      <w:r w:rsidRPr="00204436">
        <w:rPr>
          <w:rStyle w:val="rynqvb"/>
          <w:rFonts w:hint="cs"/>
          <w:sz w:val="32"/>
          <w:szCs w:val="32"/>
          <w:rtl/>
          <w:lang w:bidi="ar"/>
        </w:rPr>
        <w:t xml:space="preserve">وبعبارة أخرى، تتوقع المنشأة الحصول على </w:t>
      </w:r>
      <w:r w:rsidRPr="001D4689">
        <w:rPr>
          <w:rStyle w:val="rynqvb"/>
          <w:rFonts w:hint="cs"/>
          <w:b/>
          <w:bCs/>
          <w:sz w:val="32"/>
          <w:szCs w:val="32"/>
          <w:rtl/>
          <w:lang w:bidi="ar"/>
        </w:rPr>
        <w:t>منافع من هذه التكاليف مع مرور الوقت عند تنفيذ العقد</w:t>
      </w:r>
      <w:r w:rsidRPr="00204436">
        <w:rPr>
          <w:rStyle w:val="rynqvb"/>
          <w:rFonts w:hint="cs"/>
          <w:sz w:val="32"/>
          <w:szCs w:val="32"/>
          <w:lang w:bidi="ar"/>
        </w:rPr>
        <w:t xml:space="preserve">. </w:t>
      </w:r>
      <w:r w:rsidRPr="00204436">
        <w:rPr>
          <w:rStyle w:val="rynqvb"/>
          <w:rFonts w:hint="cs"/>
          <w:sz w:val="32"/>
          <w:szCs w:val="32"/>
          <w:rtl/>
          <w:lang w:bidi="ar"/>
        </w:rPr>
        <w:t>التكاليف المتكبدة للوفاء بالعقد (على سبيل المثال، العمالة المباشرة)</w:t>
      </w:r>
      <w:r w:rsidRPr="00204436">
        <w:rPr>
          <w:rStyle w:val="rynqvb"/>
          <w:rFonts w:hint="cs"/>
          <w:sz w:val="32"/>
          <w:szCs w:val="32"/>
          <w:lang w:bidi="ar"/>
        </w:rPr>
        <w:t xml:space="preserve">: </w:t>
      </w:r>
      <w:r w:rsidRPr="00204436">
        <w:rPr>
          <w:rStyle w:val="rynqvb"/>
          <w:rFonts w:hint="cs"/>
          <w:sz w:val="32"/>
          <w:szCs w:val="32"/>
          <w:rtl/>
          <w:lang w:bidi="ar"/>
        </w:rPr>
        <w:t xml:space="preserve">الرسملة: </w:t>
      </w:r>
      <w:r w:rsidRPr="001D4689">
        <w:rPr>
          <w:rStyle w:val="rynqvb"/>
          <w:rFonts w:hint="cs"/>
          <w:b/>
          <w:bCs/>
          <w:sz w:val="32"/>
          <w:szCs w:val="32"/>
          <w:rtl/>
          <w:lang w:bidi="ar"/>
        </w:rPr>
        <w:t>يسمح المعيار الدولي لإعداد التقارير المالية رقم 15 للكيانات برسملة بعض التكاليف المتكبدة للوفاء بالعقد</w:t>
      </w:r>
      <w:r w:rsidRPr="00204436">
        <w:rPr>
          <w:rStyle w:val="rynqvb"/>
          <w:rFonts w:hint="cs"/>
          <w:sz w:val="32"/>
          <w:szCs w:val="32"/>
          <w:lang w:bidi="ar"/>
        </w:rPr>
        <w:t>.</w:t>
      </w:r>
      <w:r w:rsidRPr="00204436">
        <w:rPr>
          <w:rStyle w:val="hwtze"/>
          <w:rFonts w:hint="cs"/>
          <w:sz w:val="32"/>
          <w:szCs w:val="32"/>
          <w:lang w:bidi="ar"/>
        </w:rPr>
        <w:t xml:space="preserve"> </w:t>
      </w:r>
      <w:r w:rsidRPr="00204436">
        <w:rPr>
          <w:rStyle w:val="rynqvb"/>
          <w:rFonts w:hint="cs"/>
          <w:sz w:val="32"/>
          <w:szCs w:val="32"/>
          <w:rtl/>
          <w:lang w:bidi="ar"/>
        </w:rPr>
        <w:t>على سبيل المثال، تكاليف العمالة المباشرة المنسوبة مباشرة إلى تنفيذ العقد</w:t>
      </w:r>
      <w:r w:rsidRPr="00204436">
        <w:rPr>
          <w:rStyle w:val="rynqvb"/>
          <w:rFonts w:hint="cs"/>
          <w:sz w:val="32"/>
          <w:szCs w:val="32"/>
          <w:lang w:bidi="ar"/>
        </w:rPr>
        <w:t xml:space="preserve">. </w:t>
      </w:r>
      <w:r w:rsidRPr="00204436">
        <w:rPr>
          <w:rStyle w:val="rynqvb"/>
          <w:rFonts w:hint="cs"/>
          <w:sz w:val="32"/>
          <w:szCs w:val="32"/>
          <w:rtl/>
          <w:lang w:bidi="ar"/>
        </w:rPr>
        <w:t>معايير الرسملة: تتم رسملة هذه التكاليف إذا استوفت معايير معينة</w:t>
      </w:r>
      <w:r w:rsidRPr="00204436">
        <w:rPr>
          <w:rStyle w:val="rynqvb"/>
          <w:rFonts w:hint="cs"/>
          <w:sz w:val="32"/>
          <w:szCs w:val="32"/>
          <w:lang w:bidi="ar"/>
        </w:rPr>
        <w:t>.</w:t>
      </w:r>
      <w:r w:rsidRPr="00204436">
        <w:rPr>
          <w:rStyle w:val="hwtze"/>
          <w:rFonts w:hint="cs"/>
          <w:sz w:val="32"/>
          <w:szCs w:val="32"/>
          <w:lang w:bidi="ar"/>
        </w:rPr>
        <w:t xml:space="preserve"> </w:t>
      </w:r>
      <w:r w:rsidRPr="00204436">
        <w:rPr>
          <w:rStyle w:val="rynqvb"/>
          <w:rFonts w:hint="cs"/>
          <w:sz w:val="32"/>
          <w:szCs w:val="32"/>
          <w:rtl/>
          <w:lang w:bidi="ar"/>
        </w:rPr>
        <w:t>تتضمن المعايير عادة ما إذا كانت التكاليف تنسب مباشرة إلى العقد، وما إذا كانت تولد أو تعزز الموارد التي سيتم استخدامها في الوفاء بالتزامات الأداء، وما إذا كان من المتوقع استردادها</w:t>
      </w:r>
      <w:r w:rsidRPr="00204436">
        <w:rPr>
          <w:rStyle w:val="rynqvb"/>
          <w:rFonts w:hint="cs"/>
          <w:sz w:val="32"/>
          <w:szCs w:val="32"/>
          <w:lang w:bidi="ar"/>
        </w:rPr>
        <w:t xml:space="preserve">. </w:t>
      </w:r>
      <w:r w:rsidRPr="00204436">
        <w:rPr>
          <w:rStyle w:val="rynqvb"/>
          <w:rFonts w:hint="cs"/>
          <w:sz w:val="32"/>
          <w:szCs w:val="32"/>
          <w:rtl/>
          <w:lang w:bidi="ar"/>
        </w:rPr>
        <w:t>عمليات الحكم والتقدير المعقدة</w:t>
      </w:r>
      <w:r w:rsidRPr="00204436">
        <w:rPr>
          <w:rStyle w:val="rynqvb"/>
          <w:rFonts w:hint="cs"/>
          <w:sz w:val="32"/>
          <w:szCs w:val="32"/>
          <w:lang w:bidi="ar"/>
        </w:rPr>
        <w:t xml:space="preserve">: </w:t>
      </w:r>
      <w:r w:rsidRPr="00204436">
        <w:rPr>
          <w:rStyle w:val="rynqvb"/>
          <w:rFonts w:hint="cs"/>
          <w:sz w:val="32"/>
          <w:szCs w:val="32"/>
          <w:rtl/>
          <w:lang w:bidi="ar"/>
        </w:rPr>
        <w:t>غالبًا ما يتضمن تطبيق المعيار الدولي لإعداد التقارير المالية رقم 15 الحكم والتقدير لأنه يتطلب من الكيانات إجراء تقييمات ذاتية</w:t>
      </w:r>
      <w:r w:rsidRPr="00204436">
        <w:rPr>
          <w:rStyle w:val="rynqvb"/>
          <w:rFonts w:hint="cs"/>
          <w:sz w:val="32"/>
          <w:szCs w:val="32"/>
          <w:lang w:bidi="ar"/>
        </w:rPr>
        <w:t>.</w:t>
      </w:r>
      <w:r w:rsidRPr="00204436">
        <w:rPr>
          <w:rStyle w:val="hwtze"/>
          <w:rFonts w:hint="cs"/>
          <w:sz w:val="32"/>
          <w:szCs w:val="32"/>
          <w:lang w:bidi="ar"/>
        </w:rPr>
        <w:t xml:space="preserve"> </w:t>
      </w:r>
      <w:r w:rsidRPr="00204436">
        <w:rPr>
          <w:rStyle w:val="rynqvb"/>
          <w:rFonts w:hint="cs"/>
          <w:sz w:val="32"/>
          <w:szCs w:val="32"/>
          <w:rtl/>
          <w:lang w:bidi="ar"/>
        </w:rPr>
        <w:t>على سبيل المثال، تقدير سعر البيع المستقل للسلع أو الخدمات، وتحديد مدى الوفاء بالتزامات الأداء مع مرور الوقت، وتقييم احتمالية تحصيل المقابل المتغير</w:t>
      </w:r>
      <w:r w:rsidRPr="00204436">
        <w:rPr>
          <w:rStyle w:val="rynqvb"/>
          <w:rFonts w:hint="cs"/>
          <w:sz w:val="32"/>
          <w:szCs w:val="32"/>
          <w:lang w:bidi="ar"/>
        </w:rPr>
        <w:t xml:space="preserve">. </w:t>
      </w:r>
      <w:r w:rsidRPr="00204436">
        <w:rPr>
          <w:rStyle w:val="rynqvb"/>
          <w:rFonts w:hint="cs"/>
          <w:sz w:val="32"/>
          <w:szCs w:val="32"/>
          <w:rtl/>
          <w:lang w:bidi="ar"/>
        </w:rPr>
        <w:t>قد تحتاج المنشآت إلى ممارسة الأحكام عند تحديد متى يتم نقل السيطرة على السلع أو الخدمات ومتى يتم الاعتراف بالإيرادات</w:t>
      </w:r>
      <w:r w:rsidRPr="00204436">
        <w:rPr>
          <w:rStyle w:val="rynqvb"/>
          <w:rFonts w:hint="cs"/>
          <w:sz w:val="32"/>
          <w:szCs w:val="32"/>
          <w:lang w:bidi="ar"/>
        </w:rPr>
        <w:t xml:space="preserve">. </w:t>
      </w:r>
      <w:proofErr w:type="spellStart"/>
      <w:r w:rsidRPr="00204436">
        <w:rPr>
          <w:rStyle w:val="rynqvb"/>
          <w:rFonts w:hint="cs"/>
          <w:sz w:val="32"/>
          <w:szCs w:val="32"/>
          <w:rtl/>
          <w:lang w:bidi="ar"/>
        </w:rPr>
        <w:t>الإفصاحات</w:t>
      </w:r>
      <w:proofErr w:type="spellEnd"/>
      <w:r w:rsidRPr="00204436">
        <w:rPr>
          <w:rStyle w:val="rynqvb"/>
          <w:rFonts w:hint="cs"/>
          <w:sz w:val="32"/>
          <w:szCs w:val="32"/>
          <w:rtl/>
          <w:lang w:bidi="ar"/>
        </w:rPr>
        <w:t xml:space="preserve"> الشاملة بموجب المعيار الدولي لإعداد التقارير المالية رقم 15</w:t>
      </w:r>
      <w:r w:rsidRPr="00204436">
        <w:rPr>
          <w:rStyle w:val="rynqvb"/>
          <w:rFonts w:hint="cs"/>
          <w:sz w:val="32"/>
          <w:szCs w:val="32"/>
          <w:lang w:bidi="ar"/>
        </w:rPr>
        <w:t xml:space="preserve">: </w:t>
      </w:r>
      <w:r w:rsidRPr="00204436">
        <w:rPr>
          <w:rStyle w:val="rynqvb"/>
          <w:rFonts w:hint="cs"/>
          <w:sz w:val="32"/>
          <w:szCs w:val="32"/>
          <w:rtl/>
          <w:lang w:bidi="ar"/>
        </w:rPr>
        <w:t xml:space="preserve">يتطلب المعيار الدولي لإعداد التقارير المالية رقم 15 </w:t>
      </w:r>
      <w:proofErr w:type="spellStart"/>
      <w:r w:rsidRPr="00204436">
        <w:rPr>
          <w:rStyle w:val="rynqvb"/>
          <w:rFonts w:hint="cs"/>
          <w:sz w:val="32"/>
          <w:szCs w:val="32"/>
          <w:rtl/>
          <w:lang w:bidi="ar"/>
        </w:rPr>
        <w:t>إفصاحات</w:t>
      </w:r>
      <w:proofErr w:type="spellEnd"/>
      <w:r w:rsidRPr="00204436">
        <w:rPr>
          <w:rStyle w:val="rynqvb"/>
          <w:rFonts w:hint="cs"/>
          <w:sz w:val="32"/>
          <w:szCs w:val="32"/>
          <w:rtl/>
          <w:lang w:bidi="ar"/>
        </w:rPr>
        <w:t xml:space="preserve"> شاملة لتزويد مستخدمي البيانات المالية بمعلومات حول طبيعة ومبلغ وتوقيت وعدم اليقين بشأن الإيرادات والتدفقات النقدية من العقود المبرمة مع العملاء</w:t>
      </w:r>
      <w:r w:rsidRPr="00204436">
        <w:rPr>
          <w:rStyle w:val="rynqvb"/>
          <w:rFonts w:hint="cs"/>
          <w:sz w:val="32"/>
          <w:szCs w:val="32"/>
          <w:lang w:bidi="ar"/>
        </w:rPr>
        <w:t xml:space="preserve">. </w:t>
      </w:r>
      <w:r w:rsidRPr="00204436">
        <w:rPr>
          <w:rStyle w:val="rynqvb"/>
          <w:rFonts w:hint="cs"/>
          <w:sz w:val="32"/>
          <w:szCs w:val="32"/>
          <w:rtl/>
          <w:lang w:bidi="ar"/>
        </w:rPr>
        <w:t xml:space="preserve">تتضمن </w:t>
      </w:r>
      <w:proofErr w:type="spellStart"/>
      <w:r w:rsidRPr="00204436">
        <w:rPr>
          <w:rStyle w:val="rynqvb"/>
          <w:rFonts w:hint="cs"/>
          <w:sz w:val="32"/>
          <w:szCs w:val="32"/>
          <w:rtl/>
          <w:lang w:bidi="ar"/>
        </w:rPr>
        <w:t>الإفصاحات</w:t>
      </w:r>
      <w:proofErr w:type="spellEnd"/>
      <w:r w:rsidRPr="00204436">
        <w:rPr>
          <w:rStyle w:val="rynqvb"/>
          <w:rFonts w:hint="cs"/>
          <w:sz w:val="32"/>
          <w:szCs w:val="32"/>
          <w:rtl/>
          <w:lang w:bidi="ar"/>
        </w:rPr>
        <w:t xml:space="preserve"> معلومات حول سياسات الاعتراف بالإيرادات وأرصدة العقود والتزامات الأداء والأحكام والتقديرات الهامة والتغيرات في حسابات أصول ومطلوبات العقد</w:t>
      </w:r>
      <w:r w:rsidRPr="00204436">
        <w:rPr>
          <w:rStyle w:val="rynqvb"/>
          <w:rFonts w:hint="cs"/>
          <w:sz w:val="32"/>
          <w:szCs w:val="32"/>
          <w:lang w:bidi="ar"/>
        </w:rPr>
        <w:t xml:space="preserve">. </w:t>
      </w:r>
      <w:r w:rsidRPr="00204436">
        <w:rPr>
          <w:rStyle w:val="rynqvb"/>
          <w:rFonts w:hint="cs"/>
          <w:sz w:val="32"/>
          <w:szCs w:val="32"/>
          <w:rtl/>
          <w:lang w:bidi="ar"/>
        </w:rPr>
        <w:t xml:space="preserve">مثال على </w:t>
      </w:r>
      <w:proofErr w:type="spellStart"/>
      <w:r w:rsidRPr="00204436">
        <w:rPr>
          <w:rStyle w:val="rynqvb"/>
          <w:rFonts w:hint="cs"/>
          <w:sz w:val="32"/>
          <w:szCs w:val="32"/>
          <w:rtl/>
          <w:lang w:bidi="ar"/>
        </w:rPr>
        <w:t>الإفصاحات</w:t>
      </w:r>
      <w:proofErr w:type="spellEnd"/>
      <w:r w:rsidRPr="00204436">
        <w:rPr>
          <w:rStyle w:val="rynqvb"/>
          <w:rFonts w:hint="cs"/>
          <w:sz w:val="32"/>
          <w:szCs w:val="32"/>
          <w:rtl/>
          <w:lang w:bidi="ar"/>
        </w:rPr>
        <w:t xml:space="preserve"> بموجب المعيار الدولي لإعداد التقارير المالية رقم 15</w:t>
      </w:r>
      <w:r w:rsidRPr="00204436">
        <w:rPr>
          <w:rStyle w:val="rynqvb"/>
          <w:rFonts w:hint="cs"/>
          <w:sz w:val="32"/>
          <w:szCs w:val="32"/>
          <w:lang w:bidi="ar"/>
        </w:rPr>
        <w:t xml:space="preserve">: </w:t>
      </w:r>
      <w:r w:rsidRPr="00204436">
        <w:rPr>
          <w:rStyle w:val="rynqvb"/>
          <w:rFonts w:hint="cs"/>
          <w:sz w:val="32"/>
          <w:szCs w:val="32"/>
          <w:rtl/>
          <w:lang w:bidi="ar"/>
        </w:rPr>
        <w:t>سياسات الاعتراف بالإيرادات: وصف سياسات المنشأة الخاصة بالاعتراف بالإيرادات من العقود المبرمة مع العملاء</w:t>
      </w:r>
      <w:r w:rsidRPr="00204436">
        <w:rPr>
          <w:rStyle w:val="rynqvb"/>
          <w:rFonts w:hint="cs"/>
          <w:sz w:val="32"/>
          <w:szCs w:val="32"/>
          <w:lang w:bidi="ar"/>
        </w:rPr>
        <w:t xml:space="preserve">. </w:t>
      </w:r>
      <w:r w:rsidRPr="00204436">
        <w:rPr>
          <w:rStyle w:val="rynqvb"/>
          <w:rFonts w:hint="cs"/>
          <w:sz w:val="32"/>
          <w:szCs w:val="32"/>
          <w:rtl/>
          <w:lang w:bidi="ar"/>
        </w:rPr>
        <w:t>أرصدة العقود: الكشف عن معلومات حول المستحقات وأصول العقد والتزامات العقد</w:t>
      </w:r>
      <w:r w:rsidRPr="00204436">
        <w:rPr>
          <w:rStyle w:val="rynqvb"/>
          <w:rFonts w:hint="cs"/>
          <w:sz w:val="32"/>
          <w:szCs w:val="32"/>
          <w:lang w:bidi="ar"/>
        </w:rPr>
        <w:t xml:space="preserve">. </w:t>
      </w:r>
      <w:r w:rsidRPr="00204436">
        <w:rPr>
          <w:rStyle w:val="rynqvb"/>
          <w:rFonts w:hint="cs"/>
          <w:sz w:val="32"/>
          <w:szCs w:val="32"/>
          <w:rtl/>
          <w:lang w:bidi="ar"/>
        </w:rPr>
        <w:t>التزامات الأداء: تقديم تفاصيل حول متى تفي المنشأة عادة بالتزامات الأداء الخاصة بها</w:t>
      </w:r>
      <w:r w:rsidRPr="00204436">
        <w:rPr>
          <w:rStyle w:val="rynqvb"/>
          <w:rFonts w:hint="cs"/>
          <w:sz w:val="32"/>
          <w:szCs w:val="32"/>
          <w:lang w:bidi="ar"/>
        </w:rPr>
        <w:t xml:space="preserve">. </w:t>
      </w:r>
      <w:r w:rsidRPr="00204436">
        <w:rPr>
          <w:rStyle w:val="rynqvb"/>
          <w:rFonts w:hint="cs"/>
          <w:sz w:val="32"/>
          <w:szCs w:val="32"/>
          <w:rtl/>
          <w:lang w:bidi="ar"/>
        </w:rPr>
        <w:t>الأحكام والتقديرات الهامة: الإفصاح عن معلومات حول الأحكام التي تم اتخاذها عند تطبيق المعيار الدولي لإعداد التقارير المالية رقم 15 وأي تغييرات في تلك الأحكام</w:t>
      </w:r>
      <w:r w:rsidRPr="00204436">
        <w:rPr>
          <w:rStyle w:val="rynqvb"/>
          <w:rFonts w:hint="cs"/>
          <w:sz w:val="32"/>
          <w:szCs w:val="32"/>
          <w:lang w:bidi="ar"/>
        </w:rPr>
        <w:t xml:space="preserve">. </w:t>
      </w:r>
      <w:r w:rsidRPr="00204436">
        <w:rPr>
          <w:rStyle w:val="rynqvb"/>
          <w:rFonts w:hint="cs"/>
          <w:sz w:val="32"/>
          <w:szCs w:val="32"/>
          <w:rtl/>
          <w:lang w:bidi="ar"/>
        </w:rPr>
        <w:t>تكاليف العقد: الكشف عن الطرق المستخدمة للتعرف على التكاليف المتكبدة للحصول على عقد أو تنفيذه</w:t>
      </w:r>
      <w:r w:rsidRPr="00204436">
        <w:rPr>
          <w:rStyle w:val="rynqvb"/>
          <w:rFonts w:hint="cs"/>
          <w:sz w:val="32"/>
          <w:szCs w:val="32"/>
          <w:lang w:bidi="ar"/>
        </w:rPr>
        <w:t xml:space="preserve">. </w:t>
      </w:r>
      <w:r w:rsidRPr="00204436">
        <w:rPr>
          <w:rStyle w:val="rynqvb"/>
          <w:rFonts w:hint="cs"/>
          <w:sz w:val="32"/>
          <w:szCs w:val="32"/>
          <w:rtl/>
          <w:lang w:bidi="ar"/>
        </w:rPr>
        <w:t>تصنيف الإيرادات: تقديم معلومات مفصلة عن الإيرادات لتوضيح كيفية تأثر طبيعة الإيرادات والتدفقات النقدية ومبلغها وتوقيتها وعدم اليقين بها بالعوامل الاقتصادية</w:t>
      </w:r>
      <w:r w:rsidRPr="00204436">
        <w:rPr>
          <w:rStyle w:val="rynqvb"/>
          <w:rFonts w:hint="cs"/>
          <w:sz w:val="32"/>
          <w:szCs w:val="32"/>
          <w:lang w:bidi="ar"/>
        </w:rPr>
        <w:t xml:space="preserve">. </w:t>
      </w:r>
      <w:r w:rsidRPr="00204436">
        <w:rPr>
          <w:rStyle w:val="rynqvb"/>
          <w:rFonts w:hint="cs"/>
          <w:sz w:val="32"/>
          <w:szCs w:val="32"/>
          <w:rtl/>
          <w:lang w:bidi="ar"/>
        </w:rPr>
        <w:t xml:space="preserve">ويعتمد مدى هذه </w:t>
      </w:r>
      <w:proofErr w:type="spellStart"/>
      <w:r w:rsidRPr="00204436">
        <w:rPr>
          <w:rStyle w:val="rynqvb"/>
          <w:rFonts w:hint="cs"/>
          <w:sz w:val="32"/>
          <w:szCs w:val="32"/>
          <w:rtl/>
          <w:lang w:bidi="ar"/>
        </w:rPr>
        <w:t>الإفصاحات</w:t>
      </w:r>
      <w:proofErr w:type="spellEnd"/>
      <w:r w:rsidRPr="00204436">
        <w:rPr>
          <w:rStyle w:val="rynqvb"/>
          <w:rFonts w:hint="cs"/>
          <w:sz w:val="32"/>
          <w:szCs w:val="32"/>
          <w:rtl/>
          <w:lang w:bidi="ar"/>
        </w:rPr>
        <w:t xml:space="preserve"> على مدى تعقيد عقود المنشأة والأحكام والتقديرات المعنية</w:t>
      </w:r>
      <w:r w:rsidRPr="00204436">
        <w:rPr>
          <w:rStyle w:val="rynqvb"/>
          <w:rFonts w:hint="cs"/>
          <w:sz w:val="32"/>
          <w:szCs w:val="32"/>
          <w:lang w:bidi="ar"/>
        </w:rPr>
        <w:t xml:space="preserve">. </w:t>
      </w:r>
      <w:r w:rsidRPr="00204436">
        <w:rPr>
          <w:rStyle w:val="rynqvb"/>
          <w:rFonts w:hint="cs"/>
          <w:sz w:val="32"/>
          <w:szCs w:val="32"/>
          <w:rtl/>
          <w:lang w:bidi="ar"/>
        </w:rPr>
        <w:t xml:space="preserve">ضع في اعتبارك أن البيانات المالية فريدة لكل شركة، وسوف تختلف </w:t>
      </w:r>
      <w:proofErr w:type="spellStart"/>
      <w:r w:rsidRPr="00204436">
        <w:rPr>
          <w:rStyle w:val="rynqvb"/>
          <w:rFonts w:hint="cs"/>
          <w:sz w:val="32"/>
          <w:szCs w:val="32"/>
          <w:rtl/>
          <w:lang w:bidi="ar"/>
        </w:rPr>
        <w:t>الإفصاحات</w:t>
      </w:r>
      <w:proofErr w:type="spellEnd"/>
      <w:r w:rsidRPr="00204436">
        <w:rPr>
          <w:rStyle w:val="rynqvb"/>
          <w:rFonts w:hint="cs"/>
          <w:sz w:val="32"/>
          <w:szCs w:val="32"/>
          <w:rtl/>
          <w:lang w:bidi="ar"/>
        </w:rPr>
        <w:t xml:space="preserve"> المحددة بناءً على طبيعة عقودها وصناعتها</w:t>
      </w:r>
      <w:r w:rsidRPr="00204436">
        <w:rPr>
          <w:rStyle w:val="rynqvb"/>
          <w:rFonts w:hint="cs"/>
          <w:sz w:val="32"/>
          <w:szCs w:val="32"/>
          <w:lang w:bidi="ar"/>
        </w:rPr>
        <w:t>.</w:t>
      </w:r>
      <w:r w:rsidRPr="00204436">
        <w:rPr>
          <w:rStyle w:val="hwtze"/>
          <w:rFonts w:hint="cs"/>
          <w:sz w:val="32"/>
          <w:szCs w:val="32"/>
          <w:lang w:bidi="ar"/>
        </w:rPr>
        <w:t xml:space="preserve"> </w:t>
      </w:r>
      <w:r w:rsidRPr="00204436">
        <w:rPr>
          <w:rStyle w:val="rynqvb"/>
          <w:rFonts w:hint="cs"/>
          <w:sz w:val="32"/>
          <w:szCs w:val="32"/>
          <w:rtl/>
          <w:lang w:bidi="ar"/>
        </w:rPr>
        <w:t>يتم تشجيع الجهات على تقديم المعلومات ذات الصلة والمفيدة لفهم عمليات الاعتراف بالإيرادات المحددة الخاصة بها</w:t>
      </w:r>
      <w:r w:rsidRPr="00204436">
        <w:rPr>
          <w:rStyle w:val="rynqvb"/>
          <w:rFonts w:hint="cs"/>
          <w:sz w:val="32"/>
          <w:szCs w:val="32"/>
          <w:lang w:bidi="ar"/>
        </w:rPr>
        <w:t>.</w:t>
      </w:r>
    </w:p>
    <w:sectPr w:rsidR="00B64396" w:rsidRPr="00204436" w:rsidSect="00233F8D">
      <w:pgSz w:w="11906" w:h="16838"/>
      <w:pgMar w:top="1440" w:right="991"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36"/>
    <w:rsid w:val="001D4689"/>
    <w:rsid w:val="00204436"/>
    <w:rsid w:val="00233F8D"/>
    <w:rsid w:val="0076380D"/>
    <w:rsid w:val="00B64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7D08"/>
  <w15:chartTrackingRefBased/>
  <w15:docId w15:val="{E28C3E86-EE2C-48DB-8A05-BBBADEF2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204436"/>
  </w:style>
  <w:style w:type="character" w:customStyle="1" w:styleId="rynqvb">
    <w:name w:val="rynqvb"/>
    <w:basedOn w:val="DefaultParagraphFont"/>
    <w:rsid w:val="0020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1</cp:revision>
  <dcterms:created xsi:type="dcterms:W3CDTF">2024-02-12T07:14:00Z</dcterms:created>
  <dcterms:modified xsi:type="dcterms:W3CDTF">2024-02-12T08:53:00Z</dcterms:modified>
</cp:coreProperties>
</file>