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B5A89" w14:textId="1678FF5E" w:rsidR="00AC52DF" w:rsidRDefault="00AC52DF" w:rsidP="00E6670A">
      <w:pPr>
        <w:bidi w:val="0"/>
        <w:rPr>
          <w:lang w:bidi="ar-EG"/>
        </w:rPr>
      </w:pPr>
      <w:proofErr w:type="spellStart"/>
      <w:r>
        <w:rPr>
          <w:lang w:bidi="ar-EG"/>
        </w:rPr>
        <w:t>Gfdg</w:t>
      </w:r>
      <w:proofErr w:type="spellEnd"/>
    </w:p>
    <w:p w14:paraId="61963192" w14:textId="33D6F6FB" w:rsidR="0014342C" w:rsidRDefault="0014342C" w:rsidP="00E6670A">
      <w:pPr>
        <w:bidi w:val="0"/>
        <w:rPr>
          <w:lang w:bidi="ar-EG"/>
        </w:rPr>
      </w:pPr>
      <w:proofErr w:type="spellStart"/>
      <w:r>
        <w:rPr>
          <w:lang w:bidi="ar-EG"/>
        </w:rPr>
        <w:t>H</w:t>
      </w:r>
      <w:r w:rsidR="00AC52DF">
        <w:rPr>
          <w:lang w:bidi="ar-EG"/>
        </w:rPr>
        <w:t>ng</w:t>
      </w:r>
      <w:r>
        <w:rPr>
          <w:lang w:bidi="ar-EG"/>
        </w:rPr>
        <w:t>nvbnv</w:t>
      </w:r>
      <w:proofErr w:type="spellEnd"/>
    </w:p>
    <w:p w14:paraId="0DE4B0C5" w14:textId="11BB7836" w:rsidR="0014342C" w:rsidRDefault="0014342C" w:rsidP="00E6670A">
      <w:pPr>
        <w:bidi w:val="0"/>
        <w:rPr>
          <w:lang w:bidi="ar-EG"/>
        </w:rPr>
      </w:pPr>
      <w:proofErr w:type="spellStart"/>
      <w:r>
        <w:rPr>
          <w:lang w:bidi="ar-EG"/>
        </w:rPr>
        <w:t>jhgjgh</w:t>
      </w:r>
      <w:proofErr w:type="spellEnd"/>
      <w:r w:rsidR="00EE2070">
        <w:rPr>
          <w:rtl/>
          <w:lang w:bidi="ar-EG"/>
        </w:rPr>
        <w:br w:type="page"/>
      </w:r>
      <w:r>
        <w:rPr>
          <w:lang w:bidi="ar-EG"/>
        </w:rPr>
        <w:lastRenderedPageBreak/>
        <w:br w:type="page"/>
      </w:r>
    </w:p>
    <w:p w14:paraId="5FFF7766" w14:textId="77777777" w:rsidR="0014342C" w:rsidRDefault="0014342C" w:rsidP="00E6670A">
      <w:pPr>
        <w:bidi w:val="0"/>
        <w:rPr>
          <w:lang w:bidi="ar-EG"/>
        </w:rPr>
      </w:pPr>
    </w:p>
    <w:p w14:paraId="54924CA4" w14:textId="77777777" w:rsidR="00EE2070" w:rsidRDefault="00EE2070" w:rsidP="00E6670A">
      <w:pPr>
        <w:bidi w:val="0"/>
        <w:rPr>
          <w:lang w:bidi="ar-EG"/>
        </w:rPr>
      </w:pPr>
    </w:p>
    <w:tbl>
      <w:tblPr>
        <w:tblStyle w:val="TableGrid"/>
        <w:tblW w:w="107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4202"/>
        <w:gridCol w:w="653"/>
        <w:gridCol w:w="466"/>
        <w:gridCol w:w="4289"/>
        <w:gridCol w:w="653"/>
      </w:tblGrid>
      <w:tr w:rsidR="004772EE" w:rsidRPr="006166FB" w14:paraId="128EDA97" w14:textId="77777777" w:rsidTr="00F36213">
        <w:trPr>
          <w:trHeight w:hRule="exact" w:val="397"/>
          <w:jc w:val="center"/>
        </w:trPr>
        <w:tc>
          <w:tcPr>
            <w:tcW w:w="490" w:type="dxa"/>
            <w:noWrap/>
            <w:vAlign w:val="center"/>
            <w:hideMark/>
          </w:tcPr>
          <w:p w14:paraId="460C15E6" w14:textId="5BA263CA" w:rsidR="006166FB" w:rsidRPr="006166FB" w:rsidRDefault="006166FB" w:rsidP="00E6670A">
            <w:pPr>
              <w:bidi w:val="0"/>
              <w:jc w:val="center"/>
              <w:rPr>
                <w:b/>
                <w:bCs/>
                <w:sz w:val="20"/>
                <w:szCs w:val="20"/>
                <w:rtl/>
                <w:lang w:bidi="ar-EG"/>
              </w:rPr>
            </w:pPr>
            <w:bookmarkStart w:id="0" w:name="_Hlk157852763"/>
            <w:r w:rsidRPr="006166FB">
              <w:rPr>
                <w:b/>
                <w:bCs/>
                <w:sz w:val="20"/>
                <w:szCs w:val="20"/>
                <w:lang w:bidi="ar-EG"/>
              </w:rPr>
              <w:t>SN</w:t>
            </w:r>
          </w:p>
        </w:tc>
        <w:tc>
          <w:tcPr>
            <w:tcW w:w="4202" w:type="dxa"/>
            <w:noWrap/>
            <w:vAlign w:val="center"/>
            <w:hideMark/>
          </w:tcPr>
          <w:p w14:paraId="58B0E0B6" w14:textId="77777777" w:rsidR="006166FB" w:rsidRPr="006166FB" w:rsidRDefault="006166FB" w:rsidP="00E6670A">
            <w:pPr>
              <w:bidi w:val="0"/>
              <w:jc w:val="center"/>
              <w:rPr>
                <w:rFonts w:hint="cs"/>
                <w:b/>
                <w:bCs/>
                <w:sz w:val="20"/>
                <w:szCs w:val="20"/>
                <w:rtl/>
                <w:lang w:bidi="ar-EG"/>
              </w:rPr>
            </w:pPr>
            <w:r w:rsidRPr="006166FB">
              <w:rPr>
                <w:b/>
                <w:bCs/>
                <w:sz w:val="20"/>
                <w:szCs w:val="20"/>
                <w:lang w:bidi="ar-EG"/>
              </w:rPr>
              <w:t>Contents</w:t>
            </w:r>
          </w:p>
        </w:tc>
        <w:tc>
          <w:tcPr>
            <w:tcW w:w="653" w:type="dxa"/>
            <w:noWrap/>
            <w:vAlign w:val="center"/>
            <w:hideMark/>
          </w:tcPr>
          <w:p w14:paraId="14A97CE3" w14:textId="0EECC1A3" w:rsidR="006166FB" w:rsidRPr="006166FB" w:rsidRDefault="006166FB" w:rsidP="00E6670A">
            <w:pPr>
              <w:bidi w:val="0"/>
              <w:jc w:val="center"/>
              <w:rPr>
                <w:b/>
                <w:bCs/>
                <w:sz w:val="20"/>
                <w:szCs w:val="20"/>
                <w:rtl/>
                <w:lang w:bidi="ar-EG"/>
              </w:rPr>
            </w:pPr>
            <w:r w:rsidRPr="006166FB">
              <w:rPr>
                <w:b/>
                <w:bCs/>
                <w:sz w:val="20"/>
                <w:szCs w:val="20"/>
                <w:lang w:bidi="ar-EG"/>
              </w:rPr>
              <w:t>Page</w:t>
            </w:r>
          </w:p>
        </w:tc>
        <w:tc>
          <w:tcPr>
            <w:tcW w:w="466" w:type="dxa"/>
            <w:noWrap/>
            <w:vAlign w:val="center"/>
            <w:hideMark/>
          </w:tcPr>
          <w:p w14:paraId="4528D0FA" w14:textId="095689DD" w:rsidR="006166FB" w:rsidRPr="006166FB" w:rsidRDefault="006166FB" w:rsidP="00E6670A">
            <w:pPr>
              <w:bidi w:val="0"/>
              <w:jc w:val="center"/>
              <w:rPr>
                <w:b/>
                <w:bCs/>
                <w:sz w:val="20"/>
                <w:szCs w:val="20"/>
                <w:lang w:bidi="ar-EG"/>
              </w:rPr>
            </w:pPr>
            <w:r w:rsidRPr="006166FB">
              <w:rPr>
                <w:b/>
                <w:bCs/>
                <w:sz w:val="20"/>
                <w:szCs w:val="20"/>
                <w:lang w:bidi="ar-EG"/>
              </w:rPr>
              <w:t>SN</w:t>
            </w:r>
          </w:p>
        </w:tc>
        <w:tc>
          <w:tcPr>
            <w:tcW w:w="4289" w:type="dxa"/>
            <w:noWrap/>
            <w:vAlign w:val="center"/>
            <w:hideMark/>
          </w:tcPr>
          <w:p w14:paraId="49E5EFB8" w14:textId="39B7484F" w:rsidR="006166FB" w:rsidRPr="006166FB" w:rsidRDefault="006166FB" w:rsidP="00E6670A">
            <w:pPr>
              <w:bidi w:val="0"/>
              <w:jc w:val="center"/>
              <w:rPr>
                <w:b/>
                <w:bCs/>
                <w:sz w:val="20"/>
                <w:szCs w:val="20"/>
                <w:lang w:bidi="ar-EG"/>
              </w:rPr>
            </w:pPr>
            <w:r w:rsidRPr="006166FB">
              <w:rPr>
                <w:b/>
                <w:bCs/>
                <w:sz w:val="20"/>
                <w:szCs w:val="20"/>
                <w:lang w:bidi="ar-EG"/>
              </w:rPr>
              <w:t>Contents</w:t>
            </w:r>
          </w:p>
        </w:tc>
        <w:tc>
          <w:tcPr>
            <w:tcW w:w="653" w:type="dxa"/>
            <w:noWrap/>
            <w:vAlign w:val="center"/>
            <w:hideMark/>
          </w:tcPr>
          <w:p w14:paraId="152A4B13" w14:textId="7CEF7385" w:rsidR="006166FB" w:rsidRPr="006166FB" w:rsidRDefault="006166FB" w:rsidP="00E6670A">
            <w:pPr>
              <w:bidi w:val="0"/>
              <w:jc w:val="center"/>
              <w:rPr>
                <w:b/>
                <w:bCs/>
                <w:sz w:val="20"/>
                <w:szCs w:val="20"/>
                <w:lang w:bidi="ar-EG"/>
              </w:rPr>
            </w:pPr>
            <w:r w:rsidRPr="006166FB">
              <w:rPr>
                <w:b/>
                <w:bCs/>
                <w:sz w:val="20"/>
                <w:szCs w:val="20"/>
                <w:lang w:bidi="ar-EG"/>
              </w:rPr>
              <w:t>Page</w:t>
            </w:r>
          </w:p>
        </w:tc>
      </w:tr>
      <w:tr w:rsidR="00EE2070" w:rsidRPr="006166FB" w14:paraId="2F57EAC1" w14:textId="77777777" w:rsidTr="00F36213">
        <w:trPr>
          <w:trHeight w:hRule="exact" w:val="397"/>
          <w:jc w:val="center"/>
        </w:trPr>
        <w:tc>
          <w:tcPr>
            <w:tcW w:w="490" w:type="dxa"/>
            <w:noWrap/>
            <w:vAlign w:val="center"/>
            <w:hideMark/>
          </w:tcPr>
          <w:p w14:paraId="0D649FA9" w14:textId="77777777" w:rsidR="00EE2070" w:rsidRPr="006166FB" w:rsidRDefault="00EE2070" w:rsidP="00E6670A">
            <w:pPr>
              <w:bidi w:val="0"/>
              <w:jc w:val="center"/>
              <w:rPr>
                <w:b/>
                <w:bCs/>
                <w:sz w:val="20"/>
                <w:szCs w:val="20"/>
                <w:lang w:bidi="ar-EG"/>
              </w:rPr>
            </w:pPr>
          </w:p>
        </w:tc>
        <w:tc>
          <w:tcPr>
            <w:tcW w:w="4202" w:type="dxa"/>
            <w:noWrap/>
            <w:vAlign w:val="center"/>
            <w:hideMark/>
          </w:tcPr>
          <w:p w14:paraId="684DD0D6" w14:textId="77777777" w:rsidR="00EE2070" w:rsidRPr="006166FB" w:rsidRDefault="00EE2070" w:rsidP="00E6670A">
            <w:pPr>
              <w:bidi w:val="0"/>
              <w:jc w:val="right"/>
              <w:rPr>
                <w:sz w:val="20"/>
                <w:szCs w:val="20"/>
                <w:rtl/>
                <w:lang w:bidi="ar-EG"/>
              </w:rPr>
            </w:pPr>
            <w:r w:rsidRPr="006166FB">
              <w:rPr>
                <w:sz w:val="20"/>
                <w:szCs w:val="20"/>
                <w:lang w:bidi="ar-EG"/>
              </w:rPr>
              <w:t>Introduction</w:t>
            </w:r>
          </w:p>
        </w:tc>
        <w:tc>
          <w:tcPr>
            <w:tcW w:w="653" w:type="dxa"/>
            <w:noWrap/>
            <w:vAlign w:val="center"/>
            <w:hideMark/>
          </w:tcPr>
          <w:p w14:paraId="0C5195A9" w14:textId="77777777" w:rsidR="00EE2070" w:rsidRPr="006166FB" w:rsidRDefault="00EE2070" w:rsidP="00E6670A">
            <w:pPr>
              <w:bidi w:val="0"/>
              <w:jc w:val="center"/>
              <w:rPr>
                <w:sz w:val="20"/>
                <w:szCs w:val="20"/>
                <w:lang w:bidi="ar-EG"/>
              </w:rPr>
            </w:pPr>
            <w:r w:rsidRPr="006166FB">
              <w:rPr>
                <w:sz w:val="20"/>
                <w:szCs w:val="20"/>
                <w:lang w:bidi="ar-EG"/>
              </w:rPr>
              <w:t>1</w:t>
            </w:r>
          </w:p>
        </w:tc>
        <w:tc>
          <w:tcPr>
            <w:tcW w:w="466" w:type="dxa"/>
            <w:noWrap/>
            <w:vAlign w:val="center"/>
            <w:hideMark/>
          </w:tcPr>
          <w:p w14:paraId="30E727CC" w14:textId="77777777" w:rsidR="00EE2070" w:rsidRPr="006166FB" w:rsidRDefault="00EE2070" w:rsidP="00E6670A">
            <w:pPr>
              <w:bidi w:val="0"/>
              <w:jc w:val="center"/>
              <w:rPr>
                <w:sz w:val="20"/>
                <w:szCs w:val="20"/>
                <w:rtl/>
                <w:lang w:bidi="ar-EG"/>
              </w:rPr>
            </w:pPr>
            <w:r w:rsidRPr="006166FB">
              <w:rPr>
                <w:sz w:val="20"/>
                <w:szCs w:val="20"/>
                <w:lang w:bidi="ar-EG"/>
              </w:rPr>
              <w:t>19</w:t>
            </w:r>
          </w:p>
        </w:tc>
        <w:tc>
          <w:tcPr>
            <w:tcW w:w="4289" w:type="dxa"/>
            <w:noWrap/>
            <w:vAlign w:val="center"/>
            <w:hideMark/>
          </w:tcPr>
          <w:p w14:paraId="2EEE87D0" w14:textId="77777777" w:rsidR="00EE2070" w:rsidRPr="006166FB" w:rsidRDefault="00EE2070" w:rsidP="00E6670A">
            <w:pPr>
              <w:bidi w:val="0"/>
              <w:jc w:val="right"/>
              <w:rPr>
                <w:sz w:val="20"/>
                <w:szCs w:val="20"/>
                <w:lang w:bidi="ar-EG"/>
              </w:rPr>
            </w:pPr>
            <w:r w:rsidRPr="006166FB">
              <w:rPr>
                <w:sz w:val="20"/>
                <w:szCs w:val="20"/>
                <w:lang w:bidi="ar-EG"/>
              </w:rPr>
              <w:t>Cash and cash equivalents</w:t>
            </w:r>
          </w:p>
        </w:tc>
        <w:tc>
          <w:tcPr>
            <w:tcW w:w="653" w:type="dxa"/>
            <w:noWrap/>
            <w:vAlign w:val="center"/>
            <w:hideMark/>
          </w:tcPr>
          <w:p w14:paraId="0FDD1414" w14:textId="77777777" w:rsidR="00EE2070" w:rsidRPr="006166FB" w:rsidRDefault="00EE2070" w:rsidP="00E6670A">
            <w:pPr>
              <w:bidi w:val="0"/>
              <w:jc w:val="center"/>
              <w:rPr>
                <w:sz w:val="20"/>
                <w:szCs w:val="20"/>
                <w:lang w:bidi="ar-EG"/>
              </w:rPr>
            </w:pPr>
            <w:r w:rsidRPr="006166FB">
              <w:rPr>
                <w:sz w:val="20"/>
                <w:szCs w:val="20"/>
                <w:lang w:bidi="ar-EG"/>
              </w:rPr>
              <w:t>71</w:t>
            </w:r>
          </w:p>
        </w:tc>
      </w:tr>
      <w:tr w:rsidR="006166FB" w:rsidRPr="006166FB" w14:paraId="447FF95F" w14:textId="77777777" w:rsidTr="00F36213">
        <w:trPr>
          <w:trHeight w:hRule="exact" w:val="397"/>
          <w:jc w:val="center"/>
        </w:trPr>
        <w:tc>
          <w:tcPr>
            <w:tcW w:w="490" w:type="dxa"/>
            <w:noWrap/>
            <w:vAlign w:val="center"/>
            <w:hideMark/>
          </w:tcPr>
          <w:p w14:paraId="5AD5BD63" w14:textId="77777777" w:rsidR="00EE2070" w:rsidRPr="006166FB" w:rsidRDefault="00EE2070" w:rsidP="00E6670A">
            <w:pPr>
              <w:bidi w:val="0"/>
              <w:jc w:val="center"/>
              <w:rPr>
                <w:sz w:val="20"/>
                <w:szCs w:val="20"/>
                <w:lang w:bidi="ar-EG"/>
              </w:rPr>
            </w:pPr>
          </w:p>
        </w:tc>
        <w:tc>
          <w:tcPr>
            <w:tcW w:w="4202" w:type="dxa"/>
            <w:noWrap/>
            <w:vAlign w:val="center"/>
            <w:hideMark/>
          </w:tcPr>
          <w:p w14:paraId="54CF5F8C" w14:textId="77777777" w:rsidR="00EE2070" w:rsidRPr="006166FB" w:rsidRDefault="00EE2070" w:rsidP="00E6670A">
            <w:pPr>
              <w:bidi w:val="0"/>
              <w:jc w:val="right"/>
              <w:rPr>
                <w:sz w:val="20"/>
                <w:szCs w:val="20"/>
                <w:lang w:bidi="ar-EG"/>
              </w:rPr>
            </w:pPr>
            <w:r w:rsidRPr="006166FB">
              <w:rPr>
                <w:sz w:val="20"/>
                <w:szCs w:val="20"/>
                <w:lang w:bidi="ar-EG"/>
              </w:rPr>
              <w:t>IFRS Example Consolidated Financial</w:t>
            </w:r>
          </w:p>
        </w:tc>
        <w:tc>
          <w:tcPr>
            <w:tcW w:w="653" w:type="dxa"/>
            <w:noWrap/>
            <w:vAlign w:val="center"/>
            <w:hideMark/>
          </w:tcPr>
          <w:p w14:paraId="32915CDF" w14:textId="77777777" w:rsidR="00EE2070" w:rsidRPr="006166FB" w:rsidRDefault="00EE2070" w:rsidP="00E6670A">
            <w:pPr>
              <w:bidi w:val="0"/>
              <w:jc w:val="center"/>
              <w:rPr>
                <w:sz w:val="20"/>
                <w:szCs w:val="20"/>
                <w:lang w:bidi="ar-EG"/>
              </w:rPr>
            </w:pPr>
            <w:r w:rsidRPr="006166FB">
              <w:rPr>
                <w:sz w:val="20"/>
                <w:szCs w:val="20"/>
                <w:lang w:bidi="ar-EG"/>
              </w:rPr>
              <w:t>4</w:t>
            </w:r>
          </w:p>
        </w:tc>
        <w:tc>
          <w:tcPr>
            <w:tcW w:w="466" w:type="dxa"/>
            <w:noWrap/>
            <w:vAlign w:val="center"/>
            <w:hideMark/>
          </w:tcPr>
          <w:p w14:paraId="0DA496C7" w14:textId="77777777" w:rsidR="00EE2070" w:rsidRPr="006166FB" w:rsidRDefault="00EE2070" w:rsidP="00E6670A">
            <w:pPr>
              <w:bidi w:val="0"/>
              <w:jc w:val="center"/>
              <w:rPr>
                <w:sz w:val="20"/>
                <w:szCs w:val="20"/>
                <w:lang w:bidi="ar-EG"/>
              </w:rPr>
            </w:pPr>
            <w:r w:rsidRPr="006166FB">
              <w:rPr>
                <w:sz w:val="20"/>
                <w:szCs w:val="20"/>
                <w:lang w:bidi="ar-EG"/>
              </w:rPr>
              <w:t>20</w:t>
            </w:r>
          </w:p>
        </w:tc>
        <w:tc>
          <w:tcPr>
            <w:tcW w:w="4289" w:type="dxa"/>
            <w:noWrap/>
            <w:vAlign w:val="center"/>
            <w:hideMark/>
          </w:tcPr>
          <w:p w14:paraId="7E3919DE" w14:textId="77777777" w:rsidR="00EE2070" w:rsidRPr="006166FB" w:rsidRDefault="00EE2070" w:rsidP="00E6670A">
            <w:pPr>
              <w:bidi w:val="0"/>
              <w:jc w:val="right"/>
              <w:rPr>
                <w:sz w:val="20"/>
                <w:szCs w:val="20"/>
                <w:lang w:bidi="ar-EG"/>
              </w:rPr>
            </w:pPr>
            <w:r w:rsidRPr="006166FB">
              <w:rPr>
                <w:sz w:val="20"/>
                <w:szCs w:val="20"/>
                <w:lang w:bidi="ar-EG"/>
              </w:rPr>
              <w:t>Disposal groups classified as held for sale and</w:t>
            </w:r>
          </w:p>
        </w:tc>
        <w:tc>
          <w:tcPr>
            <w:tcW w:w="653" w:type="dxa"/>
            <w:noWrap/>
            <w:vAlign w:val="center"/>
            <w:hideMark/>
          </w:tcPr>
          <w:p w14:paraId="6FA26816" w14:textId="77777777" w:rsidR="00EE2070" w:rsidRPr="006166FB" w:rsidRDefault="00EE2070" w:rsidP="00E6670A">
            <w:pPr>
              <w:bidi w:val="0"/>
              <w:jc w:val="center"/>
              <w:rPr>
                <w:sz w:val="20"/>
                <w:szCs w:val="20"/>
                <w:lang w:bidi="ar-EG"/>
              </w:rPr>
            </w:pPr>
            <w:r w:rsidRPr="006166FB">
              <w:rPr>
                <w:sz w:val="20"/>
                <w:szCs w:val="20"/>
                <w:lang w:bidi="ar-EG"/>
              </w:rPr>
              <w:t>72</w:t>
            </w:r>
          </w:p>
        </w:tc>
      </w:tr>
      <w:tr w:rsidR="00EE2070" w:rsidRPr="006166FB" w14:paraId="4D7EBC5F" w14:textId="77777777" w:rsidTr="00F36213">
        <w:trPr>
          <w:trHeight w:hRule="exact" w:val="397"/>
          <w:jc w:val="center"/>
        </w:trPr>
        <w:tc>
          <w:tcPr>
            <w:tcW w:w="490" w:type="dxa"/>
            <w:noWrap/>
            <w:vAlign w:val="center"/>
            <w:hideMark/>
          </w:tcPr>
          <w:p w14:paraId="7C8E8235" w14:textId="77777777" w:rsidR="00EE2070" w:rsidRPr="006166FB" w:rsidRDefault="00EE2070" w:rsidP="00E6670A">
            <w:pPr>
              <w:bidi w:val="0"/>
              <w:jc w:val="center"/>
              <w:rPr>
                <w:sz w:val="20"/>
                <w:szCs w:val="20"/>
                <w:lang w:bidi="ar-EG"/>
              </w:rPr>
            </w:pPr>
          </w:p>
        </w:tc>
        <w:tc>
          <w:tcPr>
            <w:tcW w:w="4202" w:type="dxa"/>
            <w:noWrap/>
            <w:vAlign w:val="center"/>
            <w:hideMark/>
          </w:tcPr>
          <w:p w14:paraId="02261D26" w14:textId="77777777" w:rsidR="00EE2070" w:rsidRPr="006166FB" w:rsidRDefault="00EE2070" w:rsidP="00E6670A">
            <w:pPr>
              <w:bidi w:val="0"/>
              <w:jc w:val="right"/>
              <w:rPr>
                <w:sz w:val="20"/>
                <w:szCs w:val="20"/>
                <w:lang w:bidi="ar-EG"/>
              </w:rPr>
            </w:pPr>
            <w:r w:rsidRPr="006166FB">
              <w:rPr>
                <w:sz w:val="20"/>
                <w:szCs w:val="20"/>
                <w:lang w:bidi="ar-EG"/>
              </w:rPr>
              <w:t>Statements</w:t>
            </w:r>
          </w:p>
        </w:tc>
        <w:tc>
          <w:tcPr>
            <w:tcW w:w="653" w:type="dxa"/>
            <w:noWrap/>
            <w:vAlign w:val="center"/>
            <w:hideMark/>
          </w:tcPr>
          <w:p w14:paraId="0B38F1E1" w14:textId="77777777" w:rsidR="00EE2070" w:rsidRPr="006166FB" w:rsidRDefault="00EE2070" w:rsidP="00E6670A">
            <w:pPr>
              <w:bidi w:val="0"/>
              <w:jc w:val="center"/>
              <w:rPr>
                <w:sz w:val="20"/>
                <w:szCs w:val="20"/>
                <w:lang w:bidi="ar-EG"/>
              </w:rPr>
            </w:pPr>
          </w:p>
        </w:tc>
        <w:tc>
          <w:tcPr>
            <w:tcW w:w="466" w:type="dxa"/>
            <w:noWrap/>
            <w:vAlign w:val="center"/>
            <w:hideMark/>
          </w:tcPr>
          <w:p w14:paraId="22A40BA0" w14:textId="77777777" w:rsidR="00EE2070" w:rsidRPr="006166FB" w:rsidRDefault="00EE2070" w:rsidP="00E6670A">
            <w:pPr>
              <w:bidi w:val="0"/>
              <w:jc w:val="center"/>
              <w:rPr>
                <w:sz w:val="20"/>
                <w:szCs w:val="20"/>
                <w:lang w:bidi="ar-EG"/>
              </w:rPr>
            </w:pPr>
          </w:p>
        </w:tc>
        <w:tc>
          <w:tcPr>
            <w:tcW w:w="4289" w:type="dxa"/>
            <w:noWrap/>
            <w:vAlign w:val="center"/>
            <w:hideMark/>
          </w:tcPr>
          <w:p w14:paraId="0A5EBD27" w14:textId="77777777" w:rsidR="00EE2070" w:rsidRPr="006166FB" w:rsidRDefault="00EE2070" w:rsidP="00E6670A">
            <w:pPr>
              <w:bidi w:val="0"/>
              <w:jc w:val="right"/>
              <w:rPr>
                <w:sz w:val="20"/>
                <w:szCs w:val="20"/>
                <w:lang w:bidi="ar-EG"/>
              </w:rPr>
            </w:pPr>
            <w:r w:rsidRPr="006166FB">
              <w:rPr>
                <w:sz w:val="20"/>
                <w:szCs w:val="20"/>
                <w:lang w:bidi="ar-EG"/>
              </w:rPr>
              <w:t>discontinued operations</w:t>
            </w:r>
          </w:p>
        </w:tc>
        <w:tc>
          <w:tcPr>
            <w:tcW w:w="653" w:type="dxa"/>
            <w:noWrap/>
            <w:vAlign w:val="center"/>
            <w:hideMark/>
          </w:tcPr>
          <w:p w14:paraId="6F8B490F" w14:textId="77777777" w:rsidR="00EE2070" w:rsidRPr="006166FB" w:rsidRDefault="00EE2070" w:rsidP="00E6670A">
            <w:pPr>
              <w:bidi w:val="0"/>
              <w:jc w:val="center"/>
              <w:rPr>
                <w:sz w:val="20"/>
                <w:szCs w:val="20"/>
                <w:lang w:bidi="ar-EG"/>
              </w:rPr>
            </w:pPr>
          </w:p>
        </w:tc>
      </w:tr>
      <w:tr w:rsidR="006166FB" w:rsidRPr="006166FB" w14:paraId="78E0D455" w14:textId="77777777" w:rsidTr="00F36213">
        <w:trPr>
          <w:trHeight w:hRule="exact" w:val="397"/>
          <w:jc w:val="center"/>
        </w:trPr>
        <w:tc>
          <w:tcPr>
            <w:tcW w:w="490" w:type="dxa"/>
            <w:noWrap/>
            <w:vAlign w:val="center"/>
            <w:hideMark/>
          </w:tcPr>
          <w:p w14:paraId="120D6ABF" w14:textId="77777777" w:rsidR="00EE2070" w:rsidRPr="006166FB" w:rsidRDefault="00EE2070" w:rsidP="00E6670A">
            <w:pPr>
              <w:bidi w:val="0"/>
              <w:jc w:val="center"/>
              <w:rPr>
                <w:sz w:val="20"/>
                <w:szCs w:val="20"/>
                <w:lang w:bidi="ar-EG"/>
              </w:rPr>
            </w:pPr>
          </w:p>
        </w:tc>
        <w:tc>
          <w:tcPr>
            <w:tcW w:w="4202" w:type="dxa"/>
            <w:noWrap/>
            <w:vAlign w:val="center"/>
            <w:hideMark/>
          </w:tcPr>
          <w:p w14:paraId="27C4D9E2" w14:textId="77777777" w:rsidR="00EE2070" w:rsidRPr="006166FB" w:rsidRDefault="00EE2070" w:rsidP="00E6670A">
            <w:pPr>
              <w:bidi w:val="0"/>
              <w:jc w:val="right"/>
              <w:rPr>
                <w:sz w:val="20"/>
                <w:szCs w:val="20"/>
                <w:lang w:bidi="ar-EG"/>
              </w:rPr>
            </w:pPr>
            <w:r w:rsidRPr="006166FB">
              <w:rPr>
                <w:sz w:val="20"/>
                <w:szCs w:val="20"/>
                <w:lang w:bidi="ar-EG"/>
              </w:rPr>
              <w:t>Consolidated statement of profit or loss</w:t>
            </w:r>
          </w:p>
        </w:tc>
        <w:tc>
          <w:tcPr>
            <w:tcW w:w="653" w:type="dxa"/>
            <w:noWrap/>
            <w:vAlign w:val="center"/>
            <w:hideMark/>
          </w:tcPr>
          <w:p w14:paraId="45E78B4B" w14:textId="77777777" w:rsidR="00EE2070" w:rsidRPr="006166FB" w:rsidRDefault="00EE2070" w:rsidP="00E6670A">
            <w:pPr>
              <w:bidi w:val="0"/>
              <w:jc w:val="center"/>
              <w:rPr>
                <w:sz w:val="20"/>
                <w:szCs w:val="20"/>
                <w:lang w:bidi="ar-EG"/>
              </w:rPr>
            </w:pPr>
            <w:r w:rsidRPr="006166FB">
              <w:rPr>
                <w:sz w:val="20"/>
                <w:szCs w:val="20"/>
                <w:lang w:bidi="ar-EG"/>
              </w:rPr>
              <w:t>5</w:t>
            </w:r>
          </w:p>
        </w:tc>
        <w:tc>
          <w:tcPr>
            <w:tcW w:w="466" w:type="dxa"/>
            <w:noWrap/>
            <w:vAlign w:val="center"/>
            <w:hideMark/>
          </w:tcPr>
          <w:p w14:paraId="5ED78E11" w14:textId="77777777" w:rsidR="00EE2070" w:rsidRPr="006166FB" w:rsidRDefault="00EE2070" w:rsidP="00E6670A">
            <w:pPr>
              <w:bidi w:val="0"/>
              <w:jc w:val="center"/>
              <w:rPr>
                <w:sz w:val="20"/>
                <w:szCs w:val="20"/>
                <w:lang w:bidi="ar-EG"/>
              </w:rPr>
            </w:pPr>
            <w:r w:rsidRPr="006166FB">
              <w:rPr>
                <w:sz w:val="20"/>
                <w:szCs w:val="20"/>
                <w:lang w:bidi="ar-EG"/>
              </w:rPr>
              <w:t>21</w:t>
            </w:r>
          </w:p>
        </w:tc>
        <w:tc>
          <w:tcPr>
            <w:tcW w:w="4289" w:type="dxa"/>
            <w:noWrap/>
            <w:vAlign w:val="center"/>
            <w:hideMark/>
          </w:tcPr>
          <w:p w14:paraId="0E720981" w14:textId="77777777" w:rsidR="00EE2070" w:rsidRPr="006166FB" w:rsidRDefault="00EE2070" w:rsidP="00E6670A">
            <w:pPr>
              <w:bidi w:val="0"/>
              <w:jc w:val="right"/>
              <w:rPr>
                <w:sz w:val="20"/>
                <w:szCs w:val="20"/>
                <w:lang w:bidi="ar-EG"/>
              </w:rPr>
            </w:pPr>
            <w:r w:rsidRPr="006166FB">
              <w:rPr>
                <w:sz w:val="20"/>
                <w:szCs w:val="20"/>
                <w:lang w:bidi="ar-EG"/>
              </w:rPr>
              <w:t>Equity</w:t>
            </w:r>
          </w:p>
        </w:tc>
        <w:tc>
          <w:tcPr>
            <w:tcW w:w="653" w:type="dxa"/>
            <w:noWrap/>
            <w:vAlign w:val="center"/>
            <w:hideMark/>
          </w:tcPr>
          <w:p w14:paraId="47E35FD9" w14:textId="77777777" w:rsidR="00EE2070" w:rsidRPr="006166FB" w:rsidRDefault="00EE2070" w:rsidP="00E6670A">
            <w:pPr>
              <w:bidi w:val="0"/>
              <w:jc w:val="center"/>
              <w:rPr>
                <w:sz w:val="20"/>
                <w:szCs w:val="20"/>
                <w:lang w:bidi="ar-EG"/>
              </w:rPr>
            </w:pPr>
            <w:r w:rsidRPr="006166FB">
              <w:rPr>
                <w:sz w:val="20"/>
                <w:szCs w:val="20"/>
                <w:lang w:bidi="ar-EG"/>
              </w:rPr>
              <w:t>73</w:t>
            </w:r>
          </w:p>
        </w:tc>
      </w:tr>
      <w:tr w:rsidR="00EE2070" w:rsidRPr="006166FB" w14:paraId="5B208834" w14:textId="77777777" w:rsidTr="00F36213">
        <w:trPr>
          <w:trHeight w:hRule="exact" w:val="397"/>
          <w:jc w:val="center"/>
        </w:trPr>
        <w:tc>
          <w:tcPr>
            <w:tcW w:w="490" w:type="dxa"/>
            <w:noWrap/>
            <w:vAlign w:val="center"/>
            <w:hideMark/>
          </w:tcPr>
          <w:p w14:paraId="643EAC2D" w14:textId="77777777" w:rsidR="00EE2070" w:rsidRPr="006166FB" w:rsidRDefault="00EE2070" w:rsidP="00E6670A">
            <w:pPr>
              <w:bidi w:val="0"/>
              <w:jc w:val="center"/>
              <w:rPr>
                <w:sz w:val="20"/>
                <w:szCs w:val="20"/>
                <w:lang w:bidi="ar-EG"/>
              </w:rPr>
            </w:pPr>
          </w:p>
        </w:tc>
        <w:tc>
          <w:tcPr>
            <w:tcW w:w="4202" w:type="dxa"/>
            <w:noWrap/>
            <w:vAlign w:val="center"/>
            <w:hideMark/>
          </w:tcPr>
          <w:p w14:paraId="53601862" w14:textId="77777777" w:rsidR="00EE2070" w:rsidRPr="006166FB" w:rsidRDefault="00EE2070" w:rsidP="00E6670A">
            <w:pPr>
              <w:bidi w:val="0"/>
              <w:jc w:val="right"/>
              <w:rPr>
                <w:sz w:val="20"/>
                <w:szCs w:val="20"/>
                <w:lang w:bidi="ar-EG"/>
              </w:rPr>
            </w:pPr>
            <w:r w:rsidRPr="006166FB">
              <w:rPr>
                <w:sz w:val="20"/>
                <w:szCs w:val="20"/>
                <w:lang w:bidi="ar-EG"/>
              </w:rPr>
              <w:t>Consolidated statement of comprehensive income</w:t>
            </w:r>
          </w:p>
        </w:tc>
        <w:tc>
          <w:tcPr>
            <w:tcW w:w="653" w:type="dxa"/>
            <w:noWrap/>
            <w:vAlign w:val="center"/>
            <w:hideMark/>
          </w:tcPr>
          <w:p w14:paraId="28943FDE" w14:textId="77777777" w:rsidR="00EE2070" w:rsidRPr="006166FB" w:rsidRDefault="00EE2070" w:rsidP="00E6670A">
            <w:pPr>
              <w:bidi w:val="0"/>
              <w:jc w:val="center"/>
              <w:rPr>
                <w:sz w:val="20"/>
                <w:szCs w:val="20"/>
                <w:lang w:bidi="ar-EG"/>
              </w:rPr>
            </w:pPr>
            <w:r w:rsidRPr="006166FB">
              <w:rPr>
                <w:sz w:val="20"/>
                <w:szCs w:val="20"/>
                <w:lang w:bidi="ar-EG"/>
              </w:rPr>
              <w:t>7</w:t>
            </w:r>
          </w:p>
        </w:tc>
        <w:tc>
          <w:tcPr>
            <w:tcW w:w="466" w:type="dxa"/>
            <w:noWrap/>
            <w:vAlign w:val="center"/>
            <w:hideMark/>
          </w:tcPr>
          <w:p w14:paraId="5A630070" w14:textId="77777777" w:rsidR="00EE2070" w:rsidRPr="006166FB" w:rsidRDefault="00EE2070" w:rsidP="00E6670A">
            <w:pPr>
              <w:bidi w:val="0"/>
              <w:jc w:val="center"/>
              <w:rPr>
                <w:sz w:val="20"/>
                <w:szCs w:val="20"/>
                <w:lang w:bidi="ar-EG"/>
              </w:rPr>
            </w:pPr>
            <w:r w:rsidRPr="006166FB">
              <w:rPr>
                <w:sz w:val="20"/>
                <w:szCs w:val="20"/>
                <w:lang w:bidi="ar-EG"/>
              </w:rPr>
              <w:t>22</w:t>
            </w:r>
          </w:p>
        </w:tc>
        <w:tc>
          <w:tcPr>
            <w:tcW w:w="4289" w:type="dxa"/>
            <w:noWrap/>
            <w:vAlign w:val="center"/>
            <w:hideMark/>
          </w:tcPr>
          <w:p w14:paraId="2314ABE5" w14:textId="77777777" w:rsidR="00EE2070" w:rsidRPr="006166FB" w:rsidRDefault="00EE2070" w:rsidP="00E6670A">
            <w:pPr>
              <w:bidi w:val="0"/>
              <w:jc w:val="right"/>
              <w:rPr>
                <w:sz w:val="20"/>
                <w:szCs w:val="20"/>
                <w:lang w:bidi="ar-EG"/>
              </w:rPr>
            </w:pPr>
            <w:r w:rsidRPr="006166FB">
              <w:rPr>
                <w:sz w:val="20"/>
                <w:szCs w:val="20"/>
                <w:lang w:bidi="ar-EG"/>
              </w:rPr>
              <w:t>Employee remuneration</w:t>
            </w:r>
          </w:p>
        </w:tc>
        <w:tc>
          <w:tcPr>
            <w:tcW w:w="653" w:type="dxa"/>
            <w:noWrap/>
            <w:vAlign w:val="center"/>
            <w:hideMark/>
          </w:tcPr>
          <w:p w14:paraId="6B13368C" w14:textId="77777777" w:rsidR="00EE2070" w:rsidRPr="006166FB" w:rsidRDefault="00EE2070" w:rsidP="00E6670A">
            <w:pPr>
              <w:bidi w:val="0"/>
              <w:jc w:val="center"/>
              <w:rPr>
                <w:sz w:val="20"/>
                <w:szCs w:val="20"/>
                <w:lang w:bidi="ar-EG"/>
              </w:rPr>
            </w:pPr>
            <w:r w:rsidRPr="006166FB">
              <w:rPr>
                <w:sz w:val="20"/>
                <w:szCs w:val="20"/>
                <w:lang w:bidi="ar-EG"/>
              </w:rPr>
              <w:t>75</w:t>
            </w:r>
          </w:p>
        </w:tc>
      </w:tr>
      <w:tr w:rsidR="00EE2070" w:rsidRPr="006166FB" w14:paraId="5424426F" w14:textId="77777777" w:rsidTr="00F36213">
        <w:trPr>
          <w:trHeight w:hRule="exact" w:val="397"/>
          <w:jc w:val="center"/>
        </w:trPr>
        <w:tc>
          <w:tcPr>
            <w:tcW w:w="490" w:type="dxa"/>
            <w:noWrap/>
            <w:vAlign w:val="center"/>
            <w:hideMark/>
          </w:tcPr>
          <w:p w14:paraId="13732503" w14:textId="77777777" w:rsidR="00EE2070" w:rsidRPr="006166FB" w:rsidRDefault="00EE2070" w:rsidP="00E6670A">
            <w:pPr>
              <w:bidi w:val="0"/>
              <w:jc w:val="center"/>
              <w:rPr>
                <w:sz w:val="20"/>
                <w:szCs w:val="20"/>
                <w:lang w:bidi="ar-EG"/>
              </w:rPr>
            </w:pPr>
          </w:p>
        </w:tc>
        <w:tc>
          <w:tcPr>
            <w:tcW w:w="4202" w:type="dxa"/>
            <w:noWrap/>
            <w:vAlign w:val="center"/>
            <w:hideMark/>
          </w:tcPr>
          <w:p w14:paraId="435F9445" w14:textId="77777777" w:rsidR="00EE2070" w:rsidRPr="006166FB" w:rsidRDefault="00EE2070" w:rsidP="00E6670A">
            <w:pPr>
              <w:bidi w:val="0"/>
              <w:jc w:val="right"/>
              <w:rPr>
                <w:sz w:val="20"/>
                <w:szCs w:val="20"/>
                <w:lang w:bidi="ar-EG"/>
              </w:rPr>
            </w:pPr>
            <w:r w:rsidRPr="006166FB">
              <w:rPr>
                <w:sz w:val="20"/>
                <w:szCs w:val="20"/>
                <w:lang w:bidi="ar-EG"/>
              </w:rPr>
              <w:t>Consolidated statement of changes in equity</w:t>
            </w:r>
          </w:p>
        </w:tc>
        <w:tc>
          <w:tcPr>
            <w:tcW w:w="653" w:type="dxa"/>
            <w:noWrap/>
            <w:vAlign w:val="center"/>
            <w:hideMark/>
          </w:tcPr>
          <w:p w14:paraId="44C7ED0A" w14:textId="77777777" w:rsidR="00EE2070" w:rsidRPr="006166FB" w:rsidRDefault="00EE2070" w:rsidP="00E6670A">
            <w:pPr>
              <w:bidi w:val="0"/>
              <w:jc w:val="center"/>
              <w:rPr>
                <w:sz w:val="20"/>
                <w:szCs w:val="20"/>
                <w:lang w:bidi="ar-EG"/>
              </w:rPr>
            </w:pPr>
            <w:r w:rsidRPr="006166FB">
              <w:rPr>
                <w:sz w:val="20"/>
                <w:szCs w:val="20"/>
                <w:lang w:bidi="ar-EG"/>
              </w:rPr>
              <w:t>10</w:t>
            </w:r>
          </w:p>
        </w:tc>
        <w:tc>
          <w:tcPr>
            <w:tcW w:w="466" w:type="dxa"/>
            <w:noWrap/>
            <w:vAlign w:val="center"/>
            <w:hideMark/>
          </w:tcPr>
          <w:p w14:paraId="44DD6788" w14:textId="77777777" w:rsidR="00EE2070" w:rsidRPr="006166FB" w:rsidRDefault="00EE2070" w:rsidP="00E6670A">
            <w:pPr>
              <w:bidi w:val="0"/>
              <w:jc w:val="center"/>
              <w:rPr>
                <w:sz w:val="20"/>
                <w:szCs w:val="20"/>
                <w:lang w:bidi="ar-EG"/>
              </w:rPr>
            </w:pPr>
            <w:r w:rsidRPr="006166FB">
              <w:rPr>
                <w:sz w:val="20"/>
                <w:szCs w:val="20"/>
                <w:lang w:bidi="ar-EG"/>
              </w:rPr>
              <w:t>24</w:t>
            </w:r>
          </w:p>
        </w:tc>
        <w:tc>
          <w:tcPr>
            <w:tcW w:w="4289" w:type="dxa"/>
            <w:noWrap/>
            <w:vAlign w:val="center"/>
            <w:hideMark/>
          </w:tcPr>
          <w:p w14:paraId="7CD9B082" w14:textId="77777777" w:rsidR="00EE2070" w:rsidRPr="006166FB" w:rsidRDefault="00EE2070" w:rsidP="00E6670A">
            <w:pPr>
              <w:bidi w:val="0"/>
              <w:jc w:val="right"/>
              <w:rPr>
                <w:sz w:val="20"/>
                <w:szCs w:val="20"/>
                <w:lang w:bidi="ar-EG"/>
              </w:rPr>
            </w:pPr>
            <w:r w:rsidRPr="006166FB">
              <w:rPr>
                <w:sz w:val="20"/>
                <w:szCs w:val="20"/>
                <w:lang w:bidi="ar-EG"/>
              </w:rPr>
              <w:t>Trade and other payables</w:t>
            </w:r>
          </w:p>
        </w:tc>
        <w:tc>
          <w:tcPr>
            <w:tcW w:w="653" w:type="dxa"/>
            <w:noWrap/>
            <w:vAlign w:val="center"/>
            <w:hideMark/>
          </w:tcPr>
          <w:p w14:paraId="46555ED7" w14:textId="77777777" w:rsidR="00EE2070" w:rsidRPr="006166FB" w:rsidRDefault="00EE2070" w:rsidP="00E6670A">
            <w:pPr>
              <w:bidi w:val="0"/>
              <w:jc w:val="center"/>
              <w:rPr>
                <w:sz w:val="20"/>
                <w:szCs w:val="20"/>
                <w:lang w:bidi="ar-EG"/>
              </w:rPr>
            </w:pPr>
            <w:r w:rsidRPr="006166FB">
              <w:rPr>
                <w:sz w:val="20"/>
                <w:szCs w:val="20"/>
                <w:lang w:bidi="ar-EG"/>
              </w:rPr>
              <w:t>83</w:t>
            </w:r>
          </w:p>
        </w:tc>
      </w:tr>
      <w:tr w:rsidR="006166FB" w:rsidRPr="006166FB" w14:paraId="35BF0391" w14:textId="77777777" w:rsidTr="00F36213">
        <w:trPr>
          <w:trHeight w:hRule="exact" w:val="397"/>
          <w:jc w:val="center"/>
        </w:trPr>
        <w:tc>
          <w:tcPr>
            <w:tcW w:w="490" w:type="dxa"/>
            <w:noWrap/>
            <w:vAlign w:val="center"/>
            <w:hideMark/>
          </w:tcPr>
          <w:p w14:paraId="0E157E7C" w14:textId="77777777" w:rsidR="00EE2070" w:rsidRPr="006166FB" w:rsidRDefault="00EE2070" w:rsidP="00E6670A">
            <w:pPr>
              <w:bidi w:val="0"/>
              <w:jc w:val="center"/>
              <w:rPr>
                <w:sz w:val="20"/>
                <w:szCs w:val="20"/>
                <w:lang w:bidi="ar-EG"/>
              </w:rPr>
            </w:pPr>
          </w:p>
        </w:tc>
        <w:tc>
          <w:tcPr>
            <w:tcW w:w="4202" w:type="dxa"/>
            <w:noWrap/>
            <w:vAlign w:val="center"/>
            <w:hideMark/>
          </w:tcPr>
          <w:p w14:paraId="69A20C92" w14:textId="77777777" w:rsidR="00EE2070" w:rsidRPr="006166FB" w:rsidRDefault="00EE2070" w:rsidP="00E6670A">
            <w:pPr>
              <w:bidi w:val="0"/>
              <w:jc w:val="right"/>
              <w:rPr>
                <w:sz w:val="20"/>
                <w:szCs w:val="20"/>
                <w:lang w:bidi="ar-EG"/>
              </w:rPr>
            </w:pPr>
            <w:r w:rsidRPr="006166FB">
              <w:rPr>
                <w:sz w:val="20"/>
                <w:szCs w:val="20"/>
                <w:lang w:bidi="ar-EG"/>
              </w:rPr>
              <w:t>Consolidated statement of cash flows</w:t>
            </w:r>
          </w:p>
        </w:tc>
        <w:tc>
          <w:tcPr>
            <w:tcW w:w="653" w:type="dxa"/>
            <w:noWrap/>
            <w:vAlign w:val="center"/>
            <w:hideMark/>
          </w:tcPr>
          <w:p w14:paraId="08C93FB8" w14:textId="77777777" w:rsidR="00EE2070" w:rsidRPr="006166FB" w:rsidRDefault="00EE2070" w:rsidP="00E6670A">
            <w:pPr>
              <w:bidi w:val="0"/>
              <w:jc w:val="center"/>
              <w:rPr>
                <w:sz w:val="20"/>
                <w:szCs w:val="20"/>
                <w:lang w:bidi="ar-EG"/>
              </w:rPr>
            </w:pPr>
            <w:r w:rsidRPr="006166FB">
              <w:rPr>
                <w:sz w:val="20"/>
                <w:szCs w:val="20"/>
                <w:lang w:bidi="ar-EG"/>
              </w:rPr>
              <w:t>11</w:t>
            </w:r>
          </w:p>
        </w:tc>
        <w:tc>
          <w:tcPr>
            <w:tcW w:w="466" w:type="dxa"/>
            <w:noWrap/>
            <w:vAlign w:val="center"/>
            <w:hideMark/>
          </w:tcPr>
          <w:p w14:paraId="2B9E20EE" w14:textId="77777777" w:rsidR="00EE2070" w:rsidRPr="006166FB" w:rsidRDefault="00EE2070" w:rsidP="00E6670A">
            <w:pPr>
              <w:bidi w:val="0"/>
              <w:jc w:val="center"/>
              <w:rPr>
                <w:sz w:val="20"/>
                <w:szCs w:val="20"/>
                <w:lang w:bidi="ar-EG"/>
              </w:rPr>
            </w:pPr>
            <w:r w:rsidRPr="006166FB">
              <w:rPr>
                <w:sz w:val="20"/>
                <w:szCs w:val="20"/>
                <w:lang w:bidi="ar-EG"/>
              </w:rPr>
              <w:t>25</w:t>
            </w:r>
          </w:p>
        </w:tc>
        <w:tc>
          <w:tcPr>
            <w:tcW w:w="4289" w:type="dxa"/>
            <w:noWrap/>
            <w:vAlign w:val="center"/>
            <w:hideMark/>
          </w:tcPr>
          <w:p w14:paraId="6C620EF1" w14:textId="77777777" w:rsidR="00EE2070" w:rsidRPr="006166FB" w:rsidRDefault="00EE2070" w:rsidP="00E6670A">
            <w:pPr>
              <w:bidi w:val="0"/>
              <w:jc w:val="right"/>
              <w:rPr>
                <w:sz w:val="20"/>
                <w:szCs w:val="20"/>
                <w:lang w:bidi="ar-EG"/>
              </w:rPr>
            </w:pPr>
            <w:r w:rsidRPr="006166FB">
              <w:rPr>
                <w:sz w:val="20"/>
                <w:szCs w:val="20"/>
                <w:lang w:bidi="ar-EG"/>
              </w:rPr>
              <w:t>Contract and other liabilities</w:t>
            </w:r>
          </w:p>
        </w:tc>
        <w:tc>
          <w:tcPr>
            <w:tcW w:w="653" w:type="dxa"/>
            <w:noWrap/>
            <w:vAlign w:val="center"/>
            <w:hideMark/>
          </w:tcPr>
          <w:p w14:paraId="08E43482" w14:textId="77777777" w:rsidR="00EE2070" w:rsidRPr="006166FB" w:rsidRDefault="00EE2070" w:rsidP="00E6670A">
            <w:pPr>
              <w:bidi w:val="0"/>
              <w:jc w:val="center"/>
              <w:rPr>
                <w:sz w:val="20"/>
                <w:szCs w:val="20"/>
                <w:lang w:bidi="ar-EG"/>
              </w:rPr>
            </w:pPr>
            <w:r w:rsidRPr="006166FB">
              <w:rPr>
                <w:sz w:val="20"/>
                <w:szCs w:val="20"/>
                <w:lang w:bidi="ar-EG"/>
              </w:rPr>
              <w:t>83</w:t>
            </w:r>
          </w:p>
        </w:tc>
      </w:tr>
      <w:tr w:rsidR="00EE2070" w:rsidRPr="006166FB" w14:paraId="33A4A713" w14:textId="77777777" w:rsidTr="00F36213">
        <w:trPr>
          <w:trHeight w:hRule="exact" w:val="397"/>
          <w:jc w:val="center"/>
        </w:trPr>
        <w:tc>
          <w:tcPr>
            <w:tcW w:w="490" w:type="dxa"/>
            <w:noWrap/>
            <w:vAlign w:val="center"/>
            <w:hideMark/>
          </w:tcPr>
          <w:p w14:paraId="7BF8AF2F" w14:textId="77777777" w:rsidR="00EE2070" w:rsidRPr="006166FB" w:rsidRDefault="00EE2070" w:rsidP="00E6670A">
            <w:pPr>
              <w:bidi w:val="0"/>
              <w:jc w:val="center"/>
              <w:rPr>
                <w:sz w:val="20"/>
                <w:szCs w:val="20"/>
                <w:lang w:bidi="ar-EG"/>
              </w:rPr>
            </w:pPr>
          </w:p>
        </w:tc>
        <w:tc>
          <w:tcPr>
            <w:tcW w:w="4202" w:type="dxa"/>
            <w:noWrap/>
            <w:vAlign w:val="center"/>
            <w:hideMark/>
          </w:tcPr>
          <w:p w14:paraId="0E65924B" w14:textId="77777777" w:rsidR="00EE2070" w:rsidRPr="006166FB" w:rsidRDefault="00EE2070" w:rsidP="00E6670A">
            <w:pPr>
              <w:bidi w:val="0"/>
              <w:jc w:val="right"/>
              <w:rPr>
                <w:sz w:val="20"/>
                <w:szCs w:val="20"/>
                <w:lang w:bidi="ar-EG"/>
              </w:rPr>
            </w:pPr>
            <w:r w:rsidRPr="006166FB">
              <w:rPr>
                <w:sz w:val="20"/>
                <w:szCs w:val="20"/>
                <w:lang w:bidi="ar-EG"/>
              </w:rPr>
              <w:t>Notes to the IFRS Example Consolidated</w:t>
            </w:r>
          </w:p>
        </w:tc>
        <w:tc>
          <w:tcPr>
            <w:tcW w:w="653" w:type="dxa"/>
            <w:noWrap/>
            <w:vAlign w:val="center"/>
            <w:hideMark/>
          </w:tcPr>
          <w:p w14:paraId="69A9F03B" w14:textId="77777777" w:rsidR="00EE2070" w:rsidRPr="006166FB" w:rsidRDefault="00EE2070" w:rsidP="00E6670A">
            <w:pPr>
              <w:bidi w:val="0"/>
              <w:jc w:val="center"/>
              <w:rPr>
                <w:sz w:val="20"/>
                <w:szCs w:val="20"/>
                <w:lang w:bidi="ar-EG"/>
              </w:rPr>
            </w:pPr>
            <w:r w:rsidRPr="006166FB">
              <w:rPr>
                <w:sz w:val="20"/>
                <w:szCs w:val="20"/>
                <w:lang w:bidi="ar-EG"/>
              </w:rPr>
              <w:t>12</w:t>
            </w:r>
          </w:p>
        </w:tc>
        <w:tc>
          <w:tcPr>
            <w:tcW w:w="466" w:type="dxa"/>
            <w:noWrap/>
            <w:vAlign w:val="center"/>
            <w:hideMark/>
          </w:tcPr>
          <w:p w14:paraId="3771EEFC" w14:textId="77777777" w:rsidR="00EE2070" w:rsidRPr="006166FB" w:rsidRDefault="00EE2070" w:rsidP="00E6670A">
            <w:pPr>
              <w:bidi w:val="0"/>
              <w:jc w:val="center"/>
              <w:rPr>
                <w:sz w:val="20"/>
                <w:szCs w:val="20"/>
                <w:lang w:bidi="ar-EG"/>
              </w:rPr>
            </w:pPr>
            <w:r w:rsidRPr="006166FB">
              <w:rPr>
                <w:sz w:val="20"/>
                <w:szCs w:val="20"/>
                <w:lang w:bidi="ar-EG"/>
              </w:rPr>
              <w:t>26</w:t>
            </w:r>
          </w:p>
        </w:tc>
        <w:tc>
          <w:tcPr>
            <w:tcW w:w="4289" w:type="dxa"/>
            <w:noWrap/>
            <w:vAlign w:val="center"/>
            <w:hideMark/>
          </w:tcPr>
          <w:p w14:paraId="28EA1470" w14:textId="77777777" w:rsidR="00EE2070" w:rsidRPr="006166FB" w:rsidRDefault="00EE2070" w:rsidP="00E6670A">
            <w:pPr>
              <w:bidi w:val="0"/>
              <w:jc w:val="right"/>
              <w:rPr>
                <w:sz w:val="20"/>
                <w:szCs w:val="20"/>
                <w:lang w:bidi="ar-EG"/>
              </w:rPr>
            </w:pPr>
            <w:r w:rsidRPr="006166FB">
              <w:rPr>
                <w:sz w:val="20"/>
                <w:szCs w:val="20"/>
                <w:lang w:bidi="ar-EG"/>
              </w:rPr>
              <w:t>Reconciliation of liabilities arising from</w:t>
            </w:r>
          </w:p>
        </w:tc>
        <w:tc>
          <w:tcPr>
            <w:tcW w:w="653" w:type="dxa"/>
            <w:noWrap/>
            <w:vAlign w:val="center"/>
            <w:hideMark/>
          </w:tcPr>
          <w:p w14:paraId="371ECCD4" w14:textId="77777777" w:rsidR="00EE2070" w:rsidRPr="006166FB" w:rsidRDefault="00EE2070" w:rsidP="00E6670A">
            <w:pPr>
              <w:bidi w:val="0"/>
              <w:jc w:val="center"/>
              <w:rPr>
                <w:sz w:val="20"/>
                <w:szCs w:val="20"/>
                <w:lang w:bidi="ar-EG"/>
              </w:rPr>
            </w:pPr>
            <w:r w:rsidRPr="006166FB">
              <w:rPr>
                <w:sz w:val="20"/>
                <w:szCs w:val="20"/>
                <w:lang w:bidi="ar-EG"/>
              </w:rPr>
              <w:t>84</w:t>
            </w:r>
          </w:p>
        </w:tc>
      </w:tr>
      <w:tr w:rsidR="006166FB" w:rsidRPr="006166FB" w14:paraId="0472C2AD" w14:textId="77777777" w:rsidTr="00F36213">
        <w:trPr>
          <w:trHeight w:hRule="exact" w:val="397"/>
          <w:jc w:val="center"/>
        </w:trPr>
        <w:tc>
          <w:tcPr>
            <w:tcW w:w="490" w:type="dxa"/>
            <w:noWrap/>
            <w:vAlign w:val="center"/>
            <w:hideMark/>
          </w:tcPr>
          <w:p w14:paraId="4EAA575F" w14:textId="77777777" w:rsidR="00EE2070" w:rsidRPr="006166FB" w:rsidRDefault="00EE2070" w:rsidP="00E6670A">
            <w:pPr>
              <w:bidi w:val="0"/>
              <w:jc w:val="center"/>
              <w:rPr>
                <w:sz w:val="20"/>
                <w:szCs w:val="20"/>
                <w:lang w:bidi="ar-EG"/>
              </w:rPr>
            </w:pPr>
          </w:p>
        </w:tc>
        <w:tc>
          <w:tcPr>
            <w:tcW w:w="4202" w:type="dxa"/>
            <w:noWrap/>
            <w:vAlign w:val="center"/>
            <w:hideMark/>
          </w:tcPr>
          <w:p w14:paraId="77E6BEAF" w14:textId="77777777" w:rsidR="00EE2070" w:rsidRPr="006166FB" w:rsidRDefault="00EE2070" w:rsidP="00E6670A">
            <w:pPr>
              <w:bidi w:val="0"/>
              <w:jc w:val="right"/>
              <w:rPr>
                <w:sz w:val="20"/>
                <w:szCs w:val="20"/>
                <w:lang w:bidi="ar-EG"/>
              </w:rPr>
            </w:pPr>
            <w:r w:rsidRPr="006166FB">
              <w:rPr>
                <w:sz w:val="20"/>
                <w:szCs w:val="20"/>
                <w:lang w:bidi="ar-EG"/>
              </w:rPr>
              <w:t>Financial Statements</w:t>
            </w:r>
          </w:p>
        </w:tc>
        <w:tc>
          <w:tcPr>
            <w:tcW w:w="653" w:type="dxa"/>
            <w:noWrap/>
            <w:vAlign w:val="center"/>
            <w:hideMark/>
          </w:tcPr>
          <w:p w14:paraId="6A2E4458" w14:textId="77777777" w:rsidR="00EE2070" w:rsidRPr="006166FB" w:rsidRDefault="00EE2070" w:rsidP="00E6670A">
            <w:pPr>
              <w:bidi w:val="0"/>
              <w:jc w:val="center"/>
              <w:rPr>
                <w:sz w:val="20"/>
                <w:szCs w:val="20"/>
                <w:lang w:bidi="ar-EG"/>
              </w:rPr>
            </w:pPr>
          </w:p>
        </w:tc>
        <w:tc>
          <w:tcPr>
            <w:tcW w:w="466" w:type="dxa"/>
            <w:noWrap/>
            <w:vAlign w:val="center"/>
            <w:hideMark/>
          </w:tcPr>
          <w:p w14:paraId="0C00DF14" w14:textId="77777777" w:rsidR="00EE2070" w:rsidRPr="006166FB" w:rsidRDefault="00EE2070" w:rsidP="00E6670A">
            <w:pPr>
              <w:bidi w:val="0"/>
              <w:jc w:val="center"/>
              <w:rPr>
                <w:sz w:val="20"/>
                <w:szCs w:val="20"/>
                <w:lang w:bidi="ar-EG"/>
              </w:rPr>
            </w:pPr>
          </w:p>
        </w:tc>
        <w:tc>
          <w:tcPr>
            <w:tcW w:w="4289" w:type="dxa"/>
            <w:noWrap/>
            <w:vAlign w:val="center"/>
            <w:hideMark/>
          </w:tcPr>
          <w:p w14:paraId="187AC674" w14:textId="77777777" w:rsidR="00EE2070" w:rsidRPr="006166FB" w:rsidRDefault="00EE2070" w:rsidP="00E6670A">
            <w:pPr>
              <w:bidi w:val="0"/>
              <w:jc w:val="right"/>
              <w:rPr>
                <w:sz w:val="20"/>
                <w:szCs w:val="20"/>
                <w:lang w:bidi="ar-EG"/>
              </w:rPr>
            </w:pPr>
            <w:r w:rsidRPr="006166FB">
              <w:rPr>
                <w:sz w:val="20"/>
                <w:szCs w:val="20"/>
                <w:lang w:bidi="ar-EG"/>
              </w:rPr>
              <w:t>financing activities</w:t>
            </w:r>
          </w:p>
        </w:tc>
        <w:tc>
          <w:tcPr>
            <w:tcW w:w="653" w:type="dxa"/>
            <w:noWrap/>
            <w:vAlign w:val="center"/>
            <w:hideMark/>
          </w:tcPr>
          <w:p w14:paraId="391C0EDB" w14:textId="77777777" w:rsidR="00EE2070" w:rsidRPr="006166FB" w:rsidRDefault="00EE2070" w:rsidP="00E6670A">
            <w:pPr>
              <w:bidi w:val="0"/>
              <w:jc w:val="center"/>
              <w:rPr>
                <w:sz w:val="20"/>
                <w:szCs w:val="20"/>
                <w:lang w:bidi="ar-EG"/>
              </w:rPr>
            </w:pPr>
          </w:p>
        </w:tc>
      </w:tr>
      <w:tr w:rsidR="00EE2070" w:rsidRPr="006166FB" w14:paraId="26130078" w14:textId="77777777" w:rsidTr="00F36213">
        <w:trPr>
          <w:trHeight w:hRule="exact" w:val="397"/>
          <w:jc w:val="center"/>
        </w:trPr>
        <w:tc>
          <w:tcPr>
            <w:tcW w:w="490" w:type="dxa"/>
            <w:noWrap/>
            <w:vAlign w:val="center"/>
            <w:hideMark/>
          </w:tcPr>
          <w:p w14:paraId="41A31587" w14:textId="77777777" w:rsidR="00EE2070" w:rsidRPr="006166FB" w:rsidRDefault="00EE2070" w:rsidP="00E6670A">
            <w:pPr>
              <w:bidi w:val="0"/>
              <w:jc w:val="center"/>
              <w:rPr>
                <w:sz w:val="20"/>
                <w:szCs w:val="20"/>
                <w:lang w:bidi="ar-EG"/>
              </w:rPr>
            </w:pPr>
            <w:r w:rsidRPr="006166FB">
              <w:rPr>
                <w:sz w:val="20"/>
                <w:szCs w:val="20"/>
                <w:lang w:bidi="ar-EG"/>
              </w:rPr>
              <w:t>1</w:t>
            </w:r>
          </w:p>
        </w:tc>
        <w:tc>
          <w:tcPr>
            <w:tcW w:w="4202" w:type="dxa"/>
            <w:noWrap/>
            <w:vAlign w:val="center"/>
            <w:hideMark/>
          </w:tcPr>
          <w:p w14:paraId="287DBC1A" w14:textId="77777777" w:rsidR="00EE2070" w:rsidRPr="006166FB" w:rsidRDefault="00EE2070" w:rsidP="00E6670A">
            <w:pPr>
              <w:bidi w:val="0"/>
              <w:jc w:val="right"/>
              <w:rPr>
                <w:sz w:val="20"/>
                <w:szCs w:val="20"/>
                <w:lang w:bidi="ar-EG"/>
              </w:rPr>
            </w:pPr>
            <w:r w:rsidRPr="006166FB">
              <w:rPr>
                <w:sz w:val="20"/>
                <w:szCs w:val="20"/>
                <w:lang w:bidi="ar-EG"/>
              </w:rPr>
              <w:t>Nature of operations</w:t>
            </w:r>
          </w:p>
        </w:tc>
        <w:tc>
          <w:tcPr>
            <w:tcW w:w="653" w:type="dxa"/>
            <w:noWrap/>
            <w:vAlign w:val="center"/>
            <w:hideMark/>
          </w:tcPr>
          <w:p w14:paraId="7AA60609" w14:textId="77777777" w:rsidR="00EE2070" w:rsidRPr="006166FB" w:rsidRDefault="00EE2070" w:rsidP="00E6670A">
            <w:pPr>
              <w:bidi w:val="0"/>
              <w:jc w:val="center"/>
              <w:rPr>
                <w:sz w:val="20"/>
                <w:szCs w:val="20"/>
                <w:lang w:bidi="ar-EG"/>
              </w:rPr>
            </w:pPr>
            <w:r w:rsidRPr="006166FB">
              <w:rPr>
                <w:sz w:val="20"/>
                <w:szCs w:val="20"/>
                <w:lang w:bidi="ar-EG"/>
              </w:rPr>
              <w:t>13</w:t>
            </w:r>
          </w:p>
        </w:tc>
        <w:tc>
          <w:tcPr>
            <w:tcW w:w="466" w:type="dxa"/>
            <w:noWrap/>
            <w:vAlign w:val="center"/>
            <w:hideMark/>
          </w:tcPr>
          <w:p w14:paraId="4E428A3E" w14:textId="77777777" w:rsidR="00EE2070" w:rsidRPr="006166FB" w:rsidRDefault="00EE2070" w:rsidP="00E6670A">
            <w:pPr>
              <w:bidi w:val="0"/>
              <w:jc w:val="center"/>
              <w:rPr>
                <w:sz w:val="20"/>
                <w:szCs w:val="20"/>
                <w:lang w:bidi="ar-EG"/>
              </w:rPr>
            </w:pPr>
            <w:r w:rsidRPr="006166FB">
              <w:rPr>
                <w:sz w:val="20"/>
                <w:szCs w:val="20"/>
                <w:lang w:bidi="ar-EG"/>
              </w:rPr>
              <w:t>27</w:t>
            </w:r>
          </w:p>
        </w:tc>
        <w:tc>
          <w:tcPr>
            <w:tcW w:w="4289" w:type="dxa"/>
            <w:noWrap/>
            <w:vAlign w:val="center"/>
            <w:hideMark/>
          </w:tcPr>
          <w:p w14:paraId="69BE59D7" w14:textId="77777777" w:rsidR="00EE2070" w:rsidRPr="006166FB" w:rsidRDefault="00EE2070" w:rsidP="00E6670A">
            <w:pPr>
              <w:bidi w:val="0"/>
              <w:jc w:val="right"/>
              <w:rPr>
                <w:sz w:val="20"/>
                <w:szCs w:val="20"/>
                <w:lang w:bidi="ar-EG"/>
              </w:rPr>
            </w:pPr>
            <w:r w:rsidRPr="006166FB">
              <w:rPr>
                <w:sz w:val="20"/>
                <w:szCs w:val="20"/>
                <w:lang w:bidi="ar-EG"/>
              </w:rPr>
              <w:t>Finance costs and finance income</w:t>
            </w:r>
          </w:p>
        </w:tc>
        <w:tc>
          <w:tcPr>
            <w:tcW w:w="653" w:type="dxa"/>
            <w:noWrap/>
            <w:vAlign w:val="center"/>
            <w:hideMark/>
          </w:tcPr>
          <w:p w14:paraId="46898DD5" w14:textId="77777777" w:rsidR="00EE2070" w:rsidRPr="006166FB" w:rsidRDefault="00EE2070" w:rsidP="00E6670A">
            <w:pPr>
              <w:bidi w:val="0"/>
              <w:jc w:val="center"/>
              <w:rPr>
                <w:sz w:val="20"/>
                <w:szCs w:val="20"/>
                <w:lang w:bidi="ar-EG"/>
              </w:rPr>
            </w:pPr>
            <w:r w:rsidRPr="006166FB">
              <w:rPr>
                <w:sz w:val="20"/>
                <w:szCs w:val="20"/>
                <w:lang w:bidi="ar-EG"/>
              </w:rPr>
              <w:t>85</w:t>
            </w:r>
          </w:p>
        </w:tc>
      </w:tr>
      <w:tr w:rsidR="006166FB" w:rsidRPr="006166FB" w14:paraId="2AA79DFE" w14:textId="77777777" w:rsidTr="00F36213">
        <w:trPr>
          <w:trHeight w:hRule="exact" w:val="397"/>
          <w:jc w:val="center"/>
        </w:trPr>
        <w:tc>
          <w:tcPr>
            <w:tcW w:w="490" w:type="dxa"/>
            <w:noWrap/>
            <w:vAlign w:val="center"/>
            <w:hideMark/>
          </w:tcPr>
          <w:p w14:paraId="4205B823" w14:textId="77777777" w:rsidR="00EE2070" w:rsidRPr="006166FB" w:rsidRDefault="00EE2070" w:rsidP="00E6670A">
            <w:pPr>
              <w:bidi w:val="0"/>
              <w:jc w:val="center"/>
              <w:rPr>
                <w:sz w:val="20"/>
                <w:szCs w:val="20"/>
                <w:lang w:bidi="ar-EG"/>
              </w:rPr>
            </w:pPr>
            <w:r w:rsidRPr="006166FB">
              <w:rPr>
                <w:sz w:val="20"/>
                <w:szCs w:val="20"/>
                <w:lang w:bidi="ar-EG"/>
              </w:rPr>
              <w:t>2</w:t>
            </w:r>
          </w:p>
        </w:tc>
        <w:tc>
          <w:tcPr>
            <w:tcW w:w="4202" w:type="dxa"/>
            <w:noWrap/>
            <w:vAlign w:val="center"/>
            <w:hideMark/>
          </w:tcPr>
          <w:p w14:paraId="7075E78F" w14:textId="77777777" w:rsidR="00EE2070" w:rsidRPr="006166FB" w:rsidRDefault="00EE2070" w:rsidP="00E6670A">
            <w:pPr>
              <w:bidi w:val="0"/>
              <w:jc w:val="right"/>
              <w:rPr>
                <w:sz w:val="20"/>
                <w:szCs w:val="20"/>
                <w:lang w:bidi="ar-EG"/>
              </w:rPr>
            </w:pPr>
            <w:r w:rsidRPr="006166FB">
              <w:rPr>
                <w:sz w:val="20"/>
                <w:szCs w:val="20"/>
                <w:lang w:bidi="ar-EG"/>
              </w:rPr>
              <w:t>General information, statement of compliance</w:t>
            </w:r>
          </w:p>
        </w:tc>
        <w:tc>
          <w:tcPr>
            <w:tcW w:w="653" w:type="dxa"/>
            <w:noWrap/>
            <w:vAlign w:val="center"/>
            <w:hideMark/>
          </w:tcPr>
          <w:p w14:paraId="764158C6" w14:textId="77777777" w:rsidR="00EE2070" w:rsidRPr="006166FB" w:rsidRDefault="00EE2070" w:rsidP="00E6670A">
            <w:pPr>
              <w:bidi w:val="0"/>
              <w:jc w:val="center"/>
              <w:rPr>
                <w:sz w:val="20"/>
                <w:szCs w:val="20"/>
                <w:lang w:bidi="ar-EG"/>
              </w:rPr>
            </w:pPr>
            <w:r w:rsidRPr="006166FB">
              <w:rPr>
                <w:sz w:val="20"/>
                <w:szCs w:val="20"/>
                <w:lang w:bidi="ar-EG"/>
              </w:rPr>
              <w:t>13</w:t>
            </w:r>
          </w:p>
        </w:tc>
        <w:tc>
          <w:tcPr>
            <w:tcW w:w="466" w:type="dxa"/>
            <w:noWrap/>
            <w:vAlign w:val="center"/>
            <w:hideMark/>
          </w:tcPr>
          <w:p w14:paraId="43F79FA3" w14:textId="77777777" w:rsidR="00EE2070" w:rsidRPr="006166FB" w:rsidRDefault="00EE2070" w:rsidP="00E6670A">
            <w:pPr>
              <w:bidi w:val="0"/>
              <w:jc w:val="center"/>
              <w:rPr>
                <w:sz w:val="20"/>
                <w:szCs w:val="20"/>
                <w:lang w:bidi="ar-EG"/>
              </w:rPr>
            </w:pPr>
            <w:r w:rsidRPr="006166FB">
              <w:rPr>
                <w:sz w:val="20"/>
                <w:szCs w:val="20"/>
                <w:lang w:bidi="ar-EG"/>
              </w:rPr>
              <w:t>28</w:t>
            </w:r>
          </w:p>
        </w:tc>
        <w:tc>
          <w:tcPr>
            <w:tcW w:w="4289" w:type="dxa"/>
            <w:noWrap/>
            <w:vAlign w:val="center"/>
            <w:hideMark/>
          </w:tcPr>
          <w:p w14:paraId="0DB405DC" w14:textId="77777777" w:rsidR="00EE2070" w:rsidRPr="006166FB" w:rsidRDefault="00EE2070" w:rsidP="00E6670A">
            <w:pPr>
              <w:bidi w:val="0"/>
              <w:jc w:val="right"/>
              <w:rPr>
                <w:sz w:val="20"/>
                <w:szCs w:val="20"/>
                <w:lang w:bidi="ar-EG"/>
              </w:rPr>
            </w:pPr>
            <w:r w:rsidRPr="006166FB">
              <w:rPr>
                <w:sz w:val="20"/>
                <w:szCs w:val="20"/>
                <w:lang w:bidi="ar-EG"/>
              </w:rPr>
              <w:t>Other financial items</w:t>
            </w:r>
          </w:p>
        </w:tc>
        <w:tc>
          <w:tcPr>
            <w:tcW w:w="653" w:type="dxa"/>
            <w:noWrap/>
            <w:vAlign w:val="center"/>
            <w:hideMark/>
          </w:tcPr>
          <w:p w14:paraId="4E519400" w14:textId="77777777" w:rsidR="00EE2070" w:rsidRPr="006166FB" w:rsidRDefault="00EE2070" w:rsidP="00E6670A">
            <w:pPr>
              <w:bidi w:val="0"/>
              <w:jc w:val="center"/>
              <w:rPr>
                <w:sz w:val="20"/>
                <w:szCs w:val="20"/>
                <w:lang w:bidi="ar-EG"/>
              </w:rPr>
            </w:pPr>
            <w:r w:rsidRPr="006166FB">
              <w:rPr>
                <w:sz w:val="20"/>
                <w:szCs w:val="20"/>
                <w:lang w:bidi="ar-EG"/>
              </w:rPr>
              <w:t>85</w:t>
            </w:r>
          </w:p>
        </w:tc>
      </w:tr>
      <w:tr w:rsidR="00EE2070" w:rsidRPr="006166FB" w14:paraId="0AA5AA43" w14:textId="77777777" w:rsidTr="00F36213">
        <w:trPr>
          <w:trHeight w:hRule="exact" w:val="397"/>
          <w:jc w:val="center"/>
        </w:trPr>
        <w:tc>
          <w:tcPr>
            <w:tcW w:w="490" w:type="dxa"/>
            <w:noWrap/>
            <w:vAlign w:val="center"/>
            <w:hideMark/>
          </w:tcPr>
          <w:p w14:paraId="7B64D284" w14:textId="77777777" w:rsidR="00EE2070" w:rsidRPr="006166FB" w:rsidRDefault="00EE2070" w:rsidP="00E6670A">
            <w:pPr>
              <w:bidi w:val="0"/>
              <w:jc w:val="center"/>
              <w:rPr>
                <w:sz w:val="20"/>
                <w:szCs w:val="20"/>
                <w:lang w:bidi="ar-EG"/>
              </w:rPr>
            </w:pPr>
          </w:p>
        </w:tc>
        <w:tc>
          <w:tcPr>
            <w:tcW w:w="4202" w:type="dxa"/>
            <w:noWrap/>
            <w:vAlign w:val="center"/>
            <w:hideMark/>
          </w:tcPr>
          <w:p w14:paraId="65ED0976" w14:textId="77777777" w:rsidR="00EE2070" w:rsidRPr="006166FB" w:rsidRDefault="00EE2070" w:rsidP="00E6670A">
            <w:pPr>
              <w:bidi w:val="0"/>
              <w:jc w:val="right"/>
              <w:rPr>
                <w:sz w:val="20"/>
                <w:szCs w:val="20"/>
                <w:lang w:bidi="ar-EG"/>
              </w:rPr>
            </w:pPr>
            <w:r w:rsidRPr="006166FB">
              <w:rPr>
                <w:sz w:val="20"/>
                <w:szCs w:val="20"/>
                <w:lang w:bidi="ar-EG"/>
              </w:rPr>
              <w:t>with IFRS and going concern assumption</w:t>
            </w:r>
          </w:p>
        </w:tc>
        <w:tc>
          <w:tcPr>
            <w:tcW w:w="653" w:type="dxa"/>
            <w:noWrap/>
            <w:vAlign w:val="center"/>
            <w:hideMark/>
          </w:tcPr>
          <w:p w14:paraId="5190E947" w14:textId="77777777" w:rsidR="00EE2070" w:rsidRPr="006166FB" w:rsidRDefault="00EE2070" w:rsidP="00E6670A">
            <w:pPr>
              <w:bidi w:val="0"/>
              <w:jc w:val="center"/>
              <w:rPr>
                <w:sz w:val="20"/>
                <w:szCs w:val="20"/>
                <w:lang w:bidi="ar-EG"/>
              </w:rPr>
            </w:pPr>
          </w:p>
        </w:tc>
        <w:tc>
          <w:tcPr>
            <w:tcW w:w="466" w:type="dxa"/>
            <w:noWrap/>
            <w:vAlign w:val="center"/>
            <w:hideMark/>
          </w:tcPr>
          <w:p w14:paraId="3F523AD6" w14:textId="77777777" w:rsidR="00EE2070" w:rsidRPr="006166FB" w:rsidRDefault="00EE2070" w:rsidP="00E6670A">
            <w:pPr>
              <w:bidi w:val="0"/>
              <w:jc w:val="center"/>
              <w:rPr>
                <w:sz w:val="20"/>
                <w:szCs w:val="20"/>
                <w:lang w:bidi="ar-EG"/>
              </w:rPr>
            </w:pPr>
            <w:r w:rsidRPr="006166FB">
              <w:rPr>
                <w:sz w:val="20"/>
                <w:szCs w:val="20"/>
                <w:lang w:bidi="ar-EG"/>
              </w:rPr>
              <w:t>29</w:t>
            </w:r>
          </w:p>
        </w:tc>
        <w:tc>
          <w:tcPr>
            <w:tcW w:w="4289" w:type="dxa"/>
            <w:noWrap/>
            <w:vAlign w:val="center"/>
            <w:hideMark/>
          </w:tcPr>
          <w:p w14:paraId="50A7E8C0" w14:textId="77777777" w:rsidR="00EE2070" w:rsidRPr="006166FB" w:rsidRDefault="00EE2070" w:rsidP="00E6670A">
            <w:pPr>
              <w:bidi w:val="0"/>
              <w:jc w:val="right"/>
              <w:rPr>
                <w:sz w:val="20"/>
                <w:szCs w:val="20"/>
                <w:lang w:bidi="ar-EG"/>
              </w:rPr>
            </w:pPr>
            <w:r w:rsidRPr="006166FB">
              <w:rPr>
                <w:sz w:val="20"/>
                <w:szCs w:val="20"/>
                <w:lang w:bidi="ar-EG"/>
              </w:rPr>
              <w:t>Tax expense</w:t>
            </w:r>
          </w:p>
        </w:tc>
        <w:tc>
          <w:tcPr>
            <w:tcW w:w="653" w:type="dxa"/>
            <w:noWrap/>
            <w:vAlign w:val="center"/>
            <w:hideMark/>
          </w:tcPr>
          <w:p w14:paraId="5498F2C1" w14:textId="77777777" w:rsidR="00EE2070" w:rsidRPr="006166FB" w:rsidRDefault="00EE2070" w:rsidP="00E6670A">
            <w:pPr>
              <w:bidi w:val="0"/>
              <w:jc w:val="center"/>
              <w:rPr>
                <w:sz w:val="20"/>
                <w:szCs w:val="20"/>
                <w:lang w:bidi="ar-EG"/>
              </w:rPr>
            </w:pPr>
            <w:r w:rsidRPr="006166FB">
              <w:rPr>
                <w:sz w:val="20"/>
                <w:szCs w:val="20"/>
                <w:lang w:bidi="ar-EG"/>
              </w:rPr>
              <w:t>86</w:t>
            </w:r>
          </w:p>
        </w:tc>
      </w:tr>
      <w:tr w:rsidR="006166FB" w:rsidRPr="006166FB" w14:paraId="0E72FC4F" w14:textId="77777777" w:rsidTr="00F36213">
        <w:trPr>
          <w:trHeight w:hRule="exact" w:val="397"/>
          <w:jc w:val="center"/>
        </w:trPr>
        <w:tc>
          <w:tcPr>
            <w:tcW w:w="490" w:type="dxa"/>
            <w:noWrap/>
            <w:vAlign w:val="center"/>
            <w:hideMark/>
          </w:tcPr>
          <w:p w14:paraId="10817F25" w14:textId="425BF9F5" w:rsidR="00EE2070" w:rsidRPr="006166FB" w:rsidRDefault="00EE2070" w:rsidP="00E6670A">
            <w:pPr>
              <w:bidi w:val="0"/>
              <w:jc w:val="center"/>
              <w:rPr>
                <w:sz w:val="20"/>
                <w:szCs w:val="20"/>
                <w:lang w:bidi="ar-EG"/>
              </w:rPr>
            </w:pPr>
            <w:r w:rsidRPr="006166FB">
              <w:rPr>
                <w:rFonts w:hint="cs"/>
                <w:sz w:val="20"/>
                <w:szCs w:val="20"/>
                <w:rtl/>
                <w:lang w:bidi="ar"/>
              </w:rPr>
              <w:t>3</w:t>
            </w:r>
          </w:p>
        </w:tc>
        <w:tc>
          <w:tcPr>
            <w:tcW w:w="4202" w:type="dxa"/>
            <w:noWrap/>
            <w:vAlign w:val="center"/>
            <w:hideMark/>
          </w:tcPr>
          <w:p w14:paraId="52F767C3" w14:textId="77777777" w:rsidR="00EE2070" w:rsidRPr="006166FB" w:rsidRDefault="00EE2070" w:rsidP="00E6670A">
            <w:pPr>
              <w:bidi w:val="0"/>
              <w:jc w:val="right"/>
              <w:rPr>
                <w:sz w:val="20"/>
                <w:szCs w:val="20"/>
                <w:rtl/>
              </w:rPr>
            </w:pPr>
            <w:r w:rsidRPr="006166FB">
              <w:rPr>
                <w:sz w:val="20"/>
                <w:szCs w:val="20"/>
                <w:lang w:bidi="ar-EG"/>
              </w:rPr>
              <w:t>New or revised Standards or Interpretations</w:t>
            </w:r>
          </w:p>
        </w:tc>
        <w:tc>
          <w:tcPr>
            <w:tcW w:w="653" w:type="dxa"/>
            <w:noWrap/>
            <w:vAlign w:val="center"/>
            <w:hideMark/>
          </w:tcPr>
          <w:p w14:paraId="78547BF4" w14:textId="77777777" w:rsidR="00EE2070" w:rsidRPr="006166FB" w:rsidRDefault="00EE2070" w:rsidP="00E6670A">
            <w:pPr>
              <w:bidi w:val="0"/>
              <w:jc w:val="center"/>
              <w:rPr>
                <w:sz w:val="20"/>
                <w:szCs w:val="20"/>
                <w:lang w:bidi="ar-EG"/>
              </w:rPr>
            </w:pPr>
            <w:r w:rsidRPr="006166FB">
              <w:rPr>
                <w:sz w:val="20"/>
                <w:szCs w:val="20"/>
                <w:lang w:bidi="ar-EG"/>
              </w:rPr>
              <w:t>14</w:t>
            </w:r>
          </w:p>
        </w:tc>
        <w:tc>
          <w:tcPr>
            <w:tcW w:w="466" w:type="dxa"/>
            <w:noWrap/>
            <w:vAlign w:val="center"/>
            <w:hideMark/>
          </w:tcPr>
          <w:p w14:paraId="5C2430DB" w14:textId="77777777" w:rsidR="00EE2070" w:rsidRPr="006166FB" w:rsidRDefault="00EE2070" w:rsidP="00E6670A">
            <w:pPr>
              <w:bidi w:val="0"/>
              <w:jc w:val="center"/>
              <w:rPr>
                <w:sz w:val="20"/>
                <w:szCs w:val="20"/>
                <w:lang w:bidi="ar-EG"/>
              </w:rPr>
            </w:pPr>
            <w:r w:rsidRPr="006166FB">
              <w:rPr>
                <w:sz w:val="20"/>
                <w:szCs w:val="20"/>
                <w:lang w:bidi="ar-EG"/>
              </w:rPr>
              <w:t>30</w:t>
            </w:r>
          </w:p>
        </w:tc>
        <w:tc>
          <w:tcPr>
            <w:tcW w:w="4289" w:type="dxa"/>
            <w:noWrap/>
            <w:vAlign w:val="center"/>
            <w:hideMark/>
          </w:tcPr>
          <w:p w14:paraId="73732D14" w14:textId="77777777" w:rsidR="00EE2070" w:rsidRPr="006166FB" w:rsidRDefault="00EE2070" w:rsidP="00E6670A">
            <w:pPr>
              <w:bidi w:val="0"/>
              <w:jc w:val="right"/>
              <w:rPr>
                <w:sz w:val="20"/>
                <w:szCs w:val="20"/>
                <w:lang w:bidi="ar-EG"/>
              </w:rPr>
            </w:pPr>
            <w:r w:rsidRPr="006166FB">
              <w:rPr>
                <w:sz w:val="20"/>
                <w:szCs w:val="20"/>
                <w:lang w:bidi="ar-EG"/>
              </w:rPr>
              <w:t>Earnings per share and dividends</w:t>
            </w:r>
          </w:p>
        </w:tc>
        <w:tc>
          <w:tcPr>
            <w:tcW w:w="653" w:type="dxa"/>
            <w:noWrap/>
            <w:vAlign w:val="center"/>
            <w:hideMark/>
          </w:tcPr>
          <w:p w14:paraId="24954B35" w14:textId="77777777" w:rsidR="00EE2070" w:rsidRPr="006166FB" w:rsidRDefault="00EE2070" w:rsidP="00E6670A">
            <w:pPr>
              <w:bidi w:val="0"/>
              <w:jc w:val="center"/>
              <w:rPr>
                <w:sz w:val="20"/>
                <w:szCs w:val="20"/>
                <w:lang w:bidi="ar-EG"/>
              </w:rPr>
            </w:pPr>
            <w:r w:rsidRPr="006166FB">
              <w:rPr>
                <w:sz w:val="20"/>
                <w:szCs w:val="20"/>
                <w:lang w:bidi="ar-EG"/>
              </w:rPr>
              <w:t>87</w:t>
            </w:r>
          </w:p>
        </w:tc>
      </w:tr>
      <w:tr w:rsidR="00EE2070" w:rsidRPr="006166FB" w14:paraId="00DA0266" w14:textId="77777777" w:rsidTr="00F36213">
        <w:trPr>
          <w:trHeight w:hRule="exact" w:val="397"/>
          <w:jc w:val="center"/>
        </w:trPr>
        <w:tc>
          <w:tcPr>
            <w:tcW w:w="490" w:type="dxa"/>
            <w:noWrap/>
            <w:vAlign w:val="center"/>
            <w:hideMark/>
          </w:tcPr>
          <w:p w14:paraId="6C46242F" w14:textId="77777777" w:rsidR="00EE2070" w:rsidRPr="006166FB" w:rsidRDefault="00EE2070" w:rsidP="00E6670A">
            <w:pPr>
              <w:bidi w:val="0"/>
              <w:jc w:val="center"/>
              <w:rPr>
                <w:sz w:val="20"/>
                <w:szCs w:val="20"/>
                <w:lang w:bidi="ar-EG"/>
              </w:rPr>
            </w:pPr>
            <w:r w:rsidRPr="006166FB">
              <w:rPr>
                <w:sz w:val="20"/>
                <w:szCs w:val="20"/>
                <w:lang w:bidi="ar-EG"/>
              </w:rPr>
              <w:t>4</w:t>
            </w:r>
          </w:p>
        </w:tc>
        <w:tc>
          <w:tcPr>
            <w:tcW w:w="4202" w:type="dxa"/>
            <w:noWrap/>
            <w:vAlign w:val="center"/>
            <w:hideMark/>
          </w:tcPr>
          <w:p w14:paraId="59E715D6" w14:textId="77777777" w:rsidR="00EE2070" w:rsidRPr="006166FB" w:rsidRDefault="00EE2070" w:rsidP="00E6670A">
            <w:pPr>
              <w:bidi w:val="0"/>
              <w:jc w:val="right"/>
              <w:rPr>
                <w:sz w:val="20"/>
                <w:szCs w:val="20"/>
                <w:lang w:bidi="ar-EG"/>
              </w:rPr>
            </w:pPr>
            <w:r w:rsidRPr="006166FB">
              <w:rPr>
                <w:sz w:val="20"/>
                <w:szCs w:val="20"/>
                <w:lang w:bidi="ar-EG"/>
              </w:rPr>
              <w:t>Significant accounting policies</w:t>
            </w:r>
          </w:p>
        </w:tc>
        <w:tc>
          <w:tcPr>
            <w:tcW w:w="653" w:type="dxa"/>
            <w:noWrap/>
            <w:vAlign w:val="center"/>
            <w:hideMark/>
          </w:tcPr>
          <w:p w14:paraId="113D88D7" w14:textId="77777777" w:rsidR="00EE2070" w:rsidRPr="006166FB" w:rsidRDefault="00EE2070" w:rsidP="00E6670A">
            <w:pPr>
              <w:bidi w:val="0"/>
              <w:jc w:val="center"/>
              <w:rPr>
                <w:sz w:val="20"/>
                <w:szCs w:val="20"/>
                <w:lang w:bidi="ar-EG"/>
              </w:rPr>
            </w:pPr>
            <w:r w:rsidRPr="006166FB">
              <w:rPr>
                <w:sz w:val="20"/>
                <w:szCs w:val="20"/>
                <w:lang w:bidi="ar-EG"/>
              </w:rPr>
              <w:t>16</w:t>
            </w:r>
          </w:p>
        </w:tc>
        <w:tc>
          <w:tcPr>
            <w:tcW w:w="466" w:type="dxa"/>
            <w:noWrap/>
            <w:vAlign w:val="center"/>
            <w:hideMark/>
          </w:tcPr>
          <w:p w14:paraId="00B74845" w14:textId="77777777" w:rsidR="00EE2070" w:rsidRPr="006166FB" w:rsidRDefault="00EE2070" w:rsidP="00E6670A">
            <w:pPr>
              <w:bidi w:val="0"/>
              <w:jc w:val="center"/>
              <w:rPr>
                <w:sz w:val="20"/>
                <w:szCs w:val="20"/>
                <w:lang w:bidi="ar-EG"/>
              </w:rPr>
            </w:pPr>
            <w:r w:rsidRPr="006166FB">
              <w:rPr>
                <w:sz w:val="20"/>
                <w:szCs w:val="20"/>
                <w:lang w:bidi="ar-EG"/>
              </w:rPr>
              <w:t>31</w:t>
            </w:r>
          </w:p>
        </w:tc>
        <w:tc>
          <w:tcPr>
            <w:tcW w:w="4289" w:type="dxa"/>
            <w:noWrap/>
            <w:vAlign w:val="center"/>
            <w:hideMark/>
          </w:tcPr>
          <w:p w14:paraId="125C4055" w14:textId="77777777" w:rsidR="00EE2070" w:rsidRPr="006166FB" w:rsidRDefault="00EE2070" w:rsidP="00E6670A">
            <w:pPr>
              <w:bidi w:val="0"/>
              <w:jc w:val="right"/>
              <w:rPr>
                <w:sz w:val="20"/>
                <w:szCs w:val="20"/>
                <w:lang w:bidi="ar-EG"/>
              </w:rPr>
            </w:pPr>
            <w:r w:rsidRPr="006166FB">
              <w:rPr>
                <w:sz w:val="20"/>
                <w:szCs w:val="20"/>
                <w:lang w:bidi="ar-EG"/>
              </w:rPr>
              <w:t>Non-cash adjustments and changes in</w:t>
            </w:r>
          </w:p>
        </w:tc>
        <w:tc>
          <w:tcPr>
            <w:tcW w:w="653" w:type="dxa"/>
            <w:noWrap/>
            <w:vAlign w:val="center"/>
            <w:hideMark/>
          </w:tcPr>
          <w:p w14:paraId="781CB85F" w14:textId="77777777" w:rsidR="00EE2070" w:rsidRPr="006166FB" w:rsidRDefault="00EE2070" w:rsidP="00E6670A">
            <w:pPr>
              <w:bidi w:val="0"/>
              <w:jc w:val="center"/>
              <w:rPr>
                <w:sz w:val="20"/>
                <w:szCs w:val="20"/>
                <w:lang w:bidi="ar-EG"/>
              </w:rPr>
            </w:pPr>
            <w:r w:rsidRPr="006166FB">
              <w:rPr>
                <w:sz w:val="20"/>
                <w:szCs w:val="20"/>
                <w:lang w:bidi="ar-EG"/>
              </w:rPr>
              <w:t>88</w:t>
            </w:r>
          </w:p>
        </w:tc>
      </w:tr>
      <w:tr w:rsidR="006166FB" w:rsidRPr="006166FB" w14:paraId="20FF8969" w14:textId="77777777" w:rsidTr="00F36213">
        <w:trPr>
          <w:trHeight w:hRule="exact" w:val="397"/>
          <w:jc w:val="center"/>
        </w:trPr>
        <w:tc>
          <w:tcPr>
            <w:tcW w:w="490" w:type="dxa"/>
            <w:noWrap/>
            <w:vAlign w:val="center"/>
            <w:hideMark/>
          </w:tcPr>
          <w:p w14:paraId="469AB1E3" w14:textId="77777777" w:rsidR="00EE2070" w:rsidRPr="006166FB" w:rsidRDefault="00EE2070" w:rsidP="00E6670A">
            <w:pPr>
              <w:bidi w:val="0"/>
              <w:jc w:val="center"/>
              <w:rPr>
                <w:sz w:val="20"/>
                <w:szCs w:val="20"/>
                <w:lang w:bidi="ar-EG"/>
              </w:rPr>
            </w:pPr>
            <w:r w:rsidRPr="006166FB">
              <w:rPr>
                <w:sz w:val="20"/>
                <w:szCs w:val="20"/>
                <w:lang w:bidi="ar-EG"/>
              </w:rPr>
              <w:t>5</w:t>
            </w:r>
          </w:p>
        </w:tc>
        <w:tc>
          <w:tcPr>
            <w:tcW w:w="4202" w:type="dxa"/>
            <w:noWrap/>
            <w:vAlign w:val="center"/>
            <w:hideMark/>
          </w:tcPr>
          <w:p w14:paraId="37A71919" w14:textId="77777777" w:rsidR="00EE2070" w:rsidRPr="006166FB" w:rsidRDefault="00EE2070" w:rsidP="00E6670A">
            <w:pPr>
              <w:bidi w:val="0"/>
              <w:jc w:val="right"/>
              <w:rPr>
                <w:sz w:val="20"/>
                <w:szCs w:val="20"/>
                <w:lang w:bidi="ar-EG"/>
              </w:rPr>
            </w:pPr>
            <w:r w:rsidRPr="006166FB">
              <w:rPr>
                <w:sz w:val="20"/>
                <w:szCs w:val="20"/>
                <w:lang w:bidi="ar-EG"/>
              </w:rPr>
              <w:t>Acquisitions and disposals</w:t>
            </w:r>
          </w:p>
        </w:tc>
        <w:tc>
          <w:tcPr>
            <w:tcW w:w="653" w:type="dxa"/>
            <w:noWrap/>
            <w:vAlign w:val="center"/>
            <w:hideMark/>
          </w:tcPr>
          <w:p w14:paraId="207AABE6" w14:textId="77777777" w:rsidR="00EE2070" w:rsidRPr="006166FB" w:rsidRDefault="00EE2070" w:rsidP="00E6670A">
            <w:pPr>
              <w:bidi w:val="0"/>
              <w:jc w:val="center"/>
              <w:rPr>
                <w:sz w:val="20"/>
                <w:szCs w:val="20"/>
                <w:lang w:bidi="ar-EG"/>
              </w:rPr>
            </w:pPr>
            <w:r w:rsidRPr="006166FB">
              <w:rPr>
                <w:sz w:val="20"/>
                <w:szCs w:val="20"/>
                <w:lang w:bidi="ar-EG"/>
              </w:rPr>
              <w:t>37</w:t>
            </w:r>
          </w:p>
        </w:tc>
        <w:tc>
          <w:tcPr>
            <w:tcW w:w="466" w:type="dxa"/>
            <w:noWrap/>
            <w:vAlign w:val="center"/>
            <w:hideMark/>
          </w:tcPr>
          <w:p w14:paraId="1D216BE7" w14:textId="77777777" w:rsidR="00EE2070" w:rsidRPr="006166FB" w:rsidRDefault="00EE2070" w:rsidP="00E6670A">
            <w:pPr>
              <w:bidi w:val="0"/>
              <w:jc w:val="center"/>
              <w:rPr>
                <w:sz w:val="20"/>
                <w:szCs w:val="20"/>
                <w:lang w:bidi="ar-EG"/>
              </w:rPr>
            </w:pPr>
          </w:p>
        </w:tc>
        <w:tc>
          <w:tcPr>
            <w:tcW w:w="4289" w:type="dxa"/>
            <w:noWrap/>
            <w:vAlign w:val="center"/>
            <w:hideMark/>
          </w:tcPr>
          <w:p w14:paraId="26352C20" w14:textId="77777777" w:rsidR="00EE2070" w:rsidRPr="006166FB" w:rsidRDefault="00EE2070" w:rsidP="00E6670A">
            <w:pPr>
              <w:bidi w:val="0"/>
              <w:jc w:val="right"/>
              <w:rPr>
                <w:sz w:val="20"/>
                <w:szCs w:val="20"/>
                <w:lang w:bidi="ar-EG"/>
              </w:rPr>
            </w:pPr>
            <w:r w:rsidRPr="006166FB">
              <w:rPr>
                <w:sz w:val="20"/>
                <w:szCs w:val="20"/>
                <w:lang w:bidi="ar-EG"/>
              </w:rPr>
              <w:t>working capital</w:t>
            </w:r>
          </w:p>
        </w:tc>
        <w:tc>
          <w:tcPr>
            <w:tcW w:w="653" w:type="dxa"/>
            <w:noWrap/>
            <w:vAlign w:val="center"/>
            <w:hideMark/>
          </w:tcPr>
          <w:p w14:paraId="60EA8BBC" w14:textId="77777777" w:rsidR="00EE2070" w:rsidRPr="006166FB" w:rsidRDefault="00EE2070" w:rsidP="00E6670A">
            <w:pPr>
              <w:bidi w:val="0"/>
              <w:jc w:val="center"/>
              <w:rPr>
                <w:sz w:val="20"/>
                <w:szCs w:val="20"/>
                <w:lang w:bidi="ar-EG"/>
              </w:rPr>
            </w:pPr>
          </w:p>
        </w:tc>
      </w:tr>
      <w:tr w:rsidR="00EE2070" w:rsidRPr="006166FB" w14:paraId="4F45B719" w14:textId="77777777" w:rsidTr="00F36213">
        <w:trPr>
          <w:trHeight w:hRule="exact" w:val="397"/>
          <w:jc w:val="center"/>
        </w:trPr>
        <w:tc>
          <w:tcPr>
            <w:tcW w:w="490" w:type="dxa"/>
            <w:noWrap/>
            <w:vAlign w:val="center"/>
            <w:hideMark/>
          </w:tcPr>
          <w:p w14:paraId="06473A05" w14:textId="77777777" w:rsidR="00EE2070" w:rsidRPr="006166FB" w:rsidRDefault="00EE2070" w:rsidP="00E6670A">
            <w:pPr>
              <w:bidi w:val="0"/>
              <w:jc w:val="center"/>
              <w:rPr>
                <w:sz w:val="20"/>
                <w:szCs w:val="20"/>
                <w:lang w:bidi="ar-EG"/>
              </w:rPr>
            </w:pPr>
            <w:r w:rsidRPr="006166FB">
              <w:rPr>
                <w:sz w:val="20"/>
                <w:szCs w:val="20"/>
                <w:lang w:bidi="ar-EG"/>
              </w:rPr>
              <w:t>6</w:t>
            </w:r>
          </w:p>
        </w:tc>
        <w:tc>
          <w:tcPr>
            <w:tcW w:w="4202" w:type="dxa"/>
            <w:noWrap/>
            <w:vAlign w:val="center"/>
            <w:hideMark/>
          </w:tcPr>
          <w:p w14:paraId="7589801F" w14:textId="77777777" w:rsidR="00EE2070" w:rsidRPr="006166FB" w:rsidRDefault="00EE2070" w:rsidP="00E6670A">
            <w:pPr>
              <w:bidi w:val="0"/>
              <w:jc w:val="right"/>
              <w:rPr>
                <w:sz w:val="20"/>
                <w:szCs w:val="20"/>
                <w:lang w:bidi="ar-EG"/>
              </w:rPr>
            </w:pPr>
            <w:r w:rsidRPr="006166FB">
              <w:rPr>
                <w:sz w:val="20"/>
                <w:szCs w:val="20"/>
                <w:lang w:bidi="ar-EG"/>
              </w:rPr>
              <w:t>Interests in subsidiaries</w:t>
            </w:r>
          </w:p>
        </w:tc>
        <w:tc>
          <w:tcPr>
            <w:tcW w:w="653" w:type="dxa"/>
            <w:noWrap/>
            <w:vAlign w:val="center"/>
            <w:hideMark/>
          </w:tcPr>
          <w:p w14:paraId="370508D8" w14:textId="77777777" w:rsidR="00EE2070" w:rsidRPr="006166FB" w:rsidRDefault="00EE2070" w:rsidP="00E6670A">
            <w:pPr>
              <w:bidi w:val="0"/>
              <w:jc w:val="center"/>
              <w:rPr>
                <w:sz w:val="20"/>
                <w:szCs w:val="20"/>
                <w:lang w:bidi="ar-EG"/>
              </w:rPr>
            </w:pPr>
            <w:r w:rsidRPr="006166FB">
              <w:rPr>
                <w:sz w:val="20"/>
                <w:szCs w:val="20"/>
                <w:lang w:bidi="ar-EG"/>
              </w:rPr>
              <w:t>41</w:t>
            </w:r>
          </w:p>
        </w:tc>
        <w:tc>
          <w:tcPr>
            <w:tcW w:w="466" w:type="dxa"/>
            <w:noWrap/>
            <w:vAlign w:val="center"/>
            <w:hideMark/>
          </w:tcPr>
          <w:p w14:paraId="57310961" w14:textId="77777777" w:rsidR="00EE2070" w:rsidRPr="006166FB" w:rsidRDefault="00EE2070" w:rsidP="00E6670A">
            <w:pPr>
              <w:bidi w:val="0"/>
              <w:jc w:val="center"/>
              <w:rPr>
                <w:sz w:val="20"/>
                <w:szCs w:val="20"/>
                <w:lang w:bidi="ar-EG"/>
              </w:rPr>
            </w:pPr>
            <w:r w:rsidRPr="006166FB">
              <w:rPr>
                <w:sz w:val="20"/>
                <w:szCs w:val="20"/>
                <w:lang w:bidi="ar-EG"/>
              </w:rPr>
              <w:t>32</w:t>
            </w:r>
          </w:p>
        </w:tc>
        <w:tc>
          <w:tcPr>
            <w:tcW w:w="4289" w:type="dxa"/>
            <w:noWrap/>
            <w:vAlign w:val="center"/>
            <w:hideMark/>
          </w:tcPr>
          <w:p w14:paraId="0F41AFF3" w14:textId="77777777" w:rsidR="00EE2070" w:rsidRPr="006166FB" w:rsidRDefault="00EE2070" w:rsidP="00E6670A">
            <w:pPr>
              <w:bidi w:val="0"/>
              <w:jc w:val="right"/>
              <w:rPr>
                <w:sz w:val="20"/>
                <w:szCs w:val="20"/>
                <w:lang w:bidi="ar-EG"/>
              </w:rPr>
            </w:pPr>
            <w:r w:rsidRPr="006166FB">
              <w:rPr>
                <w:sz w:val="20"/>
                <w:szCs w:val="20"/>
                <w:lang w:bidi="ar-EG"/>
              </w:rPr>
              <w:t>Related party transactions</w:t>
            </w:r>
          </w:p>
        </w:tc>
        <w:tc>
          <w:tcPr>
            <w:tcW w:w="653" w:type="dxa"/>
            <w:noWrap/>
            <w:vAlign w:val="center"/>
            <w:hideMark/>
          </w:tcPr>
          <w:p w14:paraId="6607AB5B" w14:textId="77777777" w:rsidR="00EE2070" w:rsidRPr="006166FB" w:rsidRDefault="00EE2070" w:rsidP="00E6670A">
            <w:pPr>
              <w:bidi w:val="0"/>
              <w:jc w:val="center"/>
              <w:rPr>
                <w:sz w:val="20"/>
                <w:szCs w:val="20"/>
                <w:lang w:bidi="ar-EG"/>
              </w:rPr>
            </w:pPr>
            <w:r w:rsidRPr="006166FB">
              <w:rPr>
                <w:sz w:val="20"/>
                <w:szCs w:val="20"/>
                <w:lang w:bidi="ar-EG"/>
              </w:rPr>
              <w:t>89</w:t>
            </w:r>
          </w:p>
        </w:tc>
      </w:tr>
      <w:tr w:rsidR="006166FB" w:rsidRPr="006166FB" w14:paraId="0DFC245D" w14:textId="77777777" w:rsidTr="00F36213">
        <w:trPr>
          <w:trHeight w:hRule="exact" w:val="397"/>
          <w:jc w:val="center"/>
        </w:trPr>
        <w:tc>
          <w:tcPr>
            <w:tcW w:w="490" w:type="dxa"/>
            <w:noWrap/>
            <w:vAlign w:val="center"/>
            <w:hideMark/>
          </w:tcPr>
          <w:p w14:paraId="408E0948" w14:textId="77777777" w:rsidR="00EE2070" w:rsidRPr="006166FB" w:rsidRDefault="00EE2070" w:rsidP="00E6670A">
            <w:pPr>
              <w:bidi w:val="0"/>
              <w:jc w:val="center"/>
              <w:rPr>
                <w:sz w:val="20"/>
                <w:szCs w:val="20"/>
                <w:lang w:bidi="ar-EG"/>
              </w:rPr>
            </w:pPr>
            <w:r w:rsidRPr="006166FB">
              <w:rPr>
                <w:sz w:val="20"/>
                <w:szCs w:val="20"/>
                <w:lang w:bidi="ar-EG"/>
              </w:rPr>
              <w:t>7</w:t>
            </w:r>
          </w:p>
        </w:tc>
        <w:tc>
          <w:tcPr>
            <w:tcW w:w="4202" w:type="dxa"/>
            <w:noWrap/>
            <w:vAlign w:val="center"/>
            <w:hideMark/>
          </w:tcPr>
          <w:p w14:paraId="2406E8C6" w14:textId="77777777" w:rsidR="00EE2070" w:rsidRPr="006166FB" w:rsidRDefault="00EE2070" w:rsidP="00E6670A">
            <w:pPr>
              <w:bidi w:val="0"/>
              <w:jc w:val="right"/>
              <w:rPr>
                <w:sz w:val="20"/>
                <w:szCs w:val="20"/>
                <w:lang w:bidi="ar-EG"/>
              </w:rPr>
            </w:pPr>
            <w:r w:rsidRPr="006166FB">
              <w:rPr>
                <w:sz w:val="20"/>
                <w:szCs w:val="20"/>
                <w:lang w:bidi="ar-EG"/>
              </w:rPr>
              <w:t>Investments accounted for using the</w:t>
            </w:r>
          </w:p>
        </w:tc>
        <w:tc>
          <w:tcPr>
            <w:tcW w:w="653" w:type="dxa"/>
            <w:noWrap/>
            <w:vAlign w:val="center"/>
            <w:hideMark/>
          </w:tcPr>
          <w:p w14:paraId="381CB0B3" w14:textId="77777777" w:rsidR="00EE2070" w:rsidRPr="006166FB" w:rsidRDefault="00EE2070" w:rsidP="00E6670A">
            <w:pPr>
              <w:bidi w:val="0"/>
              <w:jc w:val="center"/>
              <w:rPr>
                <w:sz w:val="20"/>
                <w:szCs w:val="20"/>
                <w:lang w:bidi="ar-EG"/>
              </w:rPr>
            </w:pPr>
            <w:r w:rsidRPr="006166FB">
              <w:rPr>
                <w:sz w:val="20"/>
                <w:szCs w:val="20"/>
                <w:lang w:bidi="ar-EG"/>
              </w:rPr>
              <w:t>44</w:t>
            </w:r>
          </w:p>
        </w:tc>
        <w:tc>
          <w:tcPr>
            <w:tcW w:w="466" w:type="dxa"/>
            <w:noWrap/>
            <w:vAlign w:val="center"/>
            <w:hideMark/>
          </w:tcPr>
          <w:p w14:paraId="3FB3826B" w14:textId="77777777" w:rsidR="00EE2070" w:rsidRPr="006166FB" w:rsidRDefault="00EE2070" w:rsidP="00E6670A">
            <w:pPr>
              <w:bidi w:val="0"/>
              <w:jc w:val="center"/>
              <w:rPr>
                <w:sz w:val="20"/>
                <w:szCs w:val="20"/>
                <w:lang w:bidi="ar-EG"/>
              </w:rPr>
            </w:pPr>
            <w:r w:rsidRPr="006166FB">
              <w:rPr>
                <w:sz w:val="20"/>
                <w:szCs w:val="20"/>
                <w:lang w:bidi="ar-EG"/>
              </w:rPr>
              <w:t>33</w:t>
            </w:r>
          </w:p>
        </w:tc>
        <w:tc>
          <w:tcPr>
            <w:tcW w:w="4289" w:type="dxa"/>
            <w:noWrap/>
            <w:vAlign w:val="center"/>
            <w:hideMark/>
          </w:tcPr>
          <w:p w14:paraId="649F0FF8" w14:textId="77777777" w:rsidR="00EE2070" w:rsidRPr="006166FB" w:rsidRDefault="00EE2070" w:rsidP="00E6670A">
            <w:pPr>
              <w:bidi w:val="0"/>
              <w:jc w:val="right"/>
              <w:rPr>
                <w:sz w:val="20"/>
                <w:szCs w:val="20"/>
                <w:lang w:bidi="ar-EG"/>
              </w:rPr>
            </w:pPr>
            <w:r w:rsidRPr="006166FB">
              <w:rPr>
                <w:sz w:val="20"/>
                <w:szCs w:val="20"/>
                <w:lang w:bidi="ar-EG"/>
              </w:rPr>
              <w:t>Contingent liabilities</w:t>
            </w:r>
          </w:p>
        </w:tc>
        <w:tc>
          <w:tcPr>
            <w:tcW w:w="653" w:type="dxa"/>
            <w:noWrap/>
            <w:vAlign w:val="center"/>
            <w:hideMark/>
          </w:tcPr>
          <w:p w14:paraId="453499C6" w14:textId="77777777" w:rsidR="00EE2070" w:rsidRPr="006166FB" w:rsidRDefault="00EE2070" w:rsidP="00E6670A">
            <w:pPr>
              <w:bidi w:val="0"/>
              <w:jc w:val="center"/>
              <w:rPr>
                <w:sz w:val="20"/>
                <w:szCs w:val="20"/>
                <w:lang w:bidi="ar-EG"/>
              </w:rPr>
            </w:pPr>
            <w:r w:rsidRPr="006166FB">
              <w:rPr>
                <w:sz w:val="20"/>
                <w:szCs w:val="20"/>
                <w:lang w:bidi="ar-EG"/>
              </w:rPr>
              <w:t>90</w:t>
            </w:r>
          </w:p>
        </w:tc>
      </w:tr>
      <w:tr w:rsidR="00EE2070" w:rsidRPr="006166FB" w14:paraId="433D6077" w14:textId="77777777" w:rsidTr="00F36213">
        <w:trPr>
          <w:trHeight w:hRule="exact" w:val="397"/>
          <w:jc w:val="center"/>
        </w:trPr>
        <w:tc>
          <w:tcPr>
            <w:tcW w:w="490" w:type="dxa"/>
            <w:noWrap/>
            <w:vAlign w:val="center"/>
            <w:hideMark/>
          </w:tcPr>
          <w:p w14:paraId="1D0BB8B0" w14:textId="77777777" w:rsidR="00EE2070" w:rsidRPr="006166FB" w:rsidRDefault="00EE2070" w:rsidP="00E6670A">
            <w:pPr>
              <w:bidi w:val="0"/>
              <w:jc w:val="center"/>
              <w:rPr>
                <w:sz w:val="20"/>
                <w:szCs w:val="20"/>
                <w:lang w:bidi="ar-EG"/>
              </w:rPr>
            </w:pPr>
          </w:p>
        </w:tc>
        <w:tc>
          <w:tcPr>
            <w:tcW w:w="4202" w:type="dxa"/>
            <w:noWrap/>
            <w:vAlign w:val="center"/>
            <w:hideMark/>
          </w:tcPr>
          <w:p w14:paraId="65B8F48D" w14:textId="77777777" w:rsidR="00EE2070" w:rsidRPr="006166FB" w:rsidRDefault="00EE2070" w:rsidP="00E6670A">
            <w:pPr>
              <w:bidi w:val="0"/>
              <w:jc w:val="right"/>
              <w:rPr>
                <w:sz w:val="20"/>
                <w:szCs w:val="20"/>
                <w:lang w:bidi="ar-EG"/>
              </w:rPr>
            </w:pPr>
            <w:r w:rsidRPr="006166FB">
              <w:rPr>
                <w:sz w:val="20"/>
                <w:szCs w:val="20"/>
                <w:lang w:bidi="ar-EG"/>
              </w:rPr>
              <w:t>equity method</w:t>
            </w:r>
          </w:p>
        </w:tc>
        <w:tc>
          <w:tcPr>
            <w:tcW w:w="653" w:type="dxa"/>
            <w:noWrap/>
            <w:vAlign w:val="center"/>
            <w:hideMark/>
          </w:tcPr>
          <w:p w14:paraId="038AC368" w14:textId="77777777" w:rsidR="00EE2070" w:rsidRPr="006166FB" w:rsidRDefault="00EE2070" w:rsidP="00E6670A">
            <w:pPr>
              <w:bidi w:val="0"/>
              <w:jc w:val="center"/>
              <w:rPr>
                <w:sz w:val="20"/>
                <w:szCs w:val="20"/>
                <w:lang w:bidi="ar-EG"/>
              </w:rPr>
            </w:pPr>
          </w:p>
        </w:tc>
        <w:tc>
          <w:tcPr>
            <w:tcW w:w="466" w:type="dxa"/>
            <w:noWrap/>
            <w:vAlign w:val="center"/>
            <w:hideMark/>
          </w:tcPr>
          <w:p w14:paraId="7D771BC2" w14:textId="77777777" w:rsidR="00EE2070" w:rsidRPr="006166FB" w:rsidRDefault="00EE2070" w:rsidP="00E6670A">
            <w:pPr>
              <w:bidi w:val="0"/>
              <w:jc w:val="center"/>
              <w:rPr>
                <w:sz w:val="20"/>
                <w:szCs w:val="20"/>
                <w:lang w:bidi="ar-EG"/>
              </w:rPr>
            </w:pPr>
            <w:r w:rsidRPr="006166FB">
              <w:rPr>
                <w:sz w:val="20"/>
                <w:szCs w:val="20"/>
                <w:lang w:bidi="ar-EG"/>
              </w:rPr>
              <w:t>34</w:t>
            </w:r>
          </w:p>
        </w:tc>
        <w:tc>
          <w:tcPr>
            <w:tcW w:w="4289" w:type="dxa"/>
            <w:noWrap/>
            <w:vAlign w:val="center"/>
            <w:hideMark/>
          </w:tcPr>
          <w:p w14:paraId="5D70DD68" w14:textId="77777777" w:rsidR="00EE2070" w:rsidRPr="006166FB" w:rsidRDefault="00EE2070" w:rsidP="00E6670A">
            <w:pPr>
              <w:bidi w:val="0"/>
              <w:jc w:val="right"/>
              <w:rPr>
                <w:sz w:val="20"/>
                <w:szCs w:val="20"/>
                <w:lang w:bidi="ar-EG"/>
              </w:rPr>
            </w:pPr>
            <w:r w:rsidRPr="006166FB">
              <w:rPr>
                <w:sz w:val="20"/>
                <w:szCs w:val="20"/>
                <w:lang w:bidi="ar-EG"/>
              </w:rPr>
              <w:t>Financial instruments risk</w:t>
            </w:r>
          </w:p>
        </w:tc>
        <w:tc>
          <w:tcPr>
            <w:tcW w:w="653" w:type="dxa"/>
            <w:noWrap/>
            <w:vAlign w:val="center"/>
            <w:hideMark/>
          </w:tcPr>
          <w:p w14:paraId="4DEAC967" w14:textId="77777777" w:rsidR="00EE2070" w:rsidRPr="006166FB" w:rsidRDefault="00EE2070" w:rsidP="00E6670A">
            <w:pPr>
              <w:bidi w:val="0"/>
              <w:jc w:val="center"/>
              <w:rPr>
                <w:sz w:val="20"/>
                <w:szCs w:val="20"/>
                <w:lang w:bidi="ar-EG"/>
              </w:rPr>
            </w:pPr>
            <w:r w:rsidRPr="006166FB">
              <w:rPr>
                <w:sz w:val="20"/>
                <w:szCs w:val="20"/>
                <w:lang w:bidi="ar-EG"/>
              </w:rPr>
              <w:t>90</w:t>
            </w:r>
          </w:p>
        </w:tc>
      </w:tr>
      <w:tr w:rsidR="006166FB" w:rsidRPr="006166FB" w14:paraId="3BFF1B22" w14:textId="77777777" w:rsidTr="00F36213">
        <w:trPr>
          <w:trHeight w:hRule="exact" w:val="397"/>
          <w:jc w:val="center"/>
        </w:trPr>
        <w:tc>
          <w:tcPr>
            <w:tcW w:w="490" w:type="dxa"/>
            <w:noWrap/>
            <w:vAlign w:val="center"/>
            <w:hideMark/>
          </w:tcPr>
          <w:p w14:paraId="24AA8C39" w14:textId="77777777" w:rsidR="00EE2070" w:rsidRPr="006166FB" w:rsidRDefault="00EE2070" w:rsidP="00E6670A">
            <w:pPr>
              <w:bidi w:val="0"/>
              <w:jc w:val="center"/>
              <w:rPr>
                <w:sz w:val="20"/>
                <w:szCs w:val="20"/>
                <w:lang w:bidi="ar-EG"/>
              </w:rPr>
            </w:pPr>
            <w:r w:rsidRPr="006166FB">
              <w:rPr>
                <w:sz w:val="20"/>
                <w:szCs w:val="20"/>
                <w:lang w:bidi="ar-EG"/>
              </w:rPr>
              <w:t>8</w:t>
            </w:r>
          </w:p>
        </w:tc>
        <w:tc>
          <w:tcPr>
            <w:tcW w:w="4202" w:type="dxa"/>
            <w:noWrap/>
            <w:vAlign w:val="center"/>
            <w:hideMark/>
          </w:tcPr>
          <w:p w14:paraId="3DD23C20" w14:textId="77777777" w:rsidR="00EE2070" w:rsidRPr="006166FB" w:rsidRDefault="00EE2070" w:rsidP="00E6670A">
            <w:pPr>
              <w:bidi w:val="0"/>
              <w:jc w:val="right"/>
              <w:rPr>
                <w:sz w:val="20"/>
                <w:szCs w:val="20"/>
                <w:lang w:bidi="ar-EG"/>
              </w:rPr>
            </w:pPr>
            <w:r w:rsidRPr="006166FB">
              <w:rPr>
                <w:sz w:val="20"/>
                <w:szCs w:val="20"/>
                <w:lang w:bidi="ar-EG"/>
              </w:rPr>
              <w:t>Revenue</w:t>
            </w:r>
          </w:p>
        </w:tc>
        <w:tc>
          <w:tcPr>
            <w:tcW w:w="653" w:type="dxa"/>
            <w:noWrap/>
            <w:vAlign w:val="center"/>
            <w:hideMark/>
          </w:tcPr>
          <w:p w14:paraId="45597429" w14:textId="77777777" w:rsidR="00EE2070" w:rsidRPr="006166FB" w:rsidRDefault="00EE2070" w:rsidP="00E6670A">
            <w:pPr>
              <w:bidi w:val="0"/>
              <w:jc w:val="center"/>
              <w:rPr>
                <w:sz w:val="20"/>
                <w:szCs w:val="20"/>
                <w:lang w:bidi="ar-EG"/>
              </w:rPr>
            </w:pPr>
            <w:r w:rsidRPr="006166FB">
              <w:rPr>
                <w:sz w:val="20"/>
                <w:szCs w:val="20"/>
                <w:lang w:bidi="ar-EG"/>
              </w:rPr>
              <w:t>46</w:t>
            </w:r>
          </w:p>
        </w:tc>
        <w:tc>
          <w:tcPr>
            <w:tcW w:w="466" w:type="dxa"/>
            <w:noWrap/>
            <w:vAlign w:val="center"/>
            <w:hideMark/>
          </w:tcPr>
          <w:p w14:paraId="13CA2F40" w14:textId="77777777" w:rsidR="00EE2070" w:rsidRPr="006166FB" w:rsidRDefault="00EE2070" w:rsidP="00E6670A">
            <w:pPr>
              <w:bidi w:val="0"/>
              <w:jc w:val="center"/>
              <w:rPr>
                <w:sz w:val="20"/>
                <w:szCs w:val="20"/>
                <w:lang w:bidi="ar-EG"/>
              </w:rPr>
            </w:pPr>
            <w:r w:rsidRPr="006166FB">
              <w:rPr>
                <w:sz w:val="20"/>
                <w:szCs w:val="20"/>
                <w:lang w:bidi="ar-EG"/>
              </w:rPr>
              <w:t>35</w:t>
            </w:r>
          </w:p>
        </w:tc>
        <w:tc>
          <w:tcPr>
            <w:tcW w:w="4289" w:type="dxa"/>
            <w:noWrap/>
            <w:vAlign w:val="center"/>
            <w:hideMark/>
          </w:tcPr>
          <w:p w14:paraId="4E83625F" w14:textId="77777777" w:rsidR="00EE2070" w:rsidRPr="006166FB" w:rsidRDefault="00EE2070" w:rsidP="00E6670A">
            <w:pPr>
              <w:bidi w:val="0"/>
              <w:jc w:val="right"/>
              <w:rPr>
                <w:sz w:val="20"/>
                <w:szCs w:val="20"/>
                <w:lang w:bidi="ar-EG"/>
              </w:rPr>
            </w:pPr>
            <w:r w:rsidRPr="006166FB">
              <w:rPr>
                <w:sz w:val="20"/>
                <w:szCs w:val="20"/>
                <w:lang w:bidi="ar-EG"/>
              </w:rPr>
              <w:t>Fair value measurement</w:t>
            </w:r>
          </w:p>
        </w:tc>
        <w:tc>
          <w:tcPr>
            <w:tcW w:w="653" w:type="dxa"/>
            <w:noWrap/>
            <w:vAlign w:val="center"/>
            <w:hideMark/>
          </w:tcPr>
          <w:p w14:paraId="2161B23A" w14:textId="77777777" w:rsidR="00EE2070" w:rsidRPr="006166FB" w:rsidRDefault="00EE2070" w:rsidP="00E6670A">
            <w:pPr>
              <w:bidi w:val="0"/>
              <w:jc w:val="center"/>
              <w:rPr>
                <w:sz w:val="20"/>
                <w:szCs w:val="20"/>
                <w:lang w:bidi="ar-EG"/>
              </w:rPr>
            </w:pPr>
            <w:r w:rsidRPr="006166FB">
              <w:rPr>
                <w:sz w:val="20"/>
                <w:szCs w:val="20"/>
                <w:lang w:bidi="ar-EG"/>
              </w:rPr>
              <w:t>98</w:t>
            </w:r>
          </w:p>
        </w:tc>
      </w:tr>
      <w:tr w:rsidR="00EE2070" w:rsidRPr="006166FB" w14:paraId="5DE977DC" w14:textId="77777777" w:rsidTr="00F36213">
        <w:trPr>
          <w:trHeight w:hRule="exact" w:val="397"/>
          <w:jc w:val="center"/>
        </w:trPr>
        <w:tc>
          <w:tcPr>
            <w:tcW w:w="490" w:type="dxa"/>
            <w:noWrap/>
            <w:vAlign w:val="center"/>
            <w:hideMark/>
          </w:tcPr>
          <w:p w14:paraId="44C0CCCE" w14:textId="77777777" w:rsidR="00EE2070" w:rsidRPr="006166FB" w:rsidRDefault="00EE2070" w:rsidP="00E6670A">
            <w:pPr>
              <w:bidi w:val="0"/>
              <w:jc w:val="center"/>
              <w:rPr>
                <w:sz w:val="20"/>
                <w:szCs w:val="20"/>
                <w:lang w:bidi="ar-EG"/>
              </w:rPr>
            </w:pPr>
            <w:r w:rsidRPr="006166FB">
              <w:rPr>
                <w:sz w:val="20"/>
                <w:szCs w:val="20"/>
                <w:lang w:bidi="ar-EG"/>
              </w:rPr>
              <w:t>9</w:t>
            </w:r>
          </w:p>
        </w:tc>
        <w:tc>
          <w:tcPr>
            <w:tcW w:w="4202" w:type="dxa"/>
            <w:noWrap/>
            <w:vAlign w:val="center"/>
            <w:hideMark/>
          </w:tcPr>
          <w:p w14:paraId="337DD26E" w14:textId="77777777" w:rsidR="00EE2070" w:rsidRPr="006166FB" w:rsidRDefault="00EE2070" w:rsidP="00E6670A">
            <w:pPr>
              <w:bidi w:val="0"/>
              <w:jc w:val="right"/>
              <w:rPr>
                <w:sz w:val="20"/>
                <w:szCs w:val="20"/>
                <w:lang w:bidi="ar-EG"/>
              </w:rPr>
            </w:pPr>
            <w:r w:rsidRPr="006166FB">
              <w:rPr>
                <w:sz w:val="20"/>
                <w:szCs w:val="20"/>
                <w:lang w:bidi="ar-EG"/>
              </w:rPr>
              <w:t>Segment reporting</w:t>
            </w:r>
          </w:p>
        </w:tc>
        <w:tc>
          <w:tcPr>
            <w:tcW w:w="653" w:type="dxa"/>
            <w:noWrap/>
            <w:vAlign w:val="center"/>
            <w:hideMark/>
          </w:tcPr>
          <w:p w14:paraId="7CFE8665" w14:textId="77777777" w:rsidR="00EE2070" w:rsidRPr="006166FB" w:rsidRDefault="00EE2070" w:rsidP="00E6670A">
            <w:pPr>
              <w:bidi w:val="0"/>
              <w:jc w:val="center"/>
              <w:rPr>
                <w:sz w:val="20"/>
                <w:szCs w:val="20"/>
                <w:lang w:bidi="ar-EG"/>
              </w:rPr>
            </w:pPr>
            <w:r w:rsidRPr="006166FB">
              <w:rPr>
                <w:sz w:val="20"/>
                <w:szCs w:val="20"/>
                <w:lang w:bidi="ar-EG"/>
              </w:rPr>
              <w:t>48</w:t>
            </w:r>
          </w:p>
        </w:tc>
        <w:tc>
          <w:tcPr>
            <w:tcW w:w="466" w:type="dxa"/>
            <w:noWrap/>
            <w:vAlign w:val="center"/>
            <w:hideMark/>
          </w:tcPr>
          <w:p w14:paraId="4B76D8FC" w14:textId="77777777" w:rsidR="00EE2070" w:rsidRPr="006166FB" w:rsidRDefault="00EE2070" w:rsidP="00E6670A">
            <w:pPr>
              <w:bidi w:val="0"/>
              <w:jc w:val="center"/>
              <w:rPr>
                <w:sz w:val="20"/>
                <w:szCs w:val="20"/>
                <w:lang w:bidi="ar-EG"/>
              </w:rPr>
            </w:pPr>
            <w:r w:rsidRPr="006166FB">
              <w:rPr>
                <w:sz w:val="20"/>
                <w:szCs w:val="20"/>
                <w:lang w:bidi="ar-EG"/>
              </w:rPr>
              <w:t>36</w:t>
            </w:r>
          </w:p>
        </w:tc>
        <w:tc>
          <w:tcPr>
            <w:tcW w:w="4289" w:type="dxa"/>
            <w:noWrap/>
            <w:vAlign w:val="center"/>
            <w:hideMark/>
          </w:tcPr>
          <w:p w14:paraId="296F24F9" w14:textId="77777777" w:rsidR="00EE2070" w:rsidRPr="006166FB" w:rsidRDefault="00EE2070" w:rsidP="00E6670A">
            <w:pPr>
              <w:bidi w:val="0"/>
              <w:jc w:val="right"/>
              <w:rPr>
                <w:sz w:val="20"/>
                <w:szCs w:val="20"/>
                <w:lang w:bidi="ar-EG"/>
              </w:rPr>
            </w:pPr>
            <w:r w:rsidRPr="006166FB">
              <w:rPr>
                <w:sz w:val="20"/>
                <w:szCs w:val="20"/>
                <w:lang w:bidi="ar-EG"/>
              </w:rPr>
              <w:t>Capital management policies and procedures</w:t>
            </w:r>
          </w:p>
        </w:tc>
        <w:tc>
          <w:tcPr>
            <w:tcW w:w="653" w:type="dxa"/>
            <w:noWrap/>
            <w:vAlign w:val="center"/>
            <w:hideMark/>
          </w:tcPr>
          <w:p w14:paraId="27EA2DBD" w14:textId="77777777" w:rsidR="00EE2070" w:rsidRPr="006166FB" w:rsidRDefault="00EE2070" w:rsidP="00E6670A">
            <w:pPr>
              <w:bidi w:val="0"/>
              <w:jc w:val="center"/>
              <w:rPr>
                <w:sz w:val="20"/>
                <w:szCs w:val="20"/>
                <w:lang w:bidi="ar-EG"/>
              </w:rPr>
            </w:pPr>
            <w:r w:rsidRPr="006166FB">
              <w:rPr>
                <w:sz w:val="20"/>
                <w:szCs w:val="20"/>
                <w:lang w:bidi="ar-EG"/>
              </w:rPr>
              <w:t>103</w:t>
            </w:r>
          </w:p>
        </w:tc>
      </w:tr>
      <w:tr w:rsidR="006166FB" w:rsidRPr="006166FB" w14:paraId="0125B0E8" w14:textId="77777777" w:rsidTr="00F36213">
        <w:trPr>
          <w:trHeight w:hRule="exact" w:val="397"/>
          <w:jc w:val="center"/>
        </w:trPr>
        <w:tc>
          <w:tcPr>
            <w:tcW w:w="490" w:type="dxa"/>
            <w:noWrap/>
            <w:vAlign w:val="center"/>
            <w:hideMark/>
          </w:tcPr>
          <w:p w14:paraId="60A828B5" w14:textId="77777777" w:rsidR="00EE2070" w:rsidRPr="006166FB" w:rsidRDefault="00EE2070" w:rsidP="00E6670A">
            <w:pPr>
              <w:bidi w:val="0"/>
              <w:jc w:val="center"/>
              <w:rPr>
                <w:sz w:val="20"/>
                <w:szCs w:val="20"/>
                <w:lang w:bidi="ar-EG"/>
              </w:rPr>
            </w:pPr>
            <w:r w:rsidRPr="006166FB">
              <w:rPr>
                <w:sz w:val="20"/>
                <w:szCs w:val="20"/>
                <w:lang w:bidi="ar-EG"/>
              </w:rPr>
              <w:t>10</w:t>
            </w:r>
          </w:p>
        </w:tc>
        <w:tc>
          <w:tcPr>
            <w:tcW w:w="4202" w:type="dxa"/>
            <w:noWrap/>
            <w:vAlign w:val="center"/>
            <w:hideMark/>
          </w:tcPr>
          <w:p w14:paraId="2E2E9646" w14:textId="0540A4AA" w:rsidR="00EE2070" w:rsidRPr="006166FB" w:rsidRDefault="00EE2070" w:rsidP="00E6670A">
            <w:pPr>
              <w:bidi w:val="0"/>
              <w:jc w:val="right"/>
              <w:rPr>
                <w:sz w:val="20"/>
                <w:szCs w:val="20"/>
                <w:lang w:bidi="ar-EG"/>
              </w:rPr>
            </w:pPr>
            <w:r w:rsidRPr="006166FB">
              <w:rPr>
                <w:sz w:val="20"/>
                <w:szCs w:val="20"/>
                <w:lang w:bidi="ar-EG"/>
              </w:rPr>
              <w:t>Goodwill</w:t>
            </w:r>
          </w:p>
        </w:tc>
        <w:tc>
          <w:tcPr>
            <w:tcW w:w="653" w:type="dxa"/>
            <w:noWrap/>
            <w:vAlign w:val="center"/>
            <w:hideMark/>
          </w:tcPr>
          <w:p w14:paraId="4C47D232" w14:textId="77777777" w:rsidR="00EE2070" w:rsidRPr="006166FB" w:rsidRDefault="00EE2070" w:rsidP="00E6670A">
            <w:pPr>
              <w:bidi w:val="0"/>
              <w:jc w:val="center"/>
              <w:rPr>
                <w:sz w:val="20"/>
                <w:szCs w:val="20"/>
                <w:lang w:bidi="ar-EG"/>
              </w:rPr>
            </w:pPr>
            <w:r w:rsidRPr="006166FB">
              <w:rPr>
                <w:sz w:val="20"/>
                <w:szCs w:val="20"/>
                <w:lang w:bidi="ar-EG"/>
              </w:rPr>
              <w:t>51</w:t>
            </w:r>
          </w:p>
        </w:tc>
        <w:tc>
          <w:tcPr>
            <w:tcW w:w="466" w:type="dxa"/>
            <w:noWrap/>
            <w:vAlign w:val="center"/>
            <w:hideMark/>
          </w:tcPr>
          <w:p w14:paraId="7A57AF0A" w14:textId="77777777" w:rsidR="00EE2070" w:rsidRPr="006166FB" w:rsidRDefault="00EE2070" w:rsidP="00E6670A">
            <w:pPr>
              <w:bidi w:val="0"/>
              <w:jc w:val="center"/>
              <w:rPr>
                <w:sz w:val="20"/>
                <w:szCs w:val="20"/>
                <w:lang w:bidi="ar-EG"/>
              </w:rPr>
            </w:pPr>
            <w:r w:rsidRPr="006166FB">
              <w:rPr>
                <w:sz w:val="20"/>
                <w:szCs w:val="20"/>
                <w:lang w:bidi="ar-EG"/>
              </w:rPr>
              <w:t>37</w:t>
            </w:r>
          </w:p>
        </w:tc>
        <w:tc>
          <w:tcPr>
            <w:tcW w:w="4289" w:type="dxa"/>
            <w:noWrap/>
            <w:vAlign w:val="center"/>
            <w:hideMark/>
          </w:tcPr>
          <w:p w14:paraId="10E2FB89" w14:textId="77777777" w:rsidR="00EE2070" w:rsidRPr="006166FB" w:rsidRDefault="00EE2070" w:rsidP="00E6670A">
            <w:pPr>
              <w:bidi w:val="0"/>
              <w:jc w:val="right"/>
              <w:rPr>
                <w:sz w:val="20"/>
                <w:szCs w:val="20"/>
                <w:lang w:bidi="ar-EG"/>
              </w:rPr>
            </w:pPr>
            <w:r w:rsidRPr="006166FB">
              <w:rPr>
                <w:sz w:val="20"/>
                <w:szCs w:val="20"/>
                <w:lang w:bidi="ar-EG"/>
              </w:rPr>
              <w:t>Events after the reporting date</w:t>
            </w:r>
          </w:p>
        </w:tc>
        <w:tc>
          <w:tcPr>
            <w:tcW w:w="653" w:type="dxa"/>
            <w:noWrap/>
            <w:vAlign w:val="center"/>
            <w:hideMark/>
          </w:tcPr>
          <w:p w14:paraId="6ED875A2" w14:textId="77777777" w:rsidR="00EE2070" w:rsidRPr="006166FB" w:rsidRDefault="00EE2070" w:rsidP="00E6670A">
            <w:pPr>
              <w:bidi w:val="0"/>
              <w:jc w:val="center"/>
              <w:rPr>
                <w:sz w:val="20"/>
                <w:szCs w:val="20"/>
                <w:lang w:bidi="ar-EG"/>
              </w:rPr>
            </w:pPr>
            <w:r w:rsidRPr="006166FB">
              <w:rPr>
                <w:sz w:val="20"/>
                <w:szCs w:val="20"/>
                <w:lang w:bidi="ar-EG"/>
              </w:rPr>
              <w:t>104</w:t>
            </w:r>
          </w:p>
        </w:tc>
      </w:tr>
      <w:tr w:rsidR="00EE2070" w:rsidRPr="006166FB" w14:paraId="7E519DE4" w14:textId="77777777" w:rsidTr="00F36213">
        <w:trPr>
          <w:trHeight w:hRule="exact" w:val="397"/>
          <w:jc w:val="center"/>
        </w:trPr>
        <w:tc>
          <w:tcPr>
            <w:tcW w:w="490" w:type="dxa"/>
            <w:noWrap/>
            <w:vAlign w:val="center"/>
            <w:hideMark/>
          </w:tcPr>
          <w:p w14:paraId="1E005ADF" w14:textId="77777777" w:rsidR="00EE2070" w:rsidRPr="006166FB" w:rsidRDefault="00EE2070" w:rsidP="00E6670A">
            <w:pPr>
              <w:bidi w:val="0"/>
              <w:jc w:val="center"/>
              <w:rPr>
                <w:sz w:val="20"/>
                <w:szCs w:val="20"/>
                <w:lang w:bidi="ar-EG"/>
              </w:rPr>
            </w:pPr>
            <w:r w:rsidRPr="006166FB">
              <w:rPr>
                <w:sz w:val="20"/>
                <w:szCs w:val="20"/>
                <w:lang w:bidi="ar-EG"/>
              </w:rPr>
              <w:t>11</w:t>
            </w:r>
          </w:p>
        </w:tc>
        <w:tc>
          <w:tcPr>
            <w:tcW w:w="4202" w:type="dxa"/>
            <w:noWrap/>
            <w:vAlign w:val="center"/>
            <w:hideMark/>
          </w:tcPr>
          <w:p w14:paraId="0EAAE566" w14:textId="77777777" w:rsidR="00EE2070" w:rsidRPr="006166FB" w:rsidRDefault="00EE2070" w:rsidP="00E6670A">
            <w:pPr>
              <w:bidi w:val="0"/>
              <w:jc w:val="right"/>
              <w:rPr>
                <w:sz w:val="20"/>
                <w:szCs w:val="20"/>
                <w:lang w:bidi="ar-EG"/>
              </w:rPr>
            </w:pPr>
            <w:r w:rsidRPr="006166FB">
              <w:rPr>
                <w:sz w:val="20"/>
                <w:szCs w:val="20"/>
                <w:lang w:bidi="ar-EG"/>
              </w:rPr>
              <w:t>Other intangible assets</w:t>
            </w:r>
          </w:p>
        </w:tc>
        <w:tc>
          <w:tcPr>
            <w:tcW w:w="653" w:type="dxa"/>
            <w:noWrap/>
            <w:vAlign w:val="center"/>
            <w:hideMark/>
          </w:tcPr>
          <w:p w14:paraId="4D2F2480" w14:textId="77777777" w:rsidR="00EE2070" w:rsidRPr="006166FB" w:rsidRDefault="00EE2070" w:rsidP="00E6670A">
            <w:pPr>
              <w:bidi w:val="0"/>
              <w:jc w:val="center"/>
              <w:rPr>
                <w:sz w:val="20"/>
                <w:szCs w:val="20"/>
                <w:lang w:bidi="ar-EG"/>
              </w:rPr>
            </w:pPr>
            <w:r w:rsidRPr="006166FB">
              <w:rPr>
                <w:sz w:val="20"/>
                <w:szCs w:val="20"/>
                <w:lang w:bidi="ar-EG"/>
              </w:rPr>
              <w:t>53</w:t>
            </w:r>
          </w:p>
        </w:tc>
        <w:tc>
          <w:tcPr>
            <w:tcW w:w="466" w:type="dxa"/>
            <w:noWrap/>
            <w:vAlign w:val="center"/>
            <w:hideMark/>
          </w:tcPr>
          <w:p w14:paraId="24982BAA" w14:textId="77777777" w:rsidR="00EE2070" w:rsidRPr="006166FB" w:rsidRDefault="00EE2070" w:rsidP="00E6670A">
            <w:pPr>
              <w:bidi w:val="0"/>
              <w:jc w:val="center"/>
              <w:rPr>
                <w:sz w:val="20"/>
                <w:szCs w:val="20"/>
                <w:lang w:bidi="ar-EG"/>
              </w:rPr>
            </w:pPr>
            <w:r w:rsidRPr="006166FB">
              <w:rPr>
                <w:sz w:val="20"/>
                <w:szCs w:val="20"/>
                <w:lang w:bidi="ar-EG"/>
              </w:rPr>
              <w:t>38</w:t>
            </w:r>
          </w:p>
        </w:tc>
        <w:tc>
          <w:tcPr>
            <w:tcW w:w="4289" w:type="dxa"/>
            <w:noWrap/>
            <w:vAlign w:val="center"/>
            <w:hideMark/>
          </w:tcPr>
          <w:p w14:paraId="7CCFDCCA" w14:textId="3C7A3A87" w:rsidR="00EE2070" w:rsidRPr="006166FB" w:rsidRDefault="00FA35AF" w:rsidP="00E6670A">
            <w:pPr>
              <w:bidi w:val="0"/>
              <w:jc w:val="right"/>
              <w:rPr>
                <w:sz w:val="20"/>
                <w:szCs w:val="20"/>
                <w:lang w:bidi="ar-EG"/>
              </w:rPr>
            </w:pPr>
            <w:r w:rsidRPr="006166FB">
              <w:rPr>
                <w:sz w:val="20"/>
                <w:szCs w:val="20"/>
                <w:lang w:bidi="ar-EG"/>
              </w:rPr>
              <w:t>Authorization</w:t>
            </w:r>
            <w:r w:rsidR="00EE2070" w:rsidRPr="006166FB">
              <w:rPr>
                <w:sz w:val="20"/>
                <w:szCs w:val="20"/>
                <w:lang w:bidi="ar-EG"/>
              </w:rPr>
              <w:t xml:space="preserve"> of financial statements</w:t>
            </w:r>
          </w:p>
        </w:tc>
        <w:tc>
          <w:tcPr>
            <w:tcW w:w="653" w:type="dxa"/>
            <w:noWrap/>
            <w:vAlign w:val="center"/>
            <w:hideMark/>
          </w:tcPr>
          <w:p w14:paraId="4D562EE3" w14:textId="77777777" w:rsidR="00EE2070" w:rsidRPr="006166FB" w:rsidRDefault="00EE2070" w:rsidP="00E6670A">
            <w:pPr>
              <w:bidi w:val="0"/>
              <w:jc w:val="center"/>
              <w:rPr>
                <w:sz w:val="20"/>
                <w:szCs w:val="20"/>
                <w:lang w:bidi="ar-EG"/>
              </w:rPr>
            </w:pPr>
            <w:r w:rsidRPr="006166FB">
              <w:rPr>
                <w:sz w:val="20"/>
                <w:szCs w:val="20"/>
                <w:lang w:bidi="ar-EG"/>
              </w:rPr>
              <w:t>104</w:t>
            </w:r>
          </w:p>
        </w:tc>
      </w:tr>
      <w:tr w:rsidR="006166FB" w:rsidRPr="006166FB" w14:paraId="210865C7" w14:textId="77777777" w:rsidTr="00F36213">
        <w:trPr>
          <w:trHeight w:hRule="exact" w:val="397"/>
          <w:jc w:val="center"/>
        </w:trPr>
        <w:tc>
          <w:tcPr>
            <w:tcW w:w="490" w:type="dxa"/>
            <w:noWrap/>
            <w:vAlign w:val="center"/>
            <w:hideMark/>
          </w:tcPr>
          <w:p w14:paraId="1C233575" w14:textId="5D90FE33" w:rsidR="00EE2070" w:rsidRPr="006166FB" w:rsidRDefault="00EE2070" w:rsidP="00E6670A">
            <w:pPr>
              <w:bidi w:val="0"/>
              <w:jc w:val="center"/>
              <w:rPr>
                <w:sz w:val="20"/>
                <w:szCs w:val="20"/>
                <w:lang w:bidi="ar-EG"/>
              </w:rPr>
            </w:pPr>
            <w:r w:rsidRPr="006166FB">
              <w:rPr>
                <w:sz w:val="20"/>
                <w:szCs w:val="20"/>
                <w:lang w:bidi="ar-EG"/>
              </w:rPr>
              <w:t>12</w:t>
            </w:r>
          </w:p>
        </w:tc>
        <w:tc>
          <w:tcPr>
            <w:tcW w:w="4202" w:type="dxa"/>
            <w:noWrap/>
            <w:vAlign w:val="center"/>
            <w:hideMark/>
          </w:tcPr>
          <w:p w14:paraId="0DC68646" w14:textId="77777777" w:rsidR="00EE2070" w:rsidRPr="006166FB" w:rsidRDefault="00EE2070" w:rsidP="00E6670A">
            <w:pPr>
              <w:bidi w:val="0"/>
              <w:jc w:val="right"/>
              <w:rPr>
                <w:sz w:val="20"/>
                <w:szCs w:val="20"/>
                <w:lang w:bidi="ar-EG"/>
              </w:rPr>
            </w:pPr>
            <w:r w:rsidRPr="006166FB">
              <w:rPr>
                <w:sz w:val="20"/>
                <w:szCs w:val="20"/>
                <w:lang w:bidi="ar-EG"/>
              </w:rPr>
              <w:t>Property, plant and equipment</w:t>
            </w:r>
          </w:p>
        </w:tc>
        <w:tc>
          <w:tcPr>
            <w:tcW w:w="653" w:type="dxa"/>
            <w:noWrap/>
            <w:vAlign w:val="center"/>
            <w:hideMark/>
          </w:tcPr>
          <w:p w14:paraId="1419EAD2" w14:textId="77777777" w:rsidR="00EE2070" w:rsidRPr="006166FB" w:rsidRDefault="00EE2070" w:rsidP="00E6670A">
            <w:pPr>
              <w:bidi w:val="0"/>
              <w:jc w:val="center"/>
              <w:rPr>
                <w:sz w:val="20"/>
                <w:szCs w:val="20"/>
                <w:lang w:bidi="ar-EG"/>
              </w:rPr>
            </w:pPr>
            <w:r w:rsidRPr="006166FB">
              <w:rPr>
                <w:sz w:val="20"/>
                <w:szCs w:val="20"/>
                <w:lang w:bidi="ar-EG"/>
              </w:rPr>
              <w:t>55</w:t>
            </w:r>
          </w:p>
        </w:tc>
        <w:tc>
          <w:tcPr>
            <w:tcW w:w="466" w:type="dxa"/>
            <w:noWrap/>
            <w:vAlign w:val="center"/>
            <w:hideMark/>
          </w:tcPr>
          <w:p w14:paraId="41524764" w14:textId="77777777" w:rsidR="00EE2070" w:rsidRPr="006166FB" w:rsidRDefault="00EE2070" w:rsidP="00E6670A">
            <w:pPr>
              <w:bidi w:val="0"/>
              <w:jc w:val="center"/>
              <w:rPr>
                <w:sz w:val="20"/>
                <w:szCs w:val="20"/>
                <w:lang w:bidi="ar-EG"/>
              </w:rPr>
            </w:pPr>
          </w:p>
        </w:tc>
        <w:tc>
          <w:tcPr>
            <w:tcW w:w="4289" w:type="dxa"/>
            <w:noWrap/>
            <w:vAlign w:val="center"/>
            <w:hideMark/>
          </w:tcPr>
          <w:p w14:paraId="0C899DA6" w14:textId="77777777" w:rsidR="00EE2070" w:rsidRPr="006166FB" w:rsidRDefault="00EE2070" w:rsidP="00E6670A">
            <w:pPr>
              <w:bidi w:val="0"/>
              <w:jc w:val="right"/>
              <w:rPr>
                <w:sz w:val="20"/>
                <w:szCs w:val="20"/>
                <w:lang w:bidi="ar-EG"/>
              </w:rPr>
            </w:pPr>
            <w:r w:rsidRPr="006166FB">
              <w:rPr>
                <w:sz w:val="20"/>
                <w:szCs w:val="20"/>
                <w:lang w:bidi="ar-EG"/>
              </w:rPr>
              <w:t>Appendices to the IFRS Example Consolidated</w:t>
            </w:r>
          </w:p>
        </w:tc>
        <w:tc>
          <w:tcPr>
            <w:tcW w:w="653" w:type="dxa"/>
            <w:noWrap/>
            <w:vAlign w:val="center"/>
            <w:hideMark/>
          </w:tcPr>
          <w:p w14:paraId="1671A660" w14:textId="77777777" w:rsidR="00EE2070" w:rsidRPr="006166FB" w:rsidRDefault="00EE2070" w:rsidP="00E6670A">
            <w:pPr>
              <w:bidi w:val="0"/>
              <w:jc w:val="center"/>
              <w:rPr>
                <w:sz w:val="20"/>
                <w:szCs w:val="20"/>
                <w:lang w:bidi="ar-EG"/>
              </w:rPr>
            </w:pPr>
            <w:r w:rsidRPr="006166FB">
              <w:rPr>
                <w:sz w:val="20"/>
                <w:szCs w:val="20"/>
                <w:lang w:bidi="ar-EG"/>
              </w:rPr>
              <w:t>105</w:t>
            </w:r>
          </w:p>
        </w:tc>
      </w:tr>
      <w:tr w:rsidR="00EE2070" w:rsidRPr="006166FB" w14:paraId="4FC20454" w14:textId="77777777" w:rsidTr="00F36213">
        <w:trPr>
          <w:trHeight w:hRule="exact" w:val="397"/>
          <w:jc w:val="center"/>
        </w:trPr>
        <w:tc>
          <w:tcPr>
            <w:tcW w:w="490" w:type="dxa"/>
            <w:noWrap/>
            <w:vAlign w:val="center"/>
            <w:hideMark/>
          </w:tcPr>
          <w:p w14:paraId="5A353FE9" w14:textId="77777777" w:rsidR="00EE2070" w:rsidRPr="006166FB" w:rsidRDefault="00EE2070" w:rsidP="00E6670A">
            <w:pPr>
              <w:bidi w:val="0"/>
              <w:jc w:val="center"/>
              <w:rPr>
                <w:sz w:val="20"/>
                <w:szCs w:val="20"/>
                <w:lang w:bidi="ar-EG"/>
              </w:rPr>
            </w:pPr>
            <w:r w:rsidRPr="006166FB">
              <w:rPr>
                <w:sz w:val="20"/>
                <w:szCs w:val="20"/>
                <w:lang w:bidi="ar-EG"/>
              </w:rPr>
              <w:t>13</w:t>
            </w:r>
          </w:p>
        </w:tc>
        <w:tc>
          <w:tcPr>
            <w:tcW w:w="4202" w:type="dxa"/>
            <w:noWrap/>
            <w:vAlign w:val="center"/>
            <w:hideMark/>
          </w:tcPr>
          <w:p w14:paraId="47E1A576" w14:textId="77777777" w:rsidR="00EE2070" w:rsidRPr="006166FB" w:rsidRDefault="00EE2070" w:rsidP="00E6670A">
            <w:pPr>
              <w:bidi w:val="0"/>
              <w:jc w:val="right"/>
              <w:rPr>
                <w:sz w:val="20"/>
                <w:szCs w:val="20"/>
                <w:lang w:bidi="ar-EG"/>
              </w:rPr>
            </w:pPr>
            <w:r w:rsidRPr="006166FB">
              <w:rPr>
                <w:sz w:val="20"/>
                <w:szCs w:val="20"/>
                <w:lang w:bidi="ar-EG"/>
              </w:rPr>
              <w:t>Leases</w:t>
            </w:r>
          </w:p>
        </w:tc>
        <w:tc>
          <w:tcPr>
            <w:tcW w:w="653" w:type="dxa"/>
            <w:noWrap/>
            <w:vAlign w:val="center"/>
            <w:hideMark/>
          </w:tcPr>
          <w:p w14:paraId="36957536" w14:textId="77777777" w:rsidR="00EE2070" w:rsidRPr="006166FB" w:rsidRDefault="00EE2070" w:rsidP="00E6670A">
            <w:pPr>
              <w:bidi w:val="0"/>
              <w:jc w:val="center"/>
              <w:rPr>
                <w:sz w:val="20"/>
                <w:szCs w:val="20"/>
                <w:lang w:bidi="ar-EG"/>
              </w:rPr>
            </w:pPr>
            <w:r w:rsidRPr="006166FB">
              <w:rPr>
                <w:sz w:val="20"/>
                <w:szCs w:val="20"/>
                <w:lang w:bidi="ar-EG"/>
              </w:rPr>
              <w:t>57</w:t>
            </w:r>
          </w:p>
        </w:tc>
        <w:tc>
          <w:tcPr>
            <w:tcW w:w="466" w:type="dxa"/>
            <w:noWrap/>
            <w:vAlign w:val="center"/>
            <w:hideMark/>
          </w:tcPr>
          <w:p w14:paraId="1EBE6E30" w14:textId="77777777" w:rsidR="00EE2070" w:rsidRPr="006166FB" w:rsidRDefault="00EE2070" w:rsidP="00E6670A">
            <w:pPr>
              <w:bidi w:val="0"/>
              <w:jc w:val="center"/>
              <w:rPr>
                <w:sz w:val="20"/>
                <w:szCs w:val="20"/>
                <w:lang w:bidi="ar-EG"/>
              </w:rPr>
            </w:pPr>
          </w:p>
        </w:tc>
        <w:tc>
          <w:tcPr>
            <w:tcW w:w="4289" w:type="dxa"/>
            <w:noWrap/>
            <w:vAlign w:val="center"/>
            <w:hideMark/>
          </w:tcPr>
          <w:p w14:paraId="0A95EB8D" w14:textId="77777777" w:rsidR="00EE2070" w:rsidRPr="006166FB" w:rsidRDefault="00EE2070" w:rsidP="00E6670A">
            <w:pPr>
              <w:bidi w:val="0"/>
              <w:jc w:val="right"/>
              <w:rPr>
                <w:sz w:val="20"/>
                <w:szCs w:val="20"/>
                <w:lang w:bidi="ar-EG"/>
              </w:rPr>
            </w:pPr>
            <w:r w:rsidRPr="006166FB">
              <w:rPr>
                <w:sz w:val="20"/>
                <w:szCs w:val="20"/>
                <w:lang w:bidi="ar-EG"/>
              </w:rPr>
              <w:t>Financial Statements</w:t>
            </w:r>
          </w:p>
        </w:tc>
        <w:tc>
          <w:tcPr>
            <w:tcW w:w="653" w:type="dxa"/>
            <w:noWrap/>
            <w:vAlign w:val="center"/>
            <w:hideMark/>
          </w:tcPr>
          <w:p w14:paraId="347A37F8" w14:textId="77777777" w:rsidR="00EE2070" w:rsidRPr="006166FB" w:rsidRDefault="00EE2070" w:rsidP="00E6670A">
            <w:pPr>
              <w:bidi w:val="0"/>
              <w:jc w:val="center"/>
              <w:rPr>
                <w:sz w:val="20"/>
                <w:szCs w:val="20"/>
                <w:lang w:bidi="ar-EG"/>
              </w:rPr>
            </w:pPr>
          </w:p>
        </w:tc>
      </w:tr>
      <w:tr w:rsidR="006166FB" w:rsidRPr="006166FB" w14:paraId="1D6E7A8D" w14:textId="77777777" w:rsidTr="00F36213">
        <w:trPr>
          <w:trHeight w:hRule="exact" w:val="397"/>
          <w:jc w:val="center"/>
        </w:trPr>
        <w:tc>
          <w:tcPr>
            <w:tcW w:w="490" w:type="dxa"/>
            <w:noWrap/>
            <w:vAlign w:val="center"/>
            <w:hideMark/>
          </w:tcPr>
          <w:p w14:paraId="612CDF2F" w14:textId="77777777" w:rsidR="00EE2070" w:rsidRPr="006166FB" w:rsidRDefault="00EE2070" w:rsidP="00E6670A">
            <w:pPr>
              <w:bidi w:val="0"/>
              <w:jc w:val="center"/>
              <w:rPr>
                <w:sz w:val="20"/>
                <w:szCs w:val="20"/>
                <w:lang w:bidi="ar-EG"/>
              </w:rPr>
            </w:pPr>
            <w:r w:rsidRPr="006166FB">
              <w:rPr>
                <w:sz w:val="20"/>
                <w:szCs w:val="20"/>
                <w:lang w:bidi="ar-EG"/>
              </w:rPr>
              <w:t>14</w:t>
            </w:r>
          </w:p>
        </w:tc>
        <w:tc>
          <w:tcPr>
            <w:tcW w:w="4202" w:type="dxa"/>
            <w:noWrap/>
            <w:vAlign w:val="center"/>
            <w:hideMark/>
          </w:tcPr>
          <w:p w14:paraId="117AF1A8" w14:textId="77777777" w:rsidR="00EE2070" w:rsidRPr="006166FB" w:rsidRDefault="00EE2070" w:rsidP="00E6670A">
            <w:pPr>
              <w:bidi w:val="0"/>
              <w:jc w:val="right"/>
              <w:rPr>
                <w:sz w:val="20"/>
                <w:szCs w:val="20"/>
                <w:lang w:bidi="ar-EG"/>
              </w:rPr>
            </w:pPr>
            <w:r w:rsidRPr="006166FB">
              <w:rPr>
                <w:sz w:val="20"/>
                <w:szCs w:val="20"/>
                <w:lang w:bidi="ar-EG"/>
              </w:rPr>
              <w:t>Investment property</w:t>
            </w:r>
          </w:p>
        </w:tc>
        <w:tc>
          <w:tcPr>
            <w:tcW w:w="653" w:type="dxa"/>
            <w:noWrap/>
            <w:vAlign w:val="center"/>
            <w:hideMark/>
          </w:tcPr>
          <w:p w14:paraId="34957CDE" w14:textId="77777777" w:rsidR="00EE2070" w:rsidRPr="006166FB" w:rsidRDefault="00EE2070" w:rsidP="00E6670A">
            <w:pPr>
              <w:bidi w:val="0"/>
              <w:jc w:val="center"/>
              <w:rPr>
                <w:sz w:val="20"/>
                <w:szCs w:val="20"/>
                <w:lang w:bidi="ar-EG"/>
              </w:rPr>
            </w:pPr>
            <w:r w:rsidRPr="006166FB">
              <w:rPr>
                <w:sz w:val="20"/>
                <w:szCs w:val="20"/>
                <w:lang w:bidi="ar-EG"/>
              </w:rPr>
              <w:t>60</w:t>
            </w:r>
          </w:p>
        </w:tc>
        <w:tc>
          <w:tcPr>
            <w:tcW w:w="466" w:type="dxa"/>
            <w:noWrap/>
            <w:vAlign w:val="center"/>
            <w:hideMark/>
          </w:tcPr>
          <w:p w14:paraId="65E42B62" w14:textId="77777777" w:rsidR="00EE2070" w:rsidRPr="006166FB" w:rsidRDefault="00EE2070" w:rsidP="00E6670A">
            <w:pPr>
              <w:bidi w:val="0"/>
              <w:jc w:val="center"/>
              <w:rPr>
                <w:sz w:val="20"/>
                <w:szCs w:val="20"/>
                <w:lang w:bidi="ar-EG"/>
              </w:rPr>
            </w:pPr>
          </w:p>
        </w:tc>
        <w:tc>
          <w:tcPr>
            <w:tcW w:w="4289" w:type="dxa"/>
            <w:noWrap/>
            <w:vAlign w:val="center"/>
            <w:hideMark/>
          </w:tcPr>
          <w:p w14:paraId="7D614D87" w14:textId="5E19DC17" w:rsidR="00EE2070" w:rsidRPr="006166FB" w:rsidRDefault="00EE2070" w:rsidP="00E6670A">
            <w:pPr>
              <w:bidi w:val="0"/>
              <w:jc w:val="right"/>
              <w:rPr>
                <w:sz w:val="20"/>
                <w:szCs w:val="20"/>
                <w:lang w:bidi="ar-EG"/>
              </w:rPr>
            </w:pPr>
            <w:r w:rsidRPr="006166FB">
              <w:rPr>
                <w:sz w:val="20"/>
                <w:szCs w:val="20"/>
                <w:lang w:bidi="ar-EG"/>
              </w:rPr>
              <w:t xml:space="preserve">Appendix A: </w:t>
            </w:r>
            <w:r w:rsidR="00FA35AF" w:rsidRPr="006166FB">
              <w:rPr>
                <w:sz w:val="20"/>
                <w:szCs w:val="20"/>
                <w:lang w:bidi="ar-EG"/>
              </w:rPr>
              <w:t>Organizing</w:t>
            </w:r>
            <w:r w:rsidRPr="006166FB">
              <w:rPr>
                <w:sz w:val="20"/>
                <w:szCs w:val="20"/>
                <w:lang w:bidi="ar-EG"/>
              </w:rPr>
              <w:t xml:space="preserve"> the statement of profit</w:t>
            </w:r>
          </w:p>
        </w:tc>
        <w:tc>
          <w:tcPr>
            <w:tcW w:w="653" w:type="dxa"/>
            <w:noWrap/>
            <w:vAlign w:val="center"/>
            <w:hideMark/>
          </w:tcPr>
          <w:p w14:paraId="18E828B6" w14:textId="77777777" w:rsidR="00EE2070" w:rsidRPr="006166FB" w:rsidRDefault="00EE2070" w:rsidP="00E6670A">
            <w:pPr>
              <w:bidi w:val="0"/>
              <w:jc w:val="center"/>
              <w:rPr>
                <w:sz w:val="20"/>
                <w:szCs w:val="20"/>
                <w:lang w:bidi="ar-EG"/>
              </w:rPr>
            </w:pPr>
            <w:r w:rsidRPr="006166FB">
              <w:rPr>
                <w:sz w:val="20"/>
                <w:szCs w:val="20"/>
                <w:lang w:bidi="ar-EG"/>
              </w:rPr>
              <w:t>106</w:t>
            </w:r>
          </w:p>
        </w:tc>
      </w:tr>
      <w:tr w:rsidR="00EE2070" w:rsidRPr="006166FB" w14:paraId="608681DD" w14:textId="77777777" w:rsidTr="00F36213">
        <w:trPr>
          <w:trHeight w:hRule="exact" w:val="397"/>
          <w:jc w:val="center"/>
        </w:trPr>
        <w:tc>
          <w:tcPr>
            <w:tcW w:w="490" w:type="dxa"/>
            <w:noWrap/>
            <w:vAlign w:val="center"/>
            <w:hideMark/>
          </w:tcPr>
          <w:p w14:paraId="3260420C" w14:textId="77777777" w:rsidR="00EE2070" w:rsidRPr="006166FB" w:rsidRDefault="00EE2070" w:rsidP="00E6670A">
            <w:pPr>
              <w:bidi w:val="0"/>
              <w:jc w:val="center"/>
              <w:rPr>
                <w:sz w:val="20"/>
                <w:szCs w:val="20"/>
                <w:lang w:bidi="ar-EG"/>
              </w:rPr>
            </w:pPr>
            <w:r w:rsidRPr="006166FB">
              <w:rPr>
                <w:sz w:val="20"/>
                <w:szCs w:val="20"/>
                <w:lang w:bidi="ar-EG"/>
              </w:rPr>
              <w:t>15</w:t>
            </w:r>
          </w:p>
        </w:tc>
        <w:tc>
          <w:tcPr>
            <w:tcW w:w="4202" w:type="dxa"/>
            <w:noWrap/>
            <w:vAlign w:val="center"/>
            <w:hideMark/>
          </w:tcPr>
          <w:p w14:paraId="31D2A37F" w14:textId="77777777" w:rsidR="00EE2070" w:rsidRPr="006166FB" w:rsidRDefault="00EE2070" w:rsidP="00E6670A">
            <w:pPr>
              <w:bidi w:val="0"/>
              <w:jc w:val="right"/>
              <w:rPr>
                <w:sz w:val="20"/>
                <w:szCs w:val="20"/>
                <w:lang w:bidi="ar-EG"/>
              </w:rPr>
            </w:pPr>
            <w:r w:rsidRPr="006166FB">
              <w:rPr>
                <w:sz w:val="20"/>
                <w:szCs w:val="20"/>
                <w:lang w:bidi="ar-EG"/>
              </w:rPr>
              <w:t>Financial assets and liabilities</w:t>
            </w:r>
          </w:p>
        </w:tc>
        <w:tc>
          <w:tcPr>
            <w:tcW w:w="653" w:type="dxa"/>
            <w:noWrap/>
            <w:vAlign w:val="center"/>
            <w:hideMark/>
          </w:tcPr>
          <w:p w14:paraId="78D71081" w14:textId="77777777" w:rsidR="00EE2070" w:rsidRPr="006166FB" w:rsidRDefault="00EE2070" w:rsidP="00E6670A">
            <w:pPr>
              <w:bidi w:val="0"/>
              <w:jc w:val="center"/>
              <w:rPr>
                <w:sz w:val="20"/>
                <w:szCs w:val="20"/>
                <w:lang w:bidi="ar-EG"/>
              </w:rPr>
            </w:pPr>
            <w:r w:rsidRPr="006166FB">
              <w:rPr>
                <w:sz w:val="20"/>
                <w:szCs w:val="20"/>
                <w:lang w:bidi="ar-EG"/>
              </w:rPr>
              <w:t>61</w:t>
            </w:r>
          </w:p>
        </w:tc>
        <w:tc>
          <w:tcPr>
            <w:tcW w:w="466" w:type="dxa"/>
            <w:noWrap/>
            <w:vAlign w:val="center"/>
            <w:hideMark/>
          </w:tcPr>
          <w:p w14:paraId="6DA12F1B" w14:textId="77777777" w:rsidR="00EE2070" w:rsidRPr="006166FB" w:rsidRDefault="00EE2070" w:rsidP="00E6670A">
            <w:pPr>
              <w:bidi w:val="0"/>
              <w:jc w:val="center"/>
              <w:rPr>
                <w:sz w:val="20"/>
                <w:szCs w:val="20"/>
                <w:lang w:bidi="ar-EG"/>
              </w:rPr>
            </w:pPr>
          </w:p>
        </w:tc>
        <w:tc>
          <w:tcPr>
            <w:tcW w:w="4289" w:type="dxa"/>
            <w:noWrap/>
            <w:vAlign w:val="center"/>
            <w:hideMark/>
          </w:tcPr>
          <w:p w14:paraId="5B98FD97" w14:textId="77777777" w:rsidR="00EE2070" w:rsidRPr="006166FB" w:rsidRDefault="00EE2070" w:rsidP="00E6670A">
            <w:pPr>
              <w:bidi w:val="0"/>
              <w:jc w:val="right"/>
              <w:rPr>
                <w:sz w:val="20"/>
                <w:szCs w:val="20"/>
                <w:lang w:bidi="ar-EG"/>
              </w:rPr>
            </w:pPr>
            <w:r w:rsidRPr="006166FB">
              <w:rPr>
                <w:sz w:val="20"/>
                <w:szCs w:val="20"/>
                <w:lang w:bidi="ar-EG"/>
              </w:rPr>
              <w:t>or loss by function of expenses</w:t>
            </w:r>
          </w:p>
        </w:tc>
        <w:tc>
          <w:tcPr>
            <w:tcW w:w="653" w:type="dxa"/>
            <w:noWrap/>
            <w:vAlign w:val="center"/>
            <w:hideMark/>
          </w:tcPr>
          <w:p w14:paraId="17458185" w14:textId="77777777" w:rsidR="00EE2070" w:rsidRPr="006166FB" w:rsidRDefault="00EE2070" w:rsidP="00E6670A">
            <w:pPr>
              <w:bidi w:val="0"/>
              <w:jc w:val="center"/>
              <w:rPr>
                <w:sz w:val="20"/>
                <w:szCs w:val="20"/>
                <w:lang w:bidi="ar-EG"/>
              </w:rPr>
            </w:pPr>
          </w:p>
        </w:tc>
      </w:tr>
      <w:tr w:rsidR="006166FB" w:rsidRPr="006166FB" w14:paraId="341BEAE8" w14:textId="77777777" w:rsidTr="00F36213">
        <w:trPr>
          <w:trHeight w:hRule="exact" w:val="397"/>
          <w:jc w:val="center"/>
        </w:trPr>
        <w:tc>
          <w:tcPr>
            <w:tcW w:w="490" w:type="dxa"/>
            <w:noWrap/>
            <w:vAlign w:val="center"/>
            <w:hideMark/>
          </w:tcPr>
          <w:p w14:paraId="2330DE1E" w14:textId="77777777" w:rsidR="00EE2070" w:rsidRPr="006166FB" w:rsidRDefault="00EE2070" w:rsidP="00E6670A">
            <w:pPr>
              <w:bidi w:val="0"/>
              <w:jc w:val="center"/>
              <w:rPr>
                <w:sz w:val="20"/>
                <w:szCs w:val="20"/>
                <w:lang w:bidi="ar-EG"/>
              </w:rPr>
            </w:pPr>
            <w:r w:rsidRPr="006166FB">
              <w:rPr>
                <w:sz w:val="20"/>
                <w:szCs w:val="20"/>
                <w:lang w:bidi="ar-EG"/>
              </w:rPr>
              <w:t>16</w:t>
            </w:r>
          </w:p>
        </w:tc>
        <w:tc>
          <w:tcPr>
            <w:tcW w:w="4202" w:type="dxa"/>
            <w:noWrap/>
            <w:vAlign w:val="center"/>
            <w:hideMark/>
          </w:tcPr>
          <w:p w14:paraId="24C5EEC8" w14:textId="77777777" w:rsidR="00EE2070" w:rsidRPr="006166FB" w:rsidRDefault="00EE2070" w:rsidP="00E6670A">
            <w:pPr>
              <w:bidi w:val="0"/>
              <w:jc w:val="right"/>
              <w:rPr>
                <w:sz w:val="20"/>
                <w:szCs w:val="20"/>
                <w:lang w:bidi="ar-EG"/>
              </w:rPr>
            </w:pPr>
            <w:r w:rsidRPr="006166FB">
              <w:rPr>
                <w:sz w:val="20"/>
                <w:szCs w:val="20"/>
                <w:lang w:bidi="ar-EG"/>
              </w:rPr>
              <w:t>Deferred tax assets and liabilities</w:t>
            </w:r>
          </w:p>
        </w:tc>
        <w:tc>
          <w:tcPr>
            <w:tcW w:w="653" w:type="dxa"/>
            <w:noWrap/>
            <w:vAlign w:val="center"/>
            <w:hideMark/>
          </w:tcPr>
          <w:p w14:paraId="586625E1" w14:textId="77777777" w:rsidR="00EE2070" w:rsidRPr="006166FB" w:rsidRDefault="00EE2070" w:rsidP="00E6670A">
            <w:pPr>
              <w:bidi w:val="0"/>
              <w:jc w:val="center"/>
              <w:rPr>
                <w:sz w:val="20"/>
                <w:szCs w:val="20"/>
                <w:lang w:bidi="ar-EG"/>
              </w:rPr>
            </w:pPr>
            <w:r w:rsidRPr="006166FB">
              <w:rPr>
                <w:sz w:val="20"/>
                <w:szCs w:val="20"/>
                <w:lang w:bidi="ar-EG"/>
              </w:rPr>
              <w:t>68</w:t>
            </w:r>
          </w:p>
        </w:tc>
        <w:tc>
          <w:tcPr>
            <w:tcW w:w="466" w:type="dxa"/>
            <w:noWrap/>
            <w:vAlign w:val="center"/>
            <w:hideMark/>
          </w:tcPr>
          <w:p w14:paraId="61C7FD8E" w14:textId="77777777" w:rsidR="00EE2070" w:rsidRPr="006166FB" w:rsidRDefault="00EE2070" w:rsidP="00E6670A">
            <w:pPr>
              <w:bidi w:val="0"/>
              <w:jc w:val="center"/>
              <w:rPr>
                <w:sz w:val="20"/>
                <w:szCs w:val="20"/>
                <w:lang w:bidi="ar-EG"/>
              </w:rPr>
            </w:pPr>
          </w:p>
        </w:tc>
        <w:tc>
          <w:tcPr>
            <w:tcW w:w="4289" w:type="dxa"/>
            <w:noWrap/>
            <w:vAlign w:val="center"/>
            <w:hideMark/>
          </w:tcPr>
          <w:p w14:paraId="5057221A" w14:textId="77777777" w:rsidR="00EE2070" w:rsidRPr="006166FB" w:rsidRDefault="00EE2070" w:rsidP="00E6670A">
            <w:pPr>
              <w:bidi w:val="0"/>
              <w:jc w:val="right"/>
              <w:rPr>
                <w:sz w:val="20"/>
                <w:szCs w:val="20"/>
                <w:lang w:bidi="ar-EG"/>
              </w:rPr>
            </w:pPr>
            <w:r w:rsidRPr="006166FB">
              <w:rPr>
                <w:sz w:val="20"/>
                <w:szCs w:val="20"/>
                <w:lang w:bidi="ar-EG"/>
              </w:rPr>
              <w:t>Appendix B: Statement of comprehensive income</w:t>
            </w:r>
          </w:p>
        </w:tc>
        <w:tc>
          <w:tcPr>
            <w:tcW w:w="653" w:type="dxa"/>
            <w:noWrap/>
            <w:vAlign w:val="center"/>
            <w:hideMark/>
          </w:tcPr>
          <w:p w14:paraId="39C42067" w14:textId="77777777" w:rsidR="00EE2070" w:rsidRPr="006166FB" w:rsidRDefault="00EE2070" w:rsidP="00E6670A">
            <w:pPr>
              <w:bidi w:val="0"/>
              <w:jc w:val="center"/>
              <w:rPr>
                <w:sz w:val="20"/>
                <w:szCs w:val="20"/>
                <w:lang w:bidi="ar-EG"/>
              </w:rPr>
            </w:pPr>
            <w:r w:rsidRPr="006166FB">
              <w:rPr>
                <w:sz w:val="20"/>
                <w:szCs w:val="20"/>
                <w:lang w:bidi="ar-EG"/>
              </w:rPr>
              <w:t>108</w:t>
            </w:r>
          </w:p>
        </w:tc>
      </w:tr>
      <w:tr w:rsidR="00EE2070" w:rsidRPr="006166FB" w14:paraId="638E8A20" w14:textId="77777777" w:rsidTr="00F36213">
        <w:trPr>
          <w:trHeight w:hRule="exact" w:val="397"/>
          <w:jc w:val="center"/>
        </w:trPr>
        <w:tc>
          <w:tcPr>
            <w:tcW w:w="490" w:type="dxa"/>
            <w:noWrap/>
            <w:vAlign w:val="center"/>
            <w:hideMark/>
          </w:tcPr>
          <w:p w14:paraId="2E0F97CE" w14:textId="77777777" w:rsidR="00EE2070" w:rsidRPr="006166FB" w:rsidRDefault="00EE2070" w:rsidP="00E6670A">
            <w:pPr>
              <w:bidi w:val="0"/>
              <w:jc w:val="center"/>
              <w:rPr>
                <w:sz w:val="20"/>
                <w:szCs w:val="20"/>
                <w:lang w:bidi="ar-EG"/>
              </w:rPr>
            </w:pPr>
            <w:r w:rsidRPr="006166FB">
              <w:rPr>
                <w:sz w:val="20"/>
                <w:szCs w:val="20"/>
                <w:lang w:bidi="ar-EG"/>
              </w:rPr>
              <w:t>17</w:t>
            </w:r>
          </w:p>
        </w:tc>
        <w:tc>
          <w:tcPr>
            <w:tcW w:w="4202" w:type="dxa"/>
            <w:noWrap/>
            <w:vAlign w:val="center"/>
            <w:hideMark/>
          </w:tcPr>
          <w:p w14:paraId="273F854A" w14:textId="77777777" w:rsidR="00EE2070" w:rsidRPr="006166FB" w:rsidRDefault="00EE2070" w:rsidP="00E6670A">
            <w:pPr>
              <w:bidi w:val="0"/>
              <w:jc w:val="right"/>
              <w:rPr>
                <w:sz w:val="20"/>
                <w:szCs w:val="20"/>
                <w:lang w:bidi="ar-EG"/>
              </w:rPr>
            </w:pPr>
            <w:r w:rsidRPr="006166FB">
              <w:rPr>
                <w:sz w:val="20"/>
                <w:szCs w:val="20"/>
                <w:lang w:bidi="ar-EG"/>
              </w:rPr>
              <w:t>Inventories</w:t>
            </w:r>
          </w:p>
        </w:tc>
        <w:tc>
          <w:tcPr>
            <w:tcW w:w="653" w:type="dxa"/>
            <w:noWrap/>
            <w:vAlign w:val="center"/>
            <w:hideMark/>
          </w:tcPr>
          <w:p w14:paraId="4AE93E5A" w14:textId="77777777" w:rsidR="00EE2070" w:rsidRPr="006166FB" w:rsidRDefault="00EE2070" w:rsidP="00E6670A">
            <w:pPr>
              <w:bidi w:val="0"/>
              <w:jc w:val="center"/>
              <w:rPr>
                <w:sz w:val="20"/>
                <w:szCs w:val="20"/>
                <w:lang w:bidi="ar-EG"/>
              </w:rPr>
            </w:pPr>
            <w:r w:rsidRPr="006166FB">
              <w:rPr>
                <w:sz w:val="20"/>
                <w:szCs w:val="20"/>
                <w:lang w:bidi="ar-EG"/>
              </w:rPr>
              <w:t>70</w:t>
            </w:r>
          </w:p>
        </w:tc>
        <w:tc>
          <w:tcPr>
            <w:tcW w:w="466" w:type="dxa"/>
            <w:noWrap/>
            <w:vAlign w:val="center"/>
            <w:hideMark/>
          </w:tcPr>
          <w:p w14:paraId="7109CDB2" w14:textId="77777777" w:rsidR="00EE2070" w:rsidRPr="006166FB" w:rsidRDefault="00EE2070" w:rsidP="00E6670A">
            <w:pPr>
              <w:bidi w:val="0"/>
              <w:jc w:val="center"/>
              <w:rPr>
                <w:sz w:val="20"/>
                <w:szCs w:val="20"/>
                <w:lang w:bidi="ar-EG"/>
              </w:rPr>
            </w:pPr>
          </w:p>
        </w:tc>
        <w:tc>
          <w:tcPr>
            <w:tcW w:w="4289" w:type="dxa"/>
            <w:noWrap/>
            <w:vAlign w:val="center"/>
            <w:hideMark/>
          </w:tcPr>
          <w:p w14:paraId="20251F0D" w14:textId="77777777" w:rsidR="00EE2070" w:rsidRPr="006166FB" w:rsidRDefault="00EE2070" w:rsidP="00E6670A">
            <w:pPr>
              <w:bidi w:val="0"/>
              <w:jc w:val="right"/>
              <w:rPr>
                <w:sz w:val="20"/>
                <w:szCs w:val="20"/>
                <w:lang w:bidi="ar-EG"/>
              </w:rPr>
            </w:pPr>
            <w:r w:rsidRPr="006166FB">
              <w:rPr>
                <w:sz w:val="20"/>
                <w:szCs w:val="20"/>
                <w:lang w:bidi="ar-EG"/>
              </w:rPr>
              <w:t>presented in a single statement</w:t>
            </w:r>
          </w:p>
        </w:tc>
        <w:tc>
          <w:tcPr>
            <w:tcW w:w="653" w:type="dxa"/>
            <w:noWrap/>
            <w:vAlign w:val="center"/>
            <w:hideMark/>
          </w:tcPr>
          <w:p w14:paraId="4B24F317" w14:textId="77777777" w:rsidR="00EE2070" w:rsidRPr="006166FB" w:rsidRDefault="00EE2070" w:rsidP="00E6670A">
            <w:pPr>
              <w:bidi w:val="0"/>
              <w:jc w:val="center"/>
              <w:rPr>
                <w:sz w:val="20"/>
                <w:szCs w:val="20"/>
                <w:lang w:bidi="ar-EG"/>
              </w:rPr>
            </w:pPr>
          </w:p>
        </w:tc>
      </w:tr>
      <w:tr w:rsidR="006166FB" w:rsidRPr="006166FB" w14:paraId="27F24304" w14:textId="77777777" w:rsidTr="00F36213">
        <w:trPr>
          <w:trHeight w:hRule="exact" w:val="397"/>
          <w:jc w:val="center"/>
        </w:trPr>
        <w:tc>
          <w:tcPr>
            <w:tcW w:w="490" w:type="dxa"/>
            <w:noWrap/>
            <w:vAlign w:val="center"/>
            <w:hideMark/>
          </w:tcPr>
          <w:p w14:paraId="6E55E67B" w14:textId="77777777" w:rsidR="00EE2070" w:rsidRPr="006166FB" w:rsidRDefault="00EE2070" w:rsidP="00E6670A">
            <w:pPr>
              <w:bidi w:val="0"/>
              <w:jc w:val="center"/>
              <w:rPr>
                <w:sz w:val="20"/>
                <w:szCs w:val="20"/>
                <w:lang w:bidi="ar-EG"/>
              </w:rPr>
            </w:pPr>
            <w:r w:rsidRPr="006166FB">
              <w:rPr>
                <w:sz w:val="20"/>
                <w:szCs w:val="20"/>
                <w:lang w:bidi="ar-EG"/>
              </w:rPr>
              <w:t>18</w:t>
            </w:r>
          </w:p>
        </w:tc>
        <w:tc>
          <w:tcPr>
            <w:tcW w:w="4202" w:type="dxa"/>
            <w:noWrap/>
            <w:vAlign w:val="center"/>
            <w:hideMark/>
          </w:tcPr>
          <w:p w14:paraId="7077FC5C" w14:textId="77777777" w:rsidR="00EE2070" w:rsidRPr="006166FB" w:rsidRDefault="00EE2070" w:rsidP="00E6670A">
            <w:pPr>
              <w:bidi w:val="0"/>
              <w:jc w:val="right"/>
              <w:rPr>
                <w:sz w:val="20"/>
                <w:szCs w:val="20"/>
                <w:lang w:bidi="ar-EG"/>
              </w:rPr>
            </w:pPr>
            <w:r w:rsidRPr="006166FB">
              <w:rPr>
                <w:sz w:val="20"/>
                <w:szCs w:val="20"/>
                <w:lang w:bidi="ar-EG"/>
              </w:rPr>
              <w:t>Trade and other receivables</w:t>
            </w:r>
          </w:p>
        </w:tc>
        <w:tc>
          <w:tcPr>
            <w:tcW w:w="653" w:type="dxa"/>
            <w:noWrap/>
            <w:vAlign w:val="center"/>
            <w:hideMark/>
          </w:tcPr>
          <w:p w14:paraId="4619430B" w14:textId="77777777" w:rsidR="00EE2070" w:rsidRPr="006166FB" w:rsidRDefault="00EE2070" w:rsidP="00E6670A">
            <w:pPr>
              <w:bidi w:val="0"/>
              <w:jc w:val="center"/>
              <w:rPr>
                <w:sz w:val="20"/>
                <w:szCs w:val="20"/>
                <w:lang w:bidi="ar-EG"/>
              </w:rPr>
            </w:pPr>
            <w:r w:rsidRPr="006166FB">
              <w:rPr>
                <w:sz w:val="20"/>
                <w:szCs w:val="20"/>
                <w:lang w:bidi="ar-EG"/>
              </w:rPr>
              <w:t>70</w:t>
            </w:r>
          </w:p>
        </w:tc>
        <w:tc>
          <w:tcPr>
            <w:tcW w:w="466" w:type="dxa"/>
            <w:noWrap/>
            <w:vAlign w:val="center"/>
            <w:hideMark/>
          </w:tcPr>
          <w:p w14:paraId="522DCCF2" w14:textId="77777777" w:rsidR="00EE2070" w:rsidRPr="006166FB" w:rsidRDefault="00EE2070" w:rsidP="00E6670A">
            <w:pPr>
              <w:bidi w:val="0"/>
              <w:jc w:val="center"/>
              <w:rPr>
                <w:sz w:val="20"/>
                <w:szCs w:val="20"/>
                <w:lang w:bidi="ar-EG"/>
              </w:rPr>
            </w:pPr>
          </w:p>
        </w:tc>
        <w:tc>
          <w:tcPr>
            <w:tcW w:w="4289" w:type="dxa"/>
            <w:noWrap/>
            <w:vAlign w:val="center"/>
            <w:hideMark/>
          </w:tcPr>
          <w:p w14:paraId="421C327C" w14:textId="77777777" w:rsidR="00EE2070" w:rsidRPr="006166FB" w:rsidRDefault="00EE2070" w:rsidP="00E6670A">
            <w:pPr>
              <w:bidi w:val="0"/>
              <w:jc w:val="right"/>
              <w:rPr>
                <w:sz w:val="20"/>
                <w:szCs w:val="20"/>
                <w:lang w:bidi="ar-EG"/>
              </w:rPr>
            </w:pPr>
            <w:r w:rsidRPr="006166FB">
              <w:rPr>
                <w:sz w:val="20"/>
                <w:szCs w:val="20"/>
                <w:lang w:bidi="ar-EG"/>
              </w:rPr>
              <w:t>Appendix C: Effective dates of new IFRS Standards</w:t>
            </w:r>
          </w:p>
        </w:tc>
        <w:tc>
          <w:tcPr>
            <w:tcW w:w="653" w:type="dxa"/>
            <w:noWrap/>
            <w:vAlign w:val="center"/>
            <w:hideMark/>
          </w:tcPr>
          <w:p w14:paraId="4EC99F54" w14:textId="77777777" w:rsidR="00EE2070" w:rsidRPr="006166FB" w:rsidRDefault="00EE2070" w:rsidP="00E6670A">
            <w:pPr>
              <w:bidi w:val="0"/>
              <w:jc w:val="center"/>
              <w:rPr>
                <w:sz w:val="20"/>
                <w:szCs w:val="20"/>
                <w:lang w:bidi="ar-EG"/>
              </w:rPr>
            </w:pPr>
            <w:r w:rsidRPr="006166FB">
              <w:rPr>
                <w:sz w:val="20"/>
                <w:szCs w:val="20"/>
                <w:lang w:bidi="ar-EG"/>
              </w:rPr>
              <w:t>110</w:t>
            </w:r>
          </w:p>
        </w:tc>
      </w:tr>
    </w:tbl>
    <w:bookmarkEnd w:id="0"/>
    <w:p w14:paraId="59A6E1CF" w14:textId="77777777" w:rsidR="006166FB" w:rsidRPr="006166FB" w:rsidRDefault="006166FB" w:rsidP="00E6670A">
      <w:pPr>
        <w:bidi w:val="0"/>
        <w:rPr>
          <w:sz w:val="16"/>
          <w:szCs w:val="16"/>
          <w:lang w:bidi="ar-EG"/>
        </w:rPr>
      </w:pPr>
      <w:r w:rsidRPr="006166FB">
        <w:rPr>
          <w:sz w:val="16"/>
          <w:szCs w:val="16"/>
          <w:lang w:bidi="ar-EG"/>
        </w:rPr>
        <w:t>Important Disclaimer</w:t>
      </w:r>
      <w:r w:rsidRPr="006166FB">
        <w:rPr>
          <w:rFonts w:cs="Arial"/>
          <w:sz w:val="16"/>
          <w:szCs w:val="16"/>
          <w:rtl/>
          <w:lang w:bidi="ar-EG"/>
        </w:rPr>
        <w:t>:</w:t>
      </w:r>
    </w:p>
    <w:p w14:paraId="4B50E891" w14:textId="422D7F68" w:rsidR="00EE2070" w:rsidRPr="006166FB" w:rsidRDefault="006166FB" w:rsidP="00E6670A">
      <w:pPr>
        <w:bidi w:val="0"/>
        <w:jc w:val="both"/>
        <w:rPr>
          <w:sz w:val="16"/>
          <w:szCs w:val="16"/>
          <w:lang w:bidi="ar-EG"/>
        </w:rPr>
      </w:pPr>
      <w:r w:rsidRPr="006166FB">
        <w:rPr>
          <w:sz w:val="16"/>
          <w:szCs w:val="16"/>
          <w:lang w:bidi="ar-EG"/>
        </w:rPr>
        <w:t>This document has been developed as an information resource. It is intended as a guide only and the application of its contents to specific situations will depend on the particular circumstances</w:t>
      </w:r>
      <w:r>
        <w:rPr>
          <w:sz w:val="16"/>
          <w:szCs w:val="16"/>
          <w:lang w:bidi="ar-EG"/>
        </w:rPr>
        <w:t xml:space="preserve"> </w:t>
      </w:r>
      <w:r w:rsidRPr="006166FB">
        <w:rPr>
          <w:sz w:val="16"/>
          <w:szCs w:val="16"/>
          <w:lang w:bidi="ar-EG"/>
        </w:rPr>
        <w:t>involved. While every care is taken in its presentation, personnel who use this document to assist in evaluating compliance with International Financial Reporting Standards should have sufficient</w:t>
      </w:r>
      <w:r>
        <w:rPr>
          <w:rFonts w:hint="cs"/>
          <w:sz w:val="16"/>
          <w:szCs w:val="16"/>
          <w:rtl/>
          <w:lang w:bidi="ar-EG"/>
        </w:rPr>
        <w:t xml:space="preserve"> </w:t>
      </w:r>
      <w:r w:rsidRPr="006166FB">
        <w:rPr>
          <w:sz w:val="16"/>
          <w:szCs w:val="16"/>
          <w:lang w:bidi="ar-EG"/>
        </w:rPr>
        <w:t xml:space="preserve">training and experience to do so. No person should act specifically on the basis of the material contained herein without considering and taking professional </w:t>
      </w:r>
      <w:r w:rsidR="005246D0" w:rsidRPr="006166FB">
        <w:rPr>
          <w:sz w:val="16"/>
          <w:szCs w:val="16"/>
          <w:lang w:bidi="ar-EG"/>
        </w:rPr>
        <w:t>advice</w:t>
      </w:r>
      <w:r w:rsidR="005246D0">
        <w:rPr>
          <w:sz w:val="16"/>
          <w:szCs w:val="16"/>
          <w:lang w:bidi="ar-EG"/>
        </w:rPr>
        <w:t xml:space="preserve"> </w:t>
      </w:r>
      <w:r w:rsidR="005246D0">
        <w:rPr>
          <w:rFonts w:cs="Arial"/>
          <w:sz w:val="16"/>
          <w:szCs w:val="16"/>
          <w:lang w:bidi="ar-EG"/>
        </w:rPr>
        <w:t>‘</w:t>
      </w:r>
      <w:r w:rsidRPr="006166FB">
        <w:rPr>
          <w:sz w:val="16"/>
          <w:szCs w:val="16"/>
          <w:lang w:bidi="ar-EG"/>
        </w:rPr>
        <w:t>Grant Thornton’ refers to the brand under which the Grant Thornton member firms provide assurance, tax and advisory services to their clients and/or refers to one or more member firms, as the</w:t>
      </w:r>
      <w:r>
        <w:rPr>
          <w:sz w:val="16"/>
          <w:szCs w:val="16"/>
          <w:lang w:bidi="ar-EG"/>
        </w:rPr>
        <w:t xml:space="preserve"> </w:t>
      </w:r>
      <w:r w:rsidRPr="006166FB">
        <w:rPr>
          <w:sz w:val="16"/>
          <w:szCs w:val="16"/>
          <w:lang w:bidi="ar-EG"/>
        </w:rPr>
        <w:t>context requires. Grant Thornton International Ltd (GTIL) and the member firms are not a worldwide partnership. GTIL and each member firm is a separate legal entity. Services are delivered by the</w:t>
      </w:r>
      <w:r>
        <w:rPr>
          <w:rFonts w:hint="cs"/>
          <w:sz w:val="16"/>
          <w:szCs w:val="16"/>
          <w:rtl/>
          <w:lang w:bidi="ar-EG"/>
        </w:rPr>
        <w:t xml:space="preserve"> </w:t>
      </w:r>
      <w:r w:rsidRPr="006166FB">
        <w:rPr>
          <w:sz w:val="16"/>
          <w:szCs w:val="16"/>
          <w:lang w:bidi="ar-EG"/>
        </w:rPr>
        <w:t>member firms. GTIL does not provide services to clients. GTIL and its member firms are not agents of, and do not obligate, one another and are not liable for one another’s acts or omissions. Neither</w:t>
      </w:r>
      <w:r>
        <w:rPr>
          <w:rFonts w:hint="cs"/>
          <w:sz w:val="16"/>
          <w:szCs w:val="16"/>
          <w:rtl/>
          <w:lang w:bidi="ar-EG"/>
        </w:rPr>
        <w:t xml:space="preserve"> </w:t>
      </w:r>
      <w:r w:rsidRPr="006166FB">
        <w:rPr>
          <w:sz w:val="16"/>
          <w:szCs w:val="16"/>
          <w:lang w:bidi="ar-EG"/>
        </w:rPr>
        <w:t>GTIL nor any of its personnel nor any of its member firms or their partners or employees, accept any responsibility for any errors this document might contain, whether caused by negligence or</w:t>
      </w:r>
      <w:r>
        <w:rPr>
          <w:sz w:val="16"/>
          <w:szCs w:val="16"/>
          <w:lang w:bidi="ar-EG"/>
        </w:rPr>
        <w:t xml:space="preserve"> </w:t>
      </w:r>
      <w:r w:rsidRPr="006166FB">
        <w:rPr>
          <w:sz w:val="16"/>
          <w:szCs w:val="16"/>
          <w:lang w:bidi="ar-EG"/>
        </w:rPr>
        <w:t xml:space="preserve">otherwise, or any loss, howsoever caused, incurred by any person as a result of </w:t>
      </w:r>
      <w:r w:rsidR="005246D0" w:rsidRPr="006166FB">
        <w:rPr>
          <w:sz w:val="16"/>
          <w:szCs w:val="16"/>
          <w:lang w:bidi="ar-EG"/>
        </w:rPr>
        <w:t>utilizing</w:t>
      </w:r>
      <w:r w:rsidRPr="006166FB">
        <w:rPr>
          <w:sz w:val="16"/>
          <w:szCs w:val="16"/>
          <w:lang w:bidi="ar-EG"/>
        </w:rPr>
        <w:t xml:space="preserve"> or otherwise placing any reliance upon it.</w:t>
      </w:r>
    </w:p>
    <w:p w14:paraId="454819F3" w14:textId="4966789F" w:rsidR="00AA669C" w:rsidRDefault="00AA669C" w:rsidP="00E6670A">
      <w:pPr>
        <w:bidi w:val="0"/>
        <w:rPr>
          <w:rtl/>
          <w:lang w:bidi="ar-EG"/>
        </w:rPr>
      </w:pPr>
      <w:r>
        <w:rPr>
          <w:rtl/>
          <w:lang w:bidi="ar-EG"/>
        </w:rPr>
        <w:br w:type="page"/>
      </w:r>
    </w:p>
    <w:p w14:paraId="7B2E5016" w14:textId="77777777" w:rsidR="006166FB" w:rsidRDefault="006166FB" w:rsidP="00E6670A">
      <w:pPr>
        <w:bidi w:val="0"/>
        <w:rPr>
          <w:rtl/>
          <w:lang w:bidi="ar-EG"/>
        </w:rPr>
      </w:pPr>
    </w:p>
    <w:p w14:paraId="143F18A4" w14:textId="77777777" w:rsidR="006166FB" w:rsidRDefault="006166FB" w:rsidP="00E6670A">
      <w:pPr>
        <w:bidi w:val="0"/>
        <w:rPr>
          <w:rtl/>
          <w:lang w:bidi="ar-EG"/>
        </w:rPr>
      </w:pPr>
    </w:p>
    <w:p w14:paraId="2A478979" w14:textId="053F7901" w:rsidR="00F75725" w:rsidRPr="00147E23" w:rsidRDefault="00F75725" w:rsidP="00E6670A">
      <w:pPr>
        <w:bidi w:val="0"/>
        <w:rPr>
          <w:sz w:val="20"/>
          <w:szCs w:val="20"/>
          <w:lang w:bidi="ar-EG"/>
        </w:rPr>
      </w:pPr>
      <w:r w:rsidRPr="00147E23">
        <w:rPr>
          <w:sz w:val="20"/>
          <w:szCs w:val="20"/>
          <w:lang w:bidi="ar-EG"/>
        </w:rPr>
        <w:t>SN</w:t>
      </w:r>
      <w:r w:rsidRPr="00147E23">
        <w:rPr>
          <w:rFonts w:cs="Arial"/>
          <w:sz w:val="20"/>
          <w:szCs w:val="20"/>
          <w:rtl/>
          <w:lang w:bidi="ar-EG"/>
        </w:rPr>
        <w:tab/>
      </w:r>
      <w:r w:rsidR="00147E23" w:rsidRPr="00147E23">
        <w:rPr>
          <w:rFonts w:cs="Arial"/>
          <w:sz w:val="20"/>
          <w:szCs w:val="20"/>
          <w:lang w:bidi="ar-EG"/>
        </w:rPr>
        <w:tab/>
      </w:r>
      <w:r w:rsidR="00147E23" w:rsidRPr="00147E23">
        <w:rPr>
          <w:rFonts w:cs="Arial"/>
          <w:sz w:val="20"/>
          <w:szCs w:val="20"/>
          <w:lang w:bidi="ar-EG"/>
        </w:rPr>
        <w:tab/>
      </w:r>
      <w:r w:rsidRPr="00147E23">
        <w:rPr>
          <w:sz w:val="20"/>
          <w:szCs w:val="20"/>
          <w:lang w:bidi="ar-EG"/>
        </w:rPr>
        <w:t>Contents</w:t>
      </w:r>
      <w:r w:rsidRPr="00147E23">
        <w:rPr>
          <w:rFonts w:cs="Arial"/>
          <w:sz w:val="20"/>
          <w:szCs w:val="20"/>
          <w:rtl/>
          <w:lang w:bidi="ar-EG"/>
        </w:rPr>
        <w:tab/>
      </w:r>
      <w:r w:rsidR="00147E23" w:rsidRPr="00147E23">
        <w:rPr>
          <w:rFonts w:cs="Arial"/>
          <w:sz w:val="20"/>
          <w:szCs w:val="20"/>
          <w:rtl/>
          <w:lang w:bidi="ar-EG"/>
        </w:rPr>
        <w:tab/>
      </w:r>
      <w:r w:rsidRPr="00147E23">
        <w:rPr>
          <w:sz w:val="20"/>
          <w:szCs w:val="20"/>
          <w:lang w:bidi="ar-EG"/>
        </w:rPr>
        <w:t>Page</w:t>
      </w:r>
      <w:r w:rsidRPr="00147E23">
        <w:rPr>
          <w:rFonts w:cs="Arial"/>
          <w:sz w:val="20"/>
          <w:szCs w:val="20"/>
          <w:rtl/>
          <w:lang w:bidi="ar-EG"/>
        </w:rPr>
        <w:tab/>
      </w:r>
      <w:r w:rsidR="00147E23" w:rsidRPr="00147E23">
        <w:rPr>
          <w:rFonts w:cs="Arial"/>
          <w:sz w:val="20"/>
          <w:szCs w:val="20"/>
          <w:rtl/>
          <w:lang w:bidi="ar-EG"/>
        </w:rPr>
        <w:tab/>
      </w:r>
      <w:r w:rsidRPr="00147E23">
        <w:rPr>
          <w:sz w:val="20"/>
          <w:szCs w:val="20"/>
          <w:lang w:bidi="ar-EG"/>
        </w:rPr>
        <w:t>SN</w:t>
      </w:r>
      <w:r w:rsidRPr="00147E23">
        <w:rPr>
          <w:rFonts w:cs="Arial"/>
          <w:sz w:val="20"/>
          <w:szCs w:val="20"/>
          <w:rtl/>
          <w:lang w:bidi="ar-EG"/>
        </w:rPr>
        <w:tab/>
      </w:r>
      <w:r w:rsidR="00147E23" w:rsidRPr="00147E23">
        <w:rPr>
          <w:rFonts w:cs="Arial"/>
          <w:sz w:val="20"/>
          <w:szCs w:val="20"/>
          <w:rtl/>
          <w:lang w:bidi="ar-EG"/>
        </w:rPr>
        <w:tab/>
      </w:r>
      <w:r w:rsidR="00147E23" w:rsidRPr="00147E23">
        <w:rPr>
          <w:rFonts w:cs="Arial"/>
          <w:sz w:val="20"/>
          <w:szCs w:val="20"/>
          <w:rtl/>
          <w:lang w:bidi="ar-EG"/>
        </w:rPr>
        <w:tab/>
      </w:r>
      <w:r w:rsidRPr="00147E23">
        <w:rPr>
          <w:sz w:val="20"/>
          <w:szCs w:val="20"/>
          <w:lang w:bidi="ar-EG"/>
        </w:rPr>
        <w:t>Contents</w:t>
      </w:r>
      <w:r w:rsidRPr="00147E23">
        <w:rPr>
          <w:rFonts w:cs="Arial"/>
          <w:sz w:val="20"/>
          <w:szCs w:val="20"/>
          <w:rtl/>
          <w:lang w:bidi="ar-EG"/>
        </w:rPr>
        <w:tab/>
      </w:r>
      <w:r w:rsidR="00147E23" w:rsidRPr="00147E23">
        <w:rPr>
          <w:rFonts w:cs="Arial"/>
          <w:sz w:val="20"/>
          <w:szCs w:val="20"/>
          <w:rtl/>
          <w:lang w:bidi="ar-EG"/>
        </w:rPr>
        <w:tab/>
      </w:r>
      <w:r w:rsidRPr="00147E23">
        <w:rPr>
          <w:sz w:val="20"/>
          <w:szCs w:val="20"/>
          <w:lang w:bidi="ar-EG"/>
        </w:rPr>
        <w:t>Page</w:t>
      </w:r>
    </w:p>
    <w:p w14:paraId="1571BA5B" w14:textId="3BDEB304" w:rsidR="00F75725" w:rsidRPr="00147E23" w:rsidRDefault="00F75725" w:rsidP="00E6670A">
      <w:pPr>
        <w:bidi w:val="0"/>
        <w:rPr>
          <w:sz w:val="20"/>
          <w:szCs w:val="20"/>
          <w:lang w:bidi="ar-EG"/>
        </w:rPr>
      </w:pPr>
      <w:r w:rsidRPr="00147E23">
        <w:rPr>
          <w:rFonts w:cs="Arial"/>
          <w:sz w:val="20"/>
          <w:szCs w:val="20"/>
          <w:rtl/>
          <w:lang w:bidi="ar-EG"/>
        </w:rPr>
        <w:tab/>
      </w:r>
      <w:r w:rsidRPr="00147E23">
        <w:rPr>
          <w:sz w:val="20"/>
          <w:szCs w:val="20"/>
          <w:lang w:bidi="ar-EG"/>
        </w:rPr>
        <w:t>Introduction</w:t>
      </w:r>
      <w:r w:rsidRPr="00147E23">
        <w:rPr>
          <w:rFonts w:cs="Arial"/>
          <w:sz w:val="20"/>
          <w:szCs w:val="20"/>
          <w:rtl/>
          <w:lang w:bidi="ar-EG"/>
        </w:rPr>
        <w:tab/>
      </w:r>
      <w:r w:rsidR="00147E23" w:rsidRPr="00147E23">
        <w:rPr>
          <w:rFonts w:cs="Arial"/>
          <w:sz w:val="20"/>
          <w:szCs w:val="20"/>
          <w:rtl/>
          <w:lang w:bidi="ar-EG"/>
        </w:rPr>
        <w:tab/>
      </w:r>
      <w:r w:rsidR="00147E23" w:rsidRPr="00147E23">
        <w:rPr>
          <w:rFonts w:cs="Arial"/>
          <w:sz w:val="20"/>
          <w:szCs w:val="20"/>
          <w:rtl/>
          <w:lang w:bidi="ar-EG"/>
        </w:rPr>
        <w:tab/>
      </w:r>
      <w:r w:rsidR="00147E23" w:rsidRPr="00147E23">
        <w:rPr>
          <w:rFonts w:cs="Arial"/>
          <w:sz w:val="20"/>
          <w:szCs w:val="20"/>
          <w:rtl/>
          <w:lang w:bidi="ar-EG"/>
        </w:rPr>
        <w:tab/>
      </w:r>
      <w:r w:rsidRPr="00147E23">
        <w:rPr>
          <w:rFonts w:cs="Arial"/>
          <w:sz w:val="20"/>
          <w:szCs w:val="20"/>
          <w:rtl/>
          <w:lang w:bidi="ar-EG"/>
        </w:rPr>
        <w:t>1</w:t>
      </w:r>
      <w:r w:rsidRPr="00147E23">
        <w:rPr>
          <w:rFonts w:cs="Arial"/>
          <w:sz w:val="20"/>
          <w:szCs w:val="20"/>
          <w:rtl/>
          <w:lang w:bidi="ar-EG"/>
        </w:rPr>
        <w:tab/>
        <w:t>19</w:t>
      </w:r>
      <w:r w:rsidRPr="00147E23">
        <w:rPr>
          <w:rFonts w:cs="Arial"/>
          <w:sz w:val="20"/>
          <w:szCs w:val="20"/>
          <w:rtl/>
          <w:lang w:bidi="ar-EG"/>
        </w:rPr>
        <w:tab/>
      </w:r>
      <w:r w:rsidRPr="00147E23">
        <w:rPr>
          <w:sz w:val="20"/>
          <w:szCs w:val="20"/>
          <w:lang w:bidi="ar-EG"/>
        </w:rPr>
        <w:t>Cash and cash equivalents</w:t>
      </w:r>
      <w:r w:rsidRPr="00147E23">
        <w:rPr>
          <w:rFonts w:cs="Arial"/>
          <w:sz w:val="20"/>
          <w:szCs w:val="20"/>
          <w:rtl/>
          <w:lang w:bidi="ar-EG"/>
        </w:rPr>
        <w:tab/>
      </w:r>
      <w:r w:rsidR="00147E23" w:rsidRPr="00147E23">
        <w:rPr>
          <w:rFonts w:cs="Arial"/>
          <w:sz w:val="20"/>
          <w:szCs w:val="20"/>
          <w:rtl/>
          <w:lang w:bidi="ar-EG"/>
        </w:rPr>
        <w:tab/>
      </w:r>
      <w:r w:rsidR="00AA669C">
        <w:rPr>
          <w:rFonts w:cs="Arial"/>
          <w:sz w:val="20"/>
          <w:szCs w:val="20"/>
          <w:rtl/>
          <w:lang w:bidi="ar-EG"/>
        </w:rPr>
        <w:tab/>
      </w:r>
      <w:r w:rsidR="00AA669C">
        <w:rPr>
          <w:rFonts w:cs="Arial"/>
          <w:sz w:val="20"/>
          <w:szCs w:val="20"/>
          <w:rtl/>
          <w:lang w:bidi="ar-EG"/>
        </w:rPr>
        <w:tab/>
      </w:r>
      <w:r w:rsidRPr="00147E23">
        <w:rPr>
          <w:rFonts w:cs="Arial"/>
          <w:sz w:val="20"/>
          <w:szCs w:val="20"/>
          <w:rtl/>
          <w:lang w:bidi="ar-EG"/>
        </w:rPr>
        <w:t>71</w:t>
      </w:r>
    </w:p>
    <w:p w14:paraId="4706EEE7" w14:textId="12EE26CA" w:rsidR="00F75725" w:rsidRPr="00147E23" w:rsidRDefault="00F75725" w:rsidP="00E6670A">
      <w:pPr>
        <w:bidi w:val="0"/>
        <w:rPr>
          <w:sz w:val="20"/>
          <w:szCs w:val="20"/>
          <w:lang w:bidi="ar-EG"/>
        </w:rPr>
      </w:pPr>
      <w:r w:rsidRPr="00147E23">
        <w:rPr>
          <w:rFonts w:cs="Arial"/>
          <w:sz w:val="20"/>
          <w:szCs w:val="20"/>
          <w:rtl/>
          <w:lang w:bidi="ar-EG"/>
        </w:rPr>
        <w:tab/>
      </w:r>
      <w:r w:rsidRPr="00147E23">
        <w:rPr>
          <w:sz w:val="20"/>
          <w:szCs w:val="20"/>
          <w:lang w:bidi="ar-EG"/>
        </w:rPr>
        <w:t>IFRS Example Consolidated Financial</w:t>
      </w:r>
      <w:r w:rsidRPr="00147E23">
        <w:rPr>
          <w:rFonts w:cs="Arial"/>
          <w:sz w:val="20"/>
          <w:szCs w:val="20"/>
          <w:rtl/>
          <w:lang w:bidi="ar-EG"/>
        </w:rPr>
        <w:tab/>
      </w:r>
      <w:r w:rsidRPr="00147E23">
        <w:rPr>
          <w:rFonts w:cs="Arial"/>
          <w:sz w:val="20"/>
          <w:szCs w:val="20"/>
          <w:rtl/>
          <w:lang w:bidi="ar-EG"/>
        </w:rPr>
        <w:tab/>
        <w:t>20</w:t>
      </w:r>
      <w:r w:rsidRPr="00147E23">
        <w:rPr>
          <w:rFonts w:cs="Arial"/>
          <w:sz w:val="20"/>
          <w:szCs w:val="20"/>
          <w:rtl/>
          <w:lang w:bidi="ar-EG"/>
        </w:rPr>
        <w:tab/>
      </w:r>
      <w:r w:rsidRPr="00147E23">
        <w:rPr>
          <w:sz w:val="20"/>
          <w:szCs w:val="20"/>
          <w:lang w:bidi="ar-EG"/>
        </w:rPr>
        <w:t>Disposal groups classified as held for sale and</w:t>
      </w:r>
      <w:r w:rsidRPr="00147E23">
        <w:rPr>
          <w:rFonts w:cs="Arial"/>
          <w:sz w:val="20"/>
          <w:szCs w:val="20"/>
          <w:rtl/>
          <w:lang w:bidi="ar-EG"/>
        </w:rPr>
        <w:tab/>
      </w:r>
    </w:p>
    <w:p w14:paraId="7007F672" w14:textId="23DA60D0" w:rsidR="00F75725" w:rsidRPr="00147E23" w:rsidRDefault="00F75725" w:rsidP="00E6670A">
      <w:pPr>
        <w:bidi w:val="0"/>
        <w:rPr>
          <w:sz w:val="20"/>
          <w:szCs w:val="20"/>
          <w:lang w:bidi="ar-EG"/>
        </w:rPr>
      </w:pPr>
      <w:r w:rsidRPr="00147E23">
        <w:rPr>
          <w:rFonts w:cs="Arial"/>
          <w:sz w:val="20"/>
          <w:szCs w:val="20"/>
          <w:rtl/>
          <w:lang w:bidi="ar-EG"/>
        </w:rPr>
        <w:tab/>
      </w:r>
      <w:r w:rsidRPr="00147E23">
        <w:rPr>
          <w:sz w:val="20"/>
          <w:szCs w:val="20"/>
          <w:lang w:bidi="ar-EG"/>
        </w:rPr>
        <w:t>Statements</w:t>
      </w:r>
      <w:r w:rsidRPr="00147E23">
        <w:rPr>
          <w:rFonts w:cs="Arial"/>
          <w:sz w:val="20"/>
          <w:szCs w:val="20"/>
          <w:rtl/>
          <w:lang w:bidi="ar-EG"/>
        </w:rPr>
        <w:tab/>
      </w:r>
      <w:r w:rsidRPr="00147E23">
        <w:rPr>
          <w:rFonts w:cs="Arial"/>
          <w:sz w:val="20"/>
          <w:szCs w:val="20"/>
          <w:rtl/>
          <w:lang w:bidi="ar-EG"/>
        </w:rPr>
        <w:tab/>
      </w:r>
      <w:r w:rsidRPr="00147E23">
        <w:rPr>
          <w:rFonts w:cs="Arial"/>
          <w:sz w:val="20"/>
          <w:szCs w:val="20"/>
          <w:rtl/>
          <w:lang w:bidi="ar-EG"/>
        </w:rPr>
        <w:tab/>
      </w:r>
      <w:r w:rsidR="00DD7790">
        <w:rPr>
          <w:rFonts w:cs="Arial"/>
          <w:sz w:val="20"/>
          <w:szCs w:val="20"/>
          <w:rtl/>
          <w:lang w:bidi="ar-EG"/>
        </w:rPr>
        <w:tab/>
      </w:r>
      <w:r w:rsidR="00DD7790" w:rsidRPr="00147E23">
        <w:rPr>
          <w:rFonts w:cs="Arial"/>
          <w:sz w:val="20"/>
          <w:szCs w:val="20"/>
          <w:rtl/>
          <w:lang w:bidi="ar-EG"/>
        </w:rPr>
        <w:t>4</w:t>
      </w:r>
      <w:r w:rsidR="00DD7790">
        <w:rPr>
          <w:rFonts w:cs="Arial"/>
          <w:sz w:val="20"/>
          <w:szCs w:val="20"/>
          <w:rtl/>
          <w:lang w:bidi="ar-EG"/>
        </w:rPr>
        <w:tab/>
      </w:r>
      <w:r w:rsidR="00DD7790">
        <w:rPr>
          <w:rFonts w:cs="Arial"/>
          <w:sz w:val="20"/>
          <w:szCs w:val="20"/>
          <w:rtl/>
          <w:lang w:bidi="ar-EG"/>
        </w:rPr>
        <w:tab/>
      </w:r>
      <w:r w:rsidRPr="00147E23">
        <w:rPr>
          <w:sz w:val="20"/>
          <w:szCs w:val="20"/>
          <w:lang w:bidi="ar-EG"/>
        </w:rPr>
        <w:t>discontinued operations</w:t>
      </w:r>
      <w:r w:rsidRPr="00147E23">
        <w:rPr>
          <w:rFonts w:cs="Arial"/>
          <w:sz w:val="20"/>
          <w:szCs w:val="20"/>
          <w:rtl/>
          <w:lang w:bidi="ar-EG"/>
        </w:rPr>
        <w:tab/>
      </w:r>
      <w:r w:rsidR="00DD7790">
        <w:rPr>
          <w:sz w:val="20"/>
          <w:szCs w:val="20"/>
          <w:lang w:bidi="ar-EG"/>
        </w:rPr>
        <w:tab/>
      </w:r>
      <w:r w:rsidR="00DD7790">
        <w:rPr>
          <w:sz w:val="20"/>
          <w:szCs w:val="20"/>
          <w:lang w:bidi="ar-EG"/>
        </w:rPr>
        <w:tab/>
      </w:r>
      <w:r w:rsidR="00DD7790">
        <w:rPr>
          <w:sz w:val="20"/>
          <w:szCs w:val="20"/>
          <w:lang w:bidi="ar-EG"/>
        </w:rPr>
        <w:tab/>
      </w:r>
      <w:r w:rsidR="00DD7790" w:rsidRPr="00147E23">
        <w:rPr>
          <w:rFonts w:cs="Arial"/>
          <w:sz w:val="20"/>
          <w:szCs w:val="20"/>
          <w:rtl/>
          <w:lang w:bidi="ar-EG"/>
        </w:rPr>
        <w:t>72</w:t>
      </w:r>
    </w:p>
    <w:p w14:paraId="7C866E25" w14:textId="77777777" w:rsidR="00F75725" w:rsidRPr="00147E23" w:rsidRDefault="00F75725" w:rsidP="00E6670A">
      <w:pPr>
        <w:bidi w:val="0"/>
        <w:rPr>
          <w:sz w:val="20"/>
          <w:szCs w:val="20"/>
          <w:lang w:bidi="ar-EG"/>
        </w:rPr>
      </w:pPr>
      <w:r w:rsidRPr="00147E23">
        <w:rPr>
          <w:rFonts w:cs="Arial"/>
          <w:sz w:val="20"/>
          <w:szCs w:val="20"/>
          <w:rtl/>
          <w:lang w:bidi="ar-EG"/>
        </w:rPr>
        <w:tab/>
      </w:r>
      <w:r w:rsidRPr="00147E23">
        <w:rPr>
          <w:sz w:val="20"/>
          <w:szCs w:val="20"/>
          <w:lang w:bidi="ar-EG"/>
        </w:rPr>
        <w:t>Consolidated statement of profit or loss</w:t>
      </w:r>
      <w:r w:rsidRPr="00147E23">
        <w:rPr>
          <w:rFonts w:cs="Arial"/>
          <w:sz w:val="20"/>
          <w:szCs w:val="20"/>
          <w:rtl/>
          <w:lang w:bidi="ar-EG"/>
        </w:rPr>
        <w:tab/>
        <w:t>5</w:t>
      </w:r>
      <w:r w:rsidRPr="00147E23">
        <w:rPr>
          <w:rFonts w:cs="Arial"/>
          <w:sz w:val="20"/>
          <w:szCs w:val="20"/>
          <w:rtl/>
          <w:lang w:bidi="ar-EG"/>
        </w:rPr>
        <w:tab/>
        <w:t>21</w:t>
      </w:r>
      <w:r w:rsidRPr="00147E23">
        <w:rPr>
          <w:rFonts w:cs="Arial"/>
          <w:sz w:val="20"/>
          <w:szCs w:val="20"/>
          <w:rtl/>
          <w:lang w:bidi="ar-EG"/>
        </w:rPr>
        <w:tab/>
      </w:r>
      <w:r w:rsidRPr="00147E23">
        <w:rPr>
          <w:sz w:val="20"/>
          <w:szCs w:val="20"/>
          <w:lang w:bidi="ar-EG"/>
        </w:rPr>
        <w:t>Equity</w:t>
      </w:r>
      <w:r w:rsidRPr="00147E23">
        <w:rPr>
          <w:rFonts w:cs="Arial"/>
          <w:sz w:val="20"/>
          <w:szCs w:val="20"/>
          <w:rtl/>
          <w:lang w:bidi="ar-EG"/>
        </w:rPr>
        <w:tab/>
        <w:t>73</w:t>
      </w:r>
    </w:p>
    <w:p w14:paraId="25A6E40E" w14:textId="77777777" w:rsidR="00DD7790" w:rsidRDefault="00F75725" w:rsidP="00E6670A">
      <w:pPr>
        <w:bidi w:val="0"/>
        <w:rPr>
          <w:sz w:val="20"/>
          <w:szCs w:val="20"/>
          <w:lang w:bidi="ar-EG"/>
        </w:rPr>
      </w:pPr>
      <w:r w:rsidRPr="00147E23">
        <w:rPr>
          <w:rFonts w:cs="Arial"/>
          <w:sz w:val="20"/>
          <w:szCs w:val="20"/>
          <w:rtl/>
          <w:lang w:bidi="ar-EG"/>
        </w:rPr>
        <w:tab/>
      </w:r>
      <w:r w:rsidRPr="00147E23">
        <w:rPr>
          <w:sz w:val="20"/>
          <w:szCs w:val="20"/>
          <w:lang w:bidi="ar-EG"/>
        </w:rPr>
        <w:t xml:space="preserve">Consolidated statement of comprehensive </w:t>
      </w:r>
    </w:p>
    <w:p w14:paraId="4C3C6FA9" w14:textId="63E2BB6F" w:rsidR="00F75725" w:rsidRPr="00147E23" w:rsidRDefault="00F75725" w:rsidP="00E6670A">
      <w:pPr>
        <w:bidi w:val="0"/>
        <w:ind w:firstLine="720"/>
        <w:rPr>
          <w:sz w:val="20"/>
          <w:szCs w:val="20"/>
          <w:lang w:bidi="ar-EG"/>
        </w:rPr>
      </w:pPr>
      <w:r w:rsidRPr="00147E23">
        <w:rPr>
          <w:sz w:val="20"/>
          <w:szCs w:val="20"/>
          <w:lang w:bidi="ar-EG"/>
        </w:rPr>
        <w:t>income</w:t>
      </w:r>
      <w:r w:rsidRPr="00147E23">
        <w:rPr>
          <w:rFonts w:cs="Arial"/>
          <w:sz w:val="20"/>
          <w:szCs w:val="20"/>
          <w:rtl/>
          <w:lang w:bidi="ar-EG"/>
        </w:rPr>
        <w:tab/>
      </w:r>
      <w:r w:rsidR="00DD7790">
        <w:rPr>
          <w:rFonts w:cs="Arial"/>
          <w:sz w:val="20"/>
          <w:szCs w:val="20"/>
          <w:rtl/>
          <w:lang w:bidi="ar-EG"/>
        </w:rPr>
        <w:tab/>
      </w:r>
      <w:r w:rsidR="00DD7790">
        <w:rPr>
          <w:rFonts w:cs="Arial"/>
          <w:sz w:val="20"/>
          <w:szCs w:val="20"/>
          <w:rtl/>
          <w:lang w:bidi="ar-EG"/>
        </w:rPr>
        <w:tab/>
      </w:r>
      <w:r w:rsidR="00DD7790">
        <w:rPr>
          <w:rFonts w:cs="Arial"/>
          <w:sz w:val="20"/>
          <w:szCs w:val="20"/>
          <w:rtl/>
          <w:lang w:bidi="ar-EG"/>
        </w:rPr>
        <w:tab/>
      </w:r>
      <w:r w:rsidR="00DD7790">
        <w:rPr>
          <w:rFonts w:cs="Arial"/>
          <w:sz w:val="20"/>
          <w:szCs w:val="20"/>
          <w:rtl/>
          <w:lang w:bidi="ar-EG"/>
        </w:rPr>
        <w:tab/>
      </w:r>
      <w:r w:rsidRPr="00147E23">
        <w:rPr>
          <w:rFonts w:cs="Arial"/>
          <w:sz w:val="20"/>
          <w:szCs w:val="20"/>
          <w:rtl/>
          <w:lang w:bidi="ar-EG"/>
        </w:rPr>
        <w:t>7</w:t>
      </w:r>
      <w:r w:rsidRPr="00147E23">
        <w:rPr>
          <w:rFonts w:cs="Arial"/>
          <w:sz w:val="20"/>
          <w:szCs w:val="20"/>
          <w:rtl/>
          <w:lang w:bidi="ar-EG"/>
        </w:rPr>
        <w:tab/>
        <w:t>22</w:t>
      </w:r>
      <w:r w:rsidRPr="00147E23">
        <w:rPr>
          <w:rFonts w:cs="Arial"/>
          <w:sz w:val="20"/>
          <w:szCs w:val="20"/>
          <w:rtl/>
          <w:lang w:bidi="ar-EG"/>
        </w:rPr>
        <w:tab/>
      </w:r>
      <w:r w:rsidRPr="00147E23">
        <w:rPr>
          <w:sz w:val="20"/>
          <w:szCs w:val="20"/>
          <w:lang w:bidi="ar-EG"/>
        </w:rPr>
        <w:t>Employee remuneration</w:t>
      </w:r>
      <w:r w:rsidRPr="00147E23">
        <w:rPr>
          <w:rFonts w:cs="Arial"/>
          <w:sz w:val="20"/>
          <w:szCs w:val="20"/>
          <w:rtl/>
          <w:lang w:bidi="ar-EG"/>
        </w:rPr>
        <w:tab/>
      </w:r>
      <w:r w:rsidR="00DD7790">
        <w:rPr>
          <w:rFonts w:cs="Arial"/>
          <w:sz w:val="20"/>
          <w:szCs w:val="20"/>
          <w:rtl/>
          <w:lang w:bidi="ar-EG"/>
        </w:rPr>
        <w:tab/>
      </w:r>
      <w:r w:rsidR="00DD7790">
        <w:rPr>
          <w:rFonts w:cs="Arial"/>
          <w:sz w:val="20"/>
          <w:szCs w:val="20"/>
          <w:rtl/>
          <w:lang w:bidi="ar-EG"/>
        </w:rPr>
        <w:tab/>
      </w:r>
      <w:r w:rsidR="00DD7790">
        <w:rPr>
          <w:rFonts w:cs="Arial"/>
          <w:sz w:val="20"/>
          <w:szCs w:val="20"/>
          <w:rtl/>
          <w:lang w:bidi="ar-EG"/>
        </w:rPr>
        <w:tab/>
      </w:r>
      <w:r w:rsidRPr="00147E23">
        <w:rPr>
          <w:rFonts w:cs="Arial"/>
          <w:sz w:val="20"/>
          <w:szCs w:val="20"/>
          <w:rtl/>
          <w:lang w:bidi="ar-EG"/>
        </w:rPr>
        <w:t>75</w:t>
      </w:r>
    </w:p>
    <w:p w14:paraId="459487BA" w14:textId="77777777" w:rsidR="00F75725" w:rsidRPr="00147E23" w:rsidRDefault="00F75725" w:rsidP="00E6670A">
      <w:pPr>
        <w:bidi w:val="0"/>
        <w:rPr>
          <w:sz w:val="20"/>
          <w:szCs w:val="20"/>
          <w:lang w:bidi="ar-EG"/>
        </w:rPr>
      </w:pPr>
      <w:r w:rsidRPr="00147E23">
        <w:rPr>
          <w:rFonts w:cs="Arial"/>
          <w:sz w:val="20"/>
          <w:szCs w:val="20"/>
          <w:rtl/>
          <w:lang w:bidi="ar-EG"/>
        </w:rPr>
        <w:tab/>
      </w:r>
      <w:r w:rsidRPr="00147E23">
        <w:rPr>
          <w:sz w:val="20"/>
          <w:szCs w:val="20"/>
          <w:lang w:bidi="ar-EG"/>
        </w:rPr>
        <w:t>Consolidated statement of changes in equity</w:t>
      </w:r>
      <w:r w:rsidRPr="00147E23">
        <w:rPr>
          <w:rFonts w:cs="Arial"/>
          <w:sz w:val="20"/>
          <w:szCs w:val="20"/>
          <w:rtl/>
          <w:lang w:bidi="ar-EG"/>
        </w:rPr>
        <w:tab/>
        <w:t>10</w:t>
      </w:r>
      <w:r w:rsidRPr="00147E23">
        <w:rPr>
          <w:rFonts w:cs="Arial"/>
          <w:sz w:val="20"/>
          <w:szCs w:val="20"/>
          <w:rtl/>
          <w:lang w:bidi="ar-EG"/>
        </w:rPr>
        <w:tab/>
        <w:t>24</w:t>
      </w:r>
      <w:r w:rsidRPr="00147E23">
        <w:rPr>
          <w:rFonts w:cs="Arial"/>
          <w:sz w:val="20"/>
          <w:szCs w:val="20"/>
          <w:rtl/>
          <w:lang w:bidi="ar-EG"/>
        </w:rPr>
        <w:tab/>
      </w:r>
      <w:r w:rsidRPr="00147E23">
        <w:rPr>
          <w:sz w:val="20"/>
          <w:szCs w:val="20"/>
          <w:lang w:bidi="ar-EG"/>
        </w:rPr>
        <w:t>Trade and other payables</w:t>
      </w:r>
      <w:r w:rsidRPr="00147E23">
        <w:rPr>
          <w:rFonts w:cs="Arial"/>
          <w:sz w:val="20"/>
          <w:szCs w:val="20"/>
          <w:rtl/>
          <w:lang w:bidi="ar-EG"/>
        </w:rPr>
        <w:tab/>
        <w:t>83</w:t>
      </w:r>
    </w:p>
    <w:p w14:paraId="6E27C289" w14:textId="77777777" w:rsidR="00F75725" w:rsidRPr="00147E23" w:rsidRDefault="00F75725" w:rsidP="00E6670A">
      <w:pPr>
        <w:bidi w:val="0"/>
        <w:rPr>
          <w:sz w:val="20"/>
          <w:szCs w:val="20"/>
          <w:lang w:bidi="ar-EG"/>
        </w:rPr>
      </w:pPr>
      <w:r w:rsidRPr="00147E23">
        <w:rPr>
          <w:rFonts w:cs="Arial"/>
          <w:sz w:val="20"/>
          <w:szCs w:val="20"/>
          <w:rtl/>
          <w:lang w:bidi="ar-EG"/>
        </w:rPr>
        <w:tab/>
      </w:r>
      <w:r w:rsidRPr="00147E23">
        <w:rPr>
          <w:sz w:val="20"/>
          <w:szCs w:val="20"/>
          <w:lang w:bidi="ar-EG"/>
        </w:rPr>
        <w:t>Consolidated statement of cash flows</w:t>
      </w:r>
      <w:r w:rsidRPr="00147E23">
        <w:rPr>
          <w:rFonts w:cs="Arial"/>
          <w:sz w:val="20"/>
          <w:szCs w:val="20"/>
          <w:rtl/>
          <w:lang w:bidi="ar-EG"/>
        </w:rPr>
        <w:tab/>
        <w:t>11</w:t>
      </w:r>
      <w:r w:rsidRPr="00147E23">
        <w:rPr>
          <w:rFonts w:cs="Arial"/>
          <w:sz w:val="20"/>
          <w:szCs w:val="20"/>
          <w:rtl/>
          <w:lang w:bidi="ar-EG"/>
        </w:rPr>
        <w:tab/>
        <w:t>25</w:t>
      </w:r>
      <w:r w:rsidRPr="00147E23">
        <w:rPr>
          <w:rFonts w:cs="Arial"/>
          <w:sz w:val="20"/>
          <w:szCs w:val="20"/>
          <w:rtl/>
          <w:lang w:bidi="ar-EG"/>
        </w:rPr>
        <w:tab/>
      </w:r>
      <w:r w:rsidRPr="00147E23">
        <w:rPr>
          <w:sz w:val="20"/>
          <w:szCs w:val="20"/>
          <w:lang w:bidi="ar-EG"/>
        </w:rPr>
        <w:t>Contract and other liabilities</w:t>
      </w:r>
      <w:r w:rsidRPr="00147E23">
        <w:rPr>
          <w:rFonts w:cs="Arial"/>
          <w:sz w:val="20"/>
          <w:szCs w:val="20"/>
          <w:rtl/>
          <w:lang w:bidi="ar-EG"/>
        </w:rPr>
        <w:tab/>
        <w:t>83</w:t>
      </w:r>
    </w:p>
    <w:p w14:paraId="065EE50E" w14:textId="77777777" w:rsidR="00F75725" w:rsidRPr="00147E23" w:rsidRDefault="00F75725" w:rsidP="00E6670A">
      <w:pPr>
        <w:bidi w:val="0"/>
        <w:rPr>
          <w:sz w:val="20"/>
          <w:szCs w:val="20"/>
          <w:lang w:bidi="ar-EG"/>
        </w:rPr>
      </w:pPr>
      <w:r w:rsidRPr="00147E23">
        <w:rPr>
          <w:rFonts w:cs="Arial"/>
          <w:sz w:val="20"/>
          <w:szCs w:val="20"/>
          <w:rtl/>
          <w:lang w:bidi="ar-EG"/>
        </w:rPr>
        <w:tab/>
      </w:r>
      <w:r w:rsidRPr="00147E23">
        <w:rPr>
          <w:sz w:val="20"/>
          <w:szCs w:val="20"/>
          <w:lang w:bidi="ar-EG"/>
        </w:rPr>
        <w:t>Notes to the IFRS Example Consolidated</w:t>
      </w:r>
      <w:r w:rsidRPr="00147E23">
        <w:rPr>
          <w:rFonts w:cs="Arial"/>
          <w:sz w:val="20"/>
          <w:szCs w:val="20"/>
          <w:rtl/>
          <w:lang w:bidi="ar-EG"/>
        </w:rPr>
        <w:tab/>
        <w:t>12</w:t>
      </w:r>
      <w:r w:rsidRPr="00147E23">
        <w:rPr>
          <w:rFonts w:cs="Arial"/>
          <w:sz w:val="20"/>
          <w:szCs w:val="20"/>
          <w:rtl/>
          <w:lang w:bidi="ar-EG"/>
        </w:rPr>
        <w:tab/>
        <w:t>26</w:t>
      </w:r>
      <w:r w:rsidRPr="00147E23">
        <w:rPr>
          <w:rFonts w:cs="Arial"/>
          <w:sz w:val="20"/>
          <w:szCs w:val="20"/>
          <w:rtl/>
          <w:lang w:bidi="ar-EG"/>
        </w:rPr>
        <w:tab/>
      </w:r>
      <w:r w:rsidRPr="00147E23">
        <w:rPr>
          <w:sz w:val="20"/>
          <w:szCs w:val="20"/>
          <w:lang w:bidi="ar-EG"/>
        </w:rPr>
        <w:t>Reconciliation of liabilities arising from</w:t>
      </w:r>
      <w:r w:rsidRPr="00147E23">
        <w:rPr>
          <w:rFonts w:cs="Arial"/>
          <w:sz w:val="20"/>
          <w:szCs w:val="20"/>
          <w:rtl/>
          <w:lang w:bidi="ar-EG"/>
        </w:rPr>
        <w:tab/>
        <w:t>84</w:t>
      </w:r>
    </w:p>
    <w:p w14:paraId="0185F121" w14:textId="77777777" w:rsidR="00F75725" w:rsidRPr="00147E23" w:rsidRDefault="00F75725" w:rsidP="00E6670A">
      <w:pPr>
        <w:bidi w:val="0"/>
        <w:rPr>
          <w:sz w:val="20"/>
          <w:szCs w:val="20"/>
          <w:lang w:bidi="ar-EG"/>
        </w:rPr>
      </w:pPr>
      <w:r w:rsidRPr="00147E23">
        <w:rPr>
          <w:rFonts w:cs="Arial"/>
          <w:sz w:val="20"/>
          <w:szCs w:val="20"/>
          <w:rtl/>
          <w:lang w:bidi="ar-EG"/>
        </w:rPr>
        <w:tab/>
      </w:r>
      <w:r w:rsidRPr="00147E23">
        <w:rPr>
          <w:sz w:val="20"/>
          <w:szCs w:val="20"/>
          <w:lang w:bidi="ar-EG"/>
        </w:rPr>
        <w:t>Financial Statements</w:t>
      </w:r>
      <w:r w:rsidRPr="00147E23">
        <w:rPr>
          <w:rFonts w:cs="Arial"/>
          <w:sz w:val="20"/>
          <w:szCs w:val="20"/>
          <w:rtl/>
          <w:lang w:bidi="ar-EG"/>
        </w:rPr>
        <w:tab/>
      </w:r>
      <w:r w:rsidRPr="00147E23">
        <w:rPr>
          <w:rFonts w:cs="Arial"/>
          <w:sz w:val="20"/>
          <w:szCs w:val="20"/>
          <w:rtl/>
          <w:lang w:bidi="ar-EG"/>
        </w:rPr>
        <w:tab/>
      </w:r>
      <w:r w:rsidRPr="00147E23">
        <w:rPr>
          <w:rFonts w:cs="Arial"/>
          <w:sz w:val="20"/>
          <w:szCs w:val="20"/>
          <w:rtl/>
          <w:lang w:bidi="ar-EG"/>
        </w:rPr>
        <w:tab/>
      </w:r>
      <w:r w:rsidRPr="00147E23">
        <w:rPr>
          <w:sz w:val="20"/>
          <w:szCs w:val="20"/>
          <w:lang w:bidi="ar-EG"/>
        </w:rPr>
        <w:t>financing activities</w:t>
      </w:r>
      <w:r w:rsidRPr="00147E23">
        <w:rPr>
          <w:rFonts w:cs="Arial"/>
          <w:sz w:val="20"/>
          <w:szCs w:val="20"/>
          <w:rtl/>
          <w:lang w:bidi="ar-EG"/>
        </w:rPr>
        <w:tab/>
      </w:r>
    </w:p>
    <w:p w14:paraId="0A802475" w14:textId="77777777" w:rsidR="00F75725" w:rsidRPr="00147E23" w:rsidRDefault="00F75725" w:rsidP="00E6670A">
      <w:pPr>
        <w:bidi w:val="0"/>
        <w:rPr>
          <w:sz w:val="20"/>
          <w:szCs w:val="20"/>
          <w:lang w:bidi="ar-EG"/>
        </w:rPr>
      </w:pPr>
      <w:r w:rsidRPr="00147E23">
        <w:rPr>
          <w:sz w:val="20"/>
          <w:szCs w:val="20"/>
          <w:lang w:bidi="ar-EG"/>
        </w:rPr>
        <w:t>1</w:t>
      </w:r>
      <w:r w:rsidRPr="00147E23">
        <w:rPr>
          <w:rFonts w:cs="Arial"/>
          <w:sz w:val="20"/>
          <w:szCs w:val="20"/>
          <w:rtl/>
          <w:lang w:bidi="ar-EG"/>
        </w:rPr>
        <w:tab/>
      </w:r>
      <w:r w:rsidRPr="00147E23">
        <w:rPr>
          <w:sz w:val="20"/>
          <w:szCs w:val="20"/>
          <w:lang w:bidi="ar-EG"/>
        </w:rPr>
        <w:t>Nature of operations</w:t>
      </w:r>
      <w:r w:rsidRPr="00147E23">
        <w:rPr>
          <w:rFonts w:cs="Arial"/>
          <w:sz w:val="20"/>
          <w:szCs w:val="20"/>
          <w:rtl/>
          <w:lang w:bidi="ar-EG"/>
        </w:rPr>
        <w:tab/>
        <w:t>13</w:t>
      </w:r>
      <w:r w:rsidRPr="00147E23">
        <w:rPr>
          <w:rFonts w:cs="Arial"/>
          <w:sz w:val="20"/>
          <w:szCs w:val="20"/>
          <w:rtl/>
          <w:lang w:bidi="ar-EG"/>
        </w:rPr>
        <w:tab/>
        <w:t>27</w:t>
      </w:r>
      <w:r w:rsidRPr="00147E23">
        <w:rPr>
          <w:rFonts w:cs="Arial"/>
          <w:sz w:val="20"/>
          <w:szCs w:val="20"/>
          <w:rtl/>
          <w:lang w:bidi="ar-EG"/>
        </w:rPr>
        <w:tab/>
      </w:r>
      <w:r w:rsidRPr="00147E23">
        <w:rPr>
          <w:sz w:val="20"/>
          <w:szCs w:val="20"/>
          <w:lang w:bidi="ar-EG"/>
        </w:rPr>
        <w:t>Finance costs and finance income</w:t>
      </w:r>
      <w:r w:rsidRPr="00147E23">
        <w:rPr>
          <w:rFonts w:cs="Arial"/>
          <w:sz w:val="20"/>
          <w:szCs w:val="20"/>
          <w:rtl/>
          <w:lang w:bidi="ar-EG"/>
        </w:rPr>
        <w:tab/>
        <w:t>85</w:t>
      </w:r>
    </w:p>
    <w:p w14:paraId="71034916" w14:textId="77777777" w:rsidR="00F75725" w:rsidRPr="00147E23" w:rsidRDefault="00F75725" w:rsidP="00E6670A">
      <w:pPr>
        <w:bidi w:val="0"/>
        <w:rPr>
          <w:sz w:val="20"/>
          <w:szCs w:val="20"/>
          <w:lang w:bidi="ar-EG"/>
        </w:rPr>
      </w:pPr>
      <w:r w:rsidRPr="00147E23">
        <w:rPr>
          <w:sz w:val="20"/>
          <w:szCs w:val="20"/>
          <w:lang w:bidi="ar-EG"/>
        </w:rPr>
        <w:t>2</w:t>
      </w:r>
      <w:r w:rsidRPr="00147E23">
        <w:rPr>
          <w:rFonts w:cs="Arial"/>
          <w:sz w:val="20"/>
          <w:szCs w:val="20"/>
          <w:rtl/>
          <w:lang w:bidi="ar-EG"/>
        </w:rPr>
        <w:tab/>
      </w:r>
      <w:r w:rsidRPr="00147E23">
        <w:rPr>
          <w:sz w:val="20"/>
          <w:szCs w:val="20"/>
          <w:lang w:bidi="ar-EG"/>
        </w:rPr>
        <w:t>General information, statement of compliance</w:t>
      </w:r>
      <w:r w:rsidRPr="00147E23">
        <w:rPr>
          <w:rFonts w:cs="Arial"/>
          <w:sz w:val="20"/>
          <w:szCs w:val="20"/>
          <w:rtl/>
          <w:lang w:bidi="ar-EG"/>
        </w:rPr>
        <w:tab/>
        <w:t>13</w:t>
      </w:r>
      <w:r w:rsidRPr="00147E23">
        <w:rPr>
          <w:rFonts w:cs="Arial"/>
          <w:sz w:val="20"/>
          <w:szCs w:val="20"/>
          <w:rtl/>
          <w:lang w:bidi="ar-EG"/>
        </w:rPr>
        <w:tab/>
        <w:t>28</w:t>
      </w:r>
      <w:r w:rsidRPr="00147E23">
        <w:rPr>
          <w:rFonts w:cs="Arial"/>
          <w:sz w:val="20"/>
          <w:szCs w:val="20"/>
          <w:rtl/>
          <w:lang w:bidi="ar-EG"/>
        </w:rPr>
        <w:tab/>
      </w:r>
      <w:r w:rsidRPr="00147E23">
        <w:rPr>
          <w:sz w:val="20"/>
          <w:szCs w:val="20"/>
          <w:lang w:bidi="ar-EG"/>
        </w:rPr>
        <w:t>Other financial items</w:t>
      </w:r>
      <w:r w:rsidRPr="00147E23">
        <w:rPr>
          <w:rFonts w:cs="Arial"/>
          <w:sz w:val="20"/>
          <w:szCs w:val="20"/>
          <w:rtl/>
          <w:lang w:bidi="ar-EG"/>
        </w:rPr>
        <w:tab/>
        <w:t>85</w:t>
      </w:r>
    </w:p>
    <w:p w14:paraId="2617B942" w14:textId="77777777" w:rsidR="00F75725" w:rsidRPr="00147E23" w:rsidRDefault="00F75725" w:rsidP="00E6670A">
      <w:pPr>
        <w:bidi w:val="0"/>
        <w:rPr>
          <w:sz w:val="20"/>
          <w:szCs w:val="20"/>
          <w:lang w:bidi="ar-EG"/>
        </w:rPr>
      </w:pPr>
      <w:r w:rsidRPr="00147E23">
        <w:rPr>
          <w:rFonts w:cs="Arial"/>
          <w:sz w:val="20"/>
          <w:szCs w:val="20"/>
          <w:rtl/>
          <w:lang w:bidi="ar-EG"/>
        </w:rPr>
        <w:tab/>
      </w:r>
      <w:r w:rsidRPr="00147E23">
        <w:rPr>
          <w:sz w:val="20"/>
          <w:szCs w:val="20"/>
          <w:lang w:bidi="ar-EG"/>
        </w:rPr>
        <w:t>with IFRS and going concern assumption</w:t>
      </w:r>
      <w:r w:rsidRPr="00147E23">
        <w:rPr>
          <w:rFonts w:cs="Arial"/>
          <w:sz w:val="20"/>
          <w:szCs w:val="20"/>
          <w:rtl/>
          <w:lang w:bidi="ar-EG"/>
        </w:rPr>
        <w:tab/>
      </w:r>
      <w:r w:rsidRPr="00147E23">
        <w:rPr>
          <w:rFonts w:cs="Arial"/>
          <w:sz w:val="20"/>
          <w:szCs w:val="20"/>
          <w:rtl/>
          <w:lang w:bidi="ar-EG"/>
        </w:rPr>
        <w:tab/>
        <w:t>29</w:t>
      </w:r>
      <w:r w:rsidRPr="00147E23">
        <w:rPr>
          <w:rFonts w:cs="Arial"/>
          <w:sz w:val="20"/>
          <w:szCs w:val="20"/>
          <w:rtl/>
          <w:lang w:bidi="ar-EG"/>
        </w:rPr>
        <w:tab/>
      </w:r>
      <w:r w:rsidRPr="00147E23">
        <w:rPr>
          <w:sz w:val="20"/>
          <w:szCs w:val="20"/>
          <w:lang w:bidi="ar-EG"/>
        </w:rPr>
        <w:t>Tax expense</w:t>
      </w:r>
      <w:r w:rsidRPr="00147E23">
        <w:rPr>
          <w:rFonts w:cs="Arial"/>
          <w:sz w:val="20"/>
          <w:szCs w:val="20"/>
          <w:rtl/>
          <w:lang w:bidi="ar-EG"/>
        </w:rPr>
        <w:tab/>
        <w:t>86</w:t>
      </w:r>
    </w:p>
    <w:p w14:paraId="772AD631" w14:textId="77777777" w:rsidR="00F75725" w:rsidRPr="00147E23" w:rsidRDefault="00F75725" w:rsidP="00E6670A">
      <w:pPr>
        <w:bidi w:val="0"/>
        <w:rPr>
          <w:sz w:val="20"/>
          <w:szCs w:val="20"/>
          <w:lang w:bidi="ar-EG"/>
        </w:rPr>
      </w:pPr>
      <w:r w:rsidRPr="00147E23">
        <w:rPr>
          <w:sz w:val="20"/>
          <w:szCs w:val="20"/>
          <w:lang w:bidi="ar-EG"/>
        </w:rPr>
        <w:t>3</w:t>
      </w:r>
      <w:r w:rsidRPr="00147E23">
        <w:rPr>
          <w:rFonts w:cs="Arial"/>
          <w:sz w:val="20"/>
          <w:szCs w:val="20"/>
          <w:rtl/>
          <w:lang w:bidi="ar-EG"/>
        </w:rPr>
        <w:tab/>
      </w:r>
      <w:r w:rsidRPr="00147E23">
        <w:rPr>
          <w:sz w:val="20"/>
          <w:szCs w:val="20"/>
          <w:lang w:bidi="ar-EG"/>
        </w:rPr>
        <w:t>New or revised Standards or Interpretations</w:t>
      </w:r>
      <w:r w:rsidRPr="00147E23">
        <w:rPr>
          <w:rFonts w:cs="Arial"/>
          <w:sz w:val="20"/>
          <w:szCs w:val="20"/>
          <w:rtl/>
          <w:lang w:bidi="ar-EG"/>
        </w:rPr>
        <w:tab/>
        <w:t>14</w:t>
      </w:r>
      <w:r w:rsidRPr="00147E23">
        <w:rPr>
          <w:rFonts w:cs="Arial"/>
          <w:sz w:val="20"/>
          <w:szCs w:val="20"/>
          <w:rtl/>
          <w:lang w:bidi="ar-EG"/>
        </w:rPr>
        <w:tab/>
        <w:t>30</w:t>
      </w:r>
      <w:r w:rsidRPr="00147E23">
        <w:rPr>
          <w:rFonts w:cs="Arial"/>
          <w:sz w:val="20"/>
          <w:szCs w:val="20"/>
          <w:rtl/>
          <w:lang w:bidi="ar-EG"/>
        </w:rPr>
        <w:tab/>
      </w:r>
      <w:r w:rsidRPr="00147E23">
        <w:rPr>
          <w:sz w:val="20"/>
          <w:szCs w:val="20"/>
          <w:lang w:bidi="ar-EG"/>
        </w:rPr>
        <w:t>Earnings per share and dividends</w:t>
      </w:r>
      <w:r w:rsidRPr="00147E23">
        <w:rPr>
          <w:rFonts w:cs="Arial"/>
          <w:sz w:val="20"/>
          <w:szCs w:val="20"/>
          <w:rtl/>
          <w:lang w:bidi="ar-EG"/>
        </w:rPr>
        <w:tab/>
        <w:t>87</w:t>
      </w:r>
    </w:p>
    <w:p w14:paraId="4167FF00" w14:textId="77777777" w:rsidR="00F75725" w:rsidRPr="00147E23" w:rsidRDefault="00F75725" w:rsidP="00E6670A">
      <w:pPr>
        <w:bidi w:val="0"/>
        <w:rPr>
          <w:sz w:val="20"/>
          <w:szCs w:val="20"/>
          <w:lang w:bidi="ar-EG"/>
        </w:rPr>
      </w:pPr>
      <w:r w:rsidRPr="00147E23">
        <w:rPr>
          <w:sz w:val="20"/>
          <w:szCs w:val="20"/>
          <w:lang w:bidi="ar-EG"/>
        </w:rPr>
        <w:t>4</w:t>
      </w:r>
      <w:r w:rsidRPr="00147E23">
        <w:rPr>
          <w:rFonts w:cs="Arial"/>
          <w:sz w:val="20"/>
          <w:szCs w:val="20"/>
          <w:rtl/>
          <w:lang w:bidi="ar-EG"/>
        </w:rPr>
        <w:tab/>
      </w:r>
      <w:r w:rsidRPr="00147E23">
        <w:rPr>
          <w:sz w:val="20"/>
          <w:szCs w:val="20"/>
          <w:lang w:bidi="ar-EG"/>
        </w:rPr>
        <w:t>Significant accounting policies</w:t>
      </w:r>
      <w:r w:rsidRPr="00147E23">
        <w:rPr>
          <w:rFonts w:cs="Arial"/>
          <w:sz w:val="20"/>
          <w:szCs w:val="20"/>
          <w:rtl/>
          <w:lang w:bidi="ar-EG"/>
        </w:rPr>
        <w:tab/>
        <w:t>16</w:t>
      </w:r>
      <w:r w:rsidRPr="00147E23">
        <w:rPr>
          <w:rFonts w:cs="Arial"/>
          <w:sz w:val="20"/>
          <w:szCs w:val="20"/>
          <w:rtl/>
          <w:lang w:bidi="ar-EG"/>
        </w:rPr>
        <w:tab/>
        <w:t>31</w:t>
      </w:r>
      <w:r w:rsidRPr="00147E23">
        <w:rPr>
          <w:rFonts w:cs="Arial"/>
          <w:sz w:val="20"/>
          <w:szCs w:val="20"/>
          <w:rtl/>
          <w:lang w:bidi="ar-EG"/>
        </w:rPr>
        <w:tab/>
      </w:r>
      <w:r w:rsidRPr="00147E23">
        <w:rPr>
          <w:sz w:val="20"/>
          <w:szCs w:val="20"/>
          <w:lang w:bidi="ar-EG"/>
        </w:rPr>
        <w:t>Non-cash adjustments and changes in</w:t>
      </w:r>
      <w:r w:rsidRPr="00147E23">
        <w:rPr>
          <w:rFonts w:cs="Arial"/>
          <w:sz w:val="20"/>
          <w:szCs w:val="20"/>
          <w:rtl/>
          <w:lang w:bidi="ar-EG"/>
        </w:rPr>
        <w:tab/>
        <w:t>88</w:t>
      </w:r>
    </w:p>
    <w:p w14:paraId="4DAE7DBD" w14:textId="77777777" w:rsidR="00F75725" w:rsidRPr="00147E23" w:rsidRDefault="00F75725" w:rsidP="00E6670A">
      <w:pPr>
        <w:bidi w:val="0"/>
        <w:rPr>
          <w:sz w:val="20"/>
          <w:szCs w:val="20"/>
          <w:lang w:bidi="ar-EG"/>
        </w:rPr>
      </w:pPr>
      <w:r w:rsidRPr="00147E23">
        <w:rPr>
          <w:sz w:val="20"/>
          <w:szCs w:val="20"/>
          <w:lang w:bidi="ar-EG"/>
        </w:rPr>
        <w:t>5</w:t>
      </w:r>
      <w:r w:rsidRPr="00147E23">
        <w:rPr>
          <w:rFonts w:cs="Arial"/>
          <w:sz w:val="20"/>
          <w:szCs w:val="20"/>
          <w:rtl/>
          <w:lang w:bidi="ar-EG"/>
        </w:rPr>
        <w:tab/>
      </w:r>
      <w:r w:rsidRPr="00147E23">
        <w:rPr>
          <w:sz w:val="20"/>
          <w:szCs w:val="20"/>
          <w:lang w:bidi="ar-EG"/>
        </w:rPr>
        <w:t>Acquisitions and disposals</w:t>
      </w:r>
      <w:r w:rsidRPr="00147E23">
        <w:rPr>
          <w:rFonts w:cs="Arial"/>
          <w:sz w:val="20"/>
          <w:szCs w:val="20"/>
          <w:rtl/>
          <w:lang w:bidi="ar-EG"/>
        </w:rPr>
        <w:tab/>
        <w:t>37</w:t>
      </w:r>
      <w:r w:rsidRPr="00147E23">
        <w:rPr>
          <w:rFonts w:cs="Arial"/>
          <w:sz w:val="20"/>
          <w:szCs w:val="20"/>
          <w:rtl/>
          <w:lang w:bidi="ar-EG"/>
        </w:rPr>
        <w:tab/>
      </w:r>
      <w:r w:rsidRPr="00147E23">
        <w:rPr>
          <w:rFonts w:cs="Arial"/>
          <w:sz w:val="20"/>
          <w:szCs w:val="20"/>
          <w:rtl/>
          <w:lang w:bidi="ar-EG"/>
        </w:rPr>
        <w:tab/>
      </w:r>
      <w:r w:rsidRPr="00147E23">
        <w:rPr>
          <w:sz w:val="20"/>
          <w:szCs w:val="20"/>
          <w:lang w:bidi="ar-EG"/>
        </w:rPr>
        <w:t>working capital</w:t>
      </w:r>
      <w:r w:rsidRPr="00147E23">
        <w:rPr>
          <w:rFonts w:cs="Arial"/>
          <w:sz w:val="20"/>
          <w:szCs w:val="20"/>
          <w:rtl/>
          <w:lang w:bidi="ar-EG"/>
        </w:rPr>
        <w:tab/>
      </w:r>
    </w:p>
    <w:p w14:paraId="3A1A943A" w14:textId="77777777" w:rsidR="00F75725" w:rsidRPr="00147E23" w:rsidRDefault="00F75725" w:rsidP="00E6670A">
      <w:pPr>
        <w:bidi w:val="0"/>
        <w:rPr>
          <w:sz w:val="20"/>
          <w:szCs w:val="20"/>
          <w:lang w:bidi="ar-EG"/>
        </w:rPr>
      </w:pPr>
      <w:r w:rsidRPr="00147E23">
        <w:rPr>
          <w:sz w:val="20"/>
          <w:szCs w:val="20"/>
          <w:lang w:bidi="ar-EG"/>
        </w:rPr>
        <w:t>6</w:t>
      </w:r>
      <w:r w:rsidRPr="00147E23">
        <w:rPr>
          <w:rFonts w:cs="Arial"/>
          <w:sz w:val="20"/>
          <w:szCs w:val="20"/>
          <w:rtl/>
          <w:lang w:bidi="ar-EG"/>
        </w:rPr>
        <w:tab/>
      </w:r>
      <w:r w:rsidRPr="00147E23">
        <w:rPr>
          <w:sz w:val="20"/>
          <w:szCs w:val="20"/>
          <w:lang w:bidi="ar-EG"/>
        </w:rPr>
        <w:t>Interests in subsidiaries</w:t>
      </w:r>
      <w:r w:rsidRPr="00147E23">
        <w:rPr>
          <w:rFonts w:cs="Arial"/>
          <w:sz w:val="20"/>
          <w:szCs w:val="20"/>
          <w:rtl/>
          <w:lang w:bidi="ar-EG"/>
        </w:rPr>
        <w:tab/>
        <w:t>41</w:t>
      </w:r>
      <w:r w:rsidRPr="00147E23">
        <w:rPr>
          <w:rFonts w:cs="Arial"/>
          <w:sz w:val="20"/>
          <w:szCs w:val="20"/>
          <w:rtl/>
          <w:lang w:bidi="ar-EG"/>
        </w:rPr>
        <w:tab/>
        <w:t>32</w:t>
      </w:r>
      <w:r w:rsidRPr="00147E23">
        <w:rPr>
          <w:rFonts w:cs="Arial"/>
          <w:sz w:val="20"/>
          <w:szCs w:val="20"/>
          <w:rtl/>
          <w:lang w:bidi="ar-EG"/>
        </w:rPr>
        <w:tab/>
      </w:r>
      <w:r w:rsidRPr="00147E23">
        <w:rPr>
          <w:sz w:val="20"/>
          <w:szCs w:val="20"/>
          <w:lang w:bidi="ar-EG"/>
        </w:rPr>
        <w:t>Related party transactions</w:t>
      </w:r>
      <w:r w:rsidRPr="00147E23">
        <w:rPr>
          <w:rFonts w:cs="Arial"/>
          <w:sz w:val="20"/>
          <w:szCs w:val="20"/>
          <w:rtl/>
          <w:lang w:bidi="ar-EG"/>
        </w:rPr>
        <w:tab/>
        <w:t>89</w:t>
      </w:r>
    </w:p>
    <w:p w14:paraId="28B5435F" w14:textId="77777777" w:rsidR="00F75725" w:rsidRPr="00147E23" w:rsidRDefault="00F75725" w:rsidP="00E6670A">
      <w:pPr>
        <w:bidi w:val="0"/>
        <w:rPr>
          <w:sz w:val="20"/>
          <w:szCs w:val="20"/>
          <w:lang w:bidi="ar-EG"/>
        </w:rPr>
      </w:pPr>
      <w:r w:rsidRPr="00147E23">
        <w:rPr>
          <w:sz w:val="20"/>
          <w:szCs w:val="20"/>
          <w:lang w:bidi="ar-EG"/>
        </w:rPr>
        <w:t>7</w:t>
      </w:r>
      <w:r w:rsidRPr="00147E23">
        <w:rPr>
          <w:rFonts w:cs="Arial"/>
          <w:sz w:val="20"/>
          <w:szCs w:val="20"/>
          <w:rtl/>
          <w:lang w:bidi="ar-EG"/>
        </w:rPr>
        <w:tab/>
      </w:r>
      <w:r w:rsidRPr="00147E23">
        <w:rPr>
          <w:sz w:val="20"/>
          <w:szCs w:val="20"/>
          <w:lang w:bidi="ar-EG"/>
        </w:rPr>
        <w:t>Investments accounted for using the</w:t>
      </w:r>
      <w:r w:rsidRPr="00147E23">
        <w:rPr>
          <w:rFonts w:cs="Arial"/>
          <w:sz w:val="20"/>
          <w:szCs w:val="20"/>
          <w:rtl/>
          <w:lang w:bidi="ar-EG"/>
        </w:rPr>
        <w:tab/>
        <w:t>44</w:t>
      </w:r>
      <w:r w:rsidRPr="00147E23">
        <w:rPr>
          <w:rFonts w:cs="Arial"/>
          <w:sz w:val="20"/>
          <w:szCs w:val="20"/>
          <w:rtl/>
          <w:lang w:bidi="ar-EG"/>
        </w:rPr>
        <w:tab/>
        <w:t>33</w:t>
      </w:r>
      <w:r w:rsidRPr="00147E23">
        <w:rPr>
          <w:rFonts w:cs="Arial"/>
          <w:sz w:val="20"/>
          <w:szCs w:val="20"/>
          <w:rtl/>
          <w:lang w:bidi="ar-EG"/>
        </w:rPr>
        <w:tab/>
      </w:r>
      <w:r w:rsidRPr="00147E23">
        <w:rPr>
          <w:sz w:val="20"/>
          <w:szCs w:val="20"/>
          <w:lang w:bidi="ar-EG"/>
        </w:rPr>
        <w:t>Contingent liabilities</w:t>
      </w:r>
      <w:r w:rsidRPr="00147E23">
        <w:rPr>
          <w:rFonts w:cs="Arial"/>
          <w:sz w:val="20"/>
          <w:szCs w:val="20"/>
          <w:rtl/>
          <w:lang w:bidi="ar-EG"/>
        </w:rPr>
        <w:tab/>
        <w:t>90</w:t>
      </w:r>
    </w:p>
    <w:p w14:paraId="4CE6663B" w14:textId="77777777" w:rsidR="00F75725" w:rsidRPr="00147E23" w:rsidRDefault="00F75725" w:rsidP="00E6670A">
      <w:pPr>
        <w:bidi w:val="0"/>
        <w:rPr>
          <w:sz w:val="20"/>
          <w:szCs w:val="20"/>
          <w:lang w:bidi="ar-EG"/>
        </w:rPr>
      </w:pPr>
      <w:r w:rsidRPr="00147E23">
        <w:rPr>
          <w:rFonts w:cs="Arial"/>
          <w:sz w:val="20"/>
          <w:szCs w:val="20"/>
          <w:rtl/>
          <w:lang w:bidi="ar-EG"/>
        </w:rPr>
        <w:tab/>
      </w:r>
      <w:r w:rsidRPr="00147E23">
        <w:rPr>
          <w:sz w:val="20"/>
          <w:szCs w:val="20"/>
          <w:lang w:bidi="ar-EG"/>
        </w:rPr>
        <w:t>equity method</w:t>
      </w:r>
      <w:r w:rsidRPr="00147E23">
        <w:rPr>
          <w:rFonts w:cs="Arial"/>
          <w:sz w:val="20"/>
          <w:szCs w:val="20"/>
          <w:rtl/>
          <w:lang w:bidi="ar-EG"/>
        </w:rPr>
        <w:tab/>
      </w:r>
      <w:r w:rsidRPr="00147E23">
        <w:rPr>
          <w:rFonts w:cs="Arial"/>
          <w:sz w:val="20"/>
          <w:szCs w:val="20"/>
          <w:rtl/>
          <w:lang w:bidi="ar-EG"/>
        </w:rPr>
        <w:tab/>
        <w:t>34</w:t>
      </w:r>
      <w:r w:rsidRPr="00147E23">
        <w:rPr>
          <w:rFonts w:cs="Arial"/>
          <w:sz w:val="20"/>
          <w:szCs w:val="20"/>
          <w:rtl/>
          <w:lang w:bidi="ar-EG"/>
        </w:rPr>
        <w:tab/>
      </w:r>
      <w:r w:rsidRPr="00147E23">
        <w:rPr>
          <w:sz w:val="20"/>
          <w:szCs w:val="20"/>
          <w:lang w:bidi="ar-EG"/>
        </w:rPr>
        <w:t>Financial instruments risk</w:t>
      </w:r>
      <w:r w:rsidRPr="00147E23">
        <w:rPr>
          <w:rFonts w:cs="Arial"/>
          <w:sz w:val="20"/>
          <w:szCs w:val="20"/>
          <w:rtl/>
          <w:lang w:bidi="ar-EG"/>
        </w:rPr>
        <w:tab/>
        <w:t>90</w:t>
      </w:r>
    </w:p>
    <w:p w14:paraId="3DECD3A7" w14:textId="77777777" w:rsidR="00F75725" w:rsidRPr="00147E23" w:rsidRDefault="00F75725" w:rsidP="00E6670A">
      <w:pPr>
        <w:bidi w:val="0"/>
        <w:rPr>
          <w:sz w:val="20"/>
          <w:szCs w:val="20"/>
          <w:lang w:bidi="ar-EG"/>
        </w:rPr>
      </w:pPr>
      <w:r w:rsidRPr="00147E23">
        <w:rPr>
          <w:sz w:val="20"/>
          <w:szCs w:val="20"/>
          <w:lang w:bidi="ar-EG"/>
        </w:rPr>
        <w:t>8</w:t>
      </w:r>
      <w:r w:rsidRPr="00147E23">
        <w:rPr>
          <w:rFonts w:cs="Arial"/>
          <w:sz w:val="20"/>
          <w:szCs w:val="20"/>
          <w:rtl/>
          <w:lang w:bidi="ar-EG"/>
        </w:rPr>
        <w:tab/>
      </w:r>
      <w:r w:rsidRPr="00147E23">
        <w:rPr>
          <w:sz w:val="20"/>
          <w:szCs w:val="20"/>
          <w:lang w:bidi="ar-EG"/>
        </w:rPr>
        <w:t>Revenue</w:t>
      </w:r>
      <w:r w:rsidRPr="00147E23">
        <w:rPr>
          <w:rFonts w:cs="Arial"/>
          <w:sz w:val="20"/>
          <w:szCs w:val="20"/>
          <w:rtl/>
          <w:lang w:bidi="ar-EG"/>
        </w:rPr>
        <w:tab/>
        <w:t>46</w:t>
      </w:r>
      <w:r w:rsidRPr="00147E23">
        <w:rPr>
          <w:rFonts w:cs="Arial"/>
          <w:sz w:val="20"/>
          <w:szCs w:val="20"/>
          <w:rtl/>
          <w:lang w:bidi="ar-EG"/>
        </w:rPr>
        <w:tab/>
        <w:t>35</w:t>
      </w:r>
      <w:r w:rsidRPr="00147E23">
        <w:rPr>
          <w:rFonts w:cs="Arial"/>
          <w:sz w:val="20"/>
          <w:szCs w:val="20"/>
          <w:rtl/>
          <w:lang w:bidi="ar-EG"/>
        </w:rPr>
        <w:tab/>
      </w:r>
      <w:r w:rsidRPr="00147E23">
        <w:rPr>
          <w:sz w:val="20"/>
          <w:szCs w:val="20"/>
          <w:lang w:bidi="ar-EG"/>
        </w:rPr>
        <w:t>Fair value measurement</w:t>
      </w:r>
      <w:r w:rsidRPr="00147E23">
        <w:rPr>
          <w:rFonts w:cs="Arial"/>
          <w:sz w:val="20"/>
          <w:szCs w:val="20"/>
          <w:rtl/>
          <w:lang w:bidi="ar-EG"/>
        </w:rPr>
        <w:tab/>
        <w:t>98</w:t>
      </w:r>
    </w:p>
    <w:p w14:paraId="41808EED" w14:textId="77777777" w:rsidR="00F75725" w:rsidRPr="00147E23" w:rsidRDefault="00F75725" w:rsidP="00E6670A">
      <w:pPr>
        <w:bidi w:val="0"/>
        <w:rPr>
          <w:sz w:val="20"/>
          <w:szCs w:val="20"/>
          <w:lang w:bidi="ar-EG"/>
        </w:rPr>
      </w:pPr>
      <w:r w:rsidRPr="00147E23">
        <w:rPr>
          <w:sz w:val="20"/>
          <w:szCs w:val="20"/>
          <w:lang w:bidi="ar-EG"/>
        </w:rPr>
        <w:t>9</w:t>
      </w:r>
      <w:r w:rsidRPr="00147E23">
        <w:rPr>
          <w:rFonts w:cs="Arial"/>
          <w:sz w:val="20"/>
          <w:szCs w:val="20"/>
          <w:rtl/>
          <w:lang w:bidi="ar-EG"/>
        </w:rPr>
        <w:tab/>
      </w:r>
      <w:r w:rsidRPr="00147E23">
        <w:rPr>
          <w:sz w:val="20"/>
          <w:szCs w:val="20"/>
          <w:lang w:bidi="ar-EG"/>
        </w:rPr>
        <w:t>Segment reporting</w:t>
      </w:r>
      <w:r w:rsidRPr="00147E23">
        <w:rPr>
          <w:rFonts w:cs="Arial"/>
          <w:sz w:val="20"/>
          <w:szCs w:val="20"/>
          <w:rtl/>
          <w:lang w:bidi="ar-EG"/>
        </w:rPr>
        <w:tab/>
        <w:t>48</w:t>
      </w:r>
      <w:r w:rsidRPr="00147E23">
        <w:rPr>
          <w:rFonts w:cs="Arial"/>
          <w:sz w:val="20"/>
          <w:szCs w:val="20"/>
          <w:rtl/>
          <w:lang w:bidi="ar-EG"/>
        </w:rPr>
        <w:tab/>
        <w:t>36</w:t>
      </w:r>
      <w:r w:rsidRPr="00147E23">
        <w:rPr>
          <w:rFonts w:cs="Arial"/>
          <w:sz w:val="20"/>
          <w:szCs w:val="20"/>
          <w:rtl/>
          <w:lang w:bidi="ar-EG"/>
        </w:rPr>
        <w:tab/>
      </w:r>
      <w:r w:rsidRPr="00147E23">
        <w:rPr>
          <w:sz w:val="20"/>
          <w:szCs w:val="20"/>
          <w:lang w:bidi="ar-EG"/>
        </w:rPr>
        <w:t>Capital management policies and procedures</w:t>
      </w:r>
      <w:r w:rsidRPr="00147E23">
        <w:rPr>
          <w:rFonts w:cs="Arial"/>
          <w:sz w:val="20"/>
          <w:szCs w:val="20"/>
          <w:rtl/>
          <w:lang w:bidi="ar-EG"/>
        </w:rPr>
        <w:tab/>
        <w:t>103</w:t>
      </w:r>
    </w:p>
    <w:p w14:paraId="7BF7EB18" w14:textId="77777777" w:rsidR="00F75725" w:rsidRPr="00147E23" w:rsidRDefault="00F75725" w:rsidP="00E6670A">
      <w:pPr>
        <w:bidi w:val="0"/>
        <w:rPr>
          <w:sz w:val="20"/>
          <w:szCs w:val="20"/>
          <w:lang w:bidi="ar-EG"/>
        </w:rPr>
      </w:pPr>
      <w:r w:rsidRPr="00147E23">
        <w:rPr>
          <w:sz w:val="20"/>
          <w:szCs w:val="20"/>
          <w:lang w:bidi="ar-EG"/>
        </w:rPr>
        <w:t>10</w:t>
      </w:r>
      <w:r w:rsidRPr="00147E23">
        <w:rPr>
          <w:rFonts w:cs="Arial"/>
          <w:sz w:val="20"/>
          <w:szCs w:val="20"/>
          <w:rtl/>
          <w:lang w:bidi="ar-EG"/>
        </w:rPr>
        <w:tab/>
      </w:r>
      <w:r w:rsidRPr="00147E23">
        <w:rPr>
          <w:sz w:val="20"/>
          <w:szCs w:val="20"/>
          <w:lang w:bidi="ar-EG"/>
        </w:rPr>
        <w:t>Goodwill</w:t>
      </w:r>
      <w:r w:rsidRPr="00147E23">
        <w:rPr>
          <w:rFonts w:cs="Arial"/>
          <w:sz w:val="20"/>
          <w:szCs w:val="20"/>
          <w:rtl/>
          <w:lang w:bidi="ar-EG"/>
        </w:rPr>
        <w:tab/>
        <w:t>51</w:t>
      </w:r>
      <w:r w:rsidRPr="00147E23">
        <w:rPr>
          <w:rFonts w:cs="Arial"/>
          <w:sz w:val="20"/>
          <w:szCs w:val="20"/>
          <w:rtl/>
          <w:lang w:bidi="ar-EG"/>
        </w:rPr>
        <w:tab/>
        <w:t>37</w:t>
      </w:r>
      <w:r w:rsidRPr="00147E23">
        <w:rPr>
          <w:rFonts w:cs="Arial"/>
          <w:sz w:val="20"/>
          <w:szCs w:val="20"/>
          <w:rtl/>
          <w:lang w:bidi="ar-EG"/>
        </w:rPr>
        <w:tab/>
      </w:r>
      <w:r w:rsidRPr="00147E23">
        <w:rPr>
          <w:sz w:val="20"/>
          <w:szCs w:val="20"/>
          <w:lang w:bidi="ar-EG"/>
        </w:rPr>
        <w:t>Events after the reporting date</w:t>
      </w:r>
      <w:r w:rsidRPr="00147E23">
        <w:rPr>
          <w:rFonts w:cs="Arial"/>
          <w:sz w:val="20"/>
          <w:szCs w:val="20"/>
          <w:rtl/>
          <w:lang w:bidi="ar-EG"/>
        </w:rPr>
        <w:tab/>
        <w:t>104</w:t>
      </w:r>
    </w:p>
    <w:p w14:paraId="7102DF1E" w14:textId="77777777" w:rsidR="00F75725" w:rsidRPr="00147E23" w:rsidRDefault="00F75725" w:rsidP="00E6670A">
      <w:pPr>
        <w:bidi w:val="0"/>
        <w:rPr>
          <w:sz w:val="20"/>
          <w:szCs w:val="20"/>
          <w:lang w:bidi="ar-EG"/>
        </w:rPr>
      </w:pPr>
      <w:r w:rsidRPr="00147E23">
        <w:rPr>
          <w:sz w:val="20"/>
          <w:szCs w:val="20"/>
          <w:lang w:bidi="ar-EG"/>
        </w:rPr>
        <w:t>11</w:t>
      </w:r>
      <w:r w:rsidRPr="00147E23">
        <w:rPr>
          <w:rFonts w:cs="Arial"/>
          <w:sz w:val="20"/>
          <w:szCs w:val="20"/>
          <w:rtl/>
          <w:lang w:bidi="ar-EG"/>
        </w:rPr>
        <w:tab/>
      </w:r>
      <w:r w:rsidRPr="00147E23">
        <w:rPr>
          <w:sz w:val="20"/>
          <w:szCs w:val="20"/>
          <w:lang w:bidi="ar-EG"/>
        </w:rPr>
        <w:t>Other intangible assets</w:t>
      </w:r>
      <w:r w:rsidRPr="00147E23">
        <w:rPr>
          <w:rFonts w:cs="Arial"/>
          <w:sz w:val="20"/>
          <w:szCs w:val="20"/>
          <w:rtl/>
          <w:lang w:bidi="ar-EG"/>
        </w:rPr>
        <w:tab/>
        <w:t>53</w:t>
      </w:r>
      <w:r w:rsidRPr="00147E23">
        <w:rPr>
          <w:rFonts w:cs="Arial"/>
          <w:sz w:val="20"/>
          <w:szCs w:val="20"/>
          <w:rtl/>
          <w:lang w:bidi="ar-EG"/>
        </w:rPr>
        <w:tab/>
        <w:t>38</w:t>
      </w:r>
      <w:r w:rsidRPr="00147E23">
        <w:rPr>
          <w:rFonts w:cs="Arial"/>
          <w:sz w:val="20"/>
          <w:szCs w:val="20"/>
          <w:rtl/>
          <w:lang w:bidi="ar-EG"/>
        </w:rPr>
        <w:tab/>
      </w:r>
      <w:proofErr w:type="spellStart"/>
      <w:r w:rsidRPr="00147E23">
        <w:rPr>
          <w:sz w:val="20"/>
          <w:szCs w:val="20"/>
          <w:lang w:bidi="ar-EG"/>
        </w:rPr>
        <w:t>Authorisation</w:t>
      </w:r>
      <w:proofErr w:type="spellEnd"/>
      <w:r w:rsidRPr="00147E23">
        <w:rPr>
          <w:sz w:val="20"/>
          <w:szCs w:val="20"/>
          <w:lang w:bidi="ar-EG"/>
        </w:rPr>
        <w:t xml:space="preserve"> of financial statements</w:t>
      </w:r>
      <w:r w:rsidRPr="00147E23">
        <w:rPr>
          <w:rFonts w:cs="Arial"/>
          <w:sz w:val="20"/>
          <w:szCs w:val="20"/>
          <w:rtl/>
          <w:lang w:bidi="ar-EG"/>
        </w:rPr>
        <w:tab/>
        <w:t>104</w:t>
      </w:r>
    </w:p>
    <w:p w14:paraId="16367537" w14:textId="77777777" w:rsidR="00F75725" w:rsidRPr="00147E23" w:rsidRDefault="00F75725" w:rsidP="00E6670A">
      <w:pPr>
        <w:bidi w:val="0"/>
        <w:rPr>
          <w:sz w:val="20"/>
          <w:szCs w:val="20"/>
          <w:lang w:bidi="ar-EG"/>
        </w:rPr>
      </w:pPr>
      <w:r w:rsidRPr="00147E23">
        <w:rPr>
          <w:sz w:val="20"/>
          <w:szCs w:val="20"/>
          <w:lang w:bidi="ar-EG"/>
        </w:rPr>
        <w:t>12</w:t>
      </w:r>
      <w:r w:rsidRPr="00147E23">
        <w:rPr>
          <w:rFonts w:cs="Arial"/>
          <w:sz w:val="20"/>
          <w:szCs w:val="20"/>
          <w:rtl/>
          <w:lang w:bidi="ar-EG"/>
        </w:rPr>
        <w:tab/>
      </w:r>
      <w:r w:rsidRPr="00147E23">
        <w:rPr>
          <w:sz w:val="20"/>
          <w:szCs w:val="20"/>
          <w:lang w:bidi="ar-EG"/>
        </w:rPr>
        <w:t>Property, plant and equipment</w:t>
      </w:r>
      <w:r w:rsidRPr="00147E23">
        <w:rPr>
          <w:rFonts w:cs="Arial"/>
          <w:sz w:val="20"/>
          <w:szCs w:val="20"/>
          <w:rtl/>
          <w:lang w:bidi="ar-EG"/>
        </w:rPr>
        <w:tab/>
        <w:t>55</w:t>
      </w:r>
      <w:r w:rsidRPr="00147E23">
        <w:rPr>
          <w:rFonts w:cs="Arial"/>
          <w:sz w:val="20"/>
          <w:szCs w:val="20"/>
          <w:rtl/>
          <w:lang w:bidi="ar-EG"/>
        </w:rPr>
        <w:tab/>
      </w:r>
      <w:r w:rsidRPr="00147E23">
        <w:rPr>
          <w:rFonts w:cs="Arial"/>
          <w:sz w:val="20"/>
          <w:szCs w:val="20"/>
          <w:rtl/>
          <w:lang w:bidi="ar-EG"/>
        </w:rPr>
        <w:tab/>
      </w:r>
      <w:r w:rsidRPr="00147E23">
        <w:rPr>
          <w:sz w:val="20"/>
          <w:szCs w:val="20"/>
          <w:lang w:bidi="ar-EG"/>
        </w:rPr>
        <w:t>Appendices to the IFRS Example Consolidated</w:t>
      </w:r>
      <w:r w:rsidRPr="00147E23">
        <w:rPr>
          <w:rFonts w:cs="Arial"/>
          <w:sz w:val="20"/>
          <w:szCs w:val="20"/>
          <w:rtl/>
          <w:lang w:bidi="ar-EG"/>
        </w:rPr>
        <w:tab/>
        <w:t>105</w:t>
      </w:r>
    </w:p>
    <w:p w14:paraId="423B8770" w14:textId="77777777" w:rsidR="00F75725" w:rsidRPr="00147E23" w:rsidRDefault="00F75725" w:rsidP="00E6670A">
      <w:pPr>
        <w:bidi w:val="0"/>
        <w:rPr>
          <w:sz w:val="20"/>
          <w:szCs w:val="20"/>
          <w:lang w:bidi="ar-EG"/>
        </w:rPr>
      </w:pPr>
      <w:r w:rsidRPr="00147E23">
        <w:rPr>
          <w:sz w:val="20"/>
          <w:szCs w:val="20"/>
          <w:lang w:bidi="ar-EG"/>
        </w:rPr>
        <w:t>13</w:t>
      </w:r>
      <w:r w:rsidRPr="00147E23">
        <w:rPr>
          <w:rFonts w:cs="Arial"/>
          <w:sz w:val="20"/>
          <w:szCs w:val="20"/>
          <w:rtl/>
          <w:lang w:bidi="ar-EG"/>
        </w:rPr>
        <w:tab/>
      </w:r>
      <w:r w:rsidRPr="00147E23">
        <w:rPr>
          <w:sz w:val="20"/>
          <w:szCs w:val="20"/>
          <w:lang w:bidi="ar-EG"/>
        </w:rPr>
        <w:t>Leases</w:t>
      </w:r>
      <w:r w:rsidRPr="00147E23">
        <w:rPr>
          <w:rFonts w:cs="Arial"/>
          <w:sz w:val="20"/>
          <w:szCs w:val="20"/>
          <w:rtl/>
          <w:lang w:bidi="ar-EG"/>
        </w:rPr>
        <w:tab/>
        <w:t>57</w:t>
      </w:r>
      <w:r w:rsidRPr="00147E23">
        <w:rPr>
          <w:rFonts w:cs="Arial"/>
          <w:sz w:val="20"/>
          <w:szCs w:val="20"/>
          <w:rtl/>
          <w:lang w:bidi="ar-EG"/>
        </w:rPr>
        <w:tab/>
      </w:r>
      <w:r w:rsidRPr="00147E23">
        <w:rPr>
          <w:rFonts w:cs="Arial"/>
          <w:sz w:val="20"/>
          <w:szCs w:val="20"/>
          <w:rtl/>
          <w:lang w:bidi="ar-EG"/>
        </w:rPr>
        <w:tab/>
      </w:r>
      <w:r w:rsidRPr="00147E23">
        <w:rPr>
          <w:sz w:val="20"/>
          <w:szCs w:val="20"/>
          <w:lang w:bidi="ar-EG"/>
        </w:rPr>
        <w:t>Financial Statements</w:t>
      </w:r>
      <w:r w:rsidRPr="00147E23">
        <w:rPr>
          <w:rFonts w:cs="Arial"/>
          <w:sz w:val="20"/>
          <w:szCs w:val="20"/>
          <w:rtl/>
          <w:lang w:bidi="ar-EG"/>
        </w:rPr>
        <w:tab/>
      </w:r>
    </w:p>
    <w:p w14:paraId="00C79FF8" w14:textId="77777777" w:rsidR="00F75725" w:rsidRPr="00147E23" w:rsidRDefault="00F75725" w:rsidP="00E6670A">
      <w:pPr>
        <w:bidi w:val="0"/>
        <w:rPr>
          <w:sz w:val="20"/>
          <w:szCs w:val="20"/>
          <w:lang w:bidi="ar-EG"/>
        </w:rPr>
      </w:pPr>
      <w:r w:rsidRPr="00147E23">
        <w:rPr>
          <w:sz w:val="20"/>
          <w:szCs w:val="20"/>
          <w:lang w:bidi="ar-EG"/>
        </w:rPr>
        <w:t>14</w:t>
      </w:r>
      <w:r w:rsidRPr="00147E23">
        <w:rPr>
          <w:rFonts w:cs="Arial"/>
          <w:sz w:val="20"/>
          <w:szCs w:val="20"/>
          <w:rtl/>
          <w:lang w:bidi="ar-EG"/>
        </w:rPr>
        <w:tab/>
      </w:r>
      <w:r w:rsidRPr="00147E23">
        <w:rPr>
          <w:sz w:val="20"/>
          <w:szCs w:val="20"/>
          <w:lang w:bidi="ar-EG"/>
        </w:rPr>
        <w:t>Investment property</w:t>
      </w:r>
      <w:r w:rsidRPr="00147E23">
        <w:rPr>
          <w:rFonts w:cs="Arial"/>
          <w:sz w:val="20"/>
          <w:szCs w:val="20"/>
          <w:rtl/>
          <w:lang w:bidi="ar-EG"/>
        </w:rPr>
        <w:tab/>
        <w:t>60</w:t>
      </w:r>
      <w:r w:rsidRPr="00147E23">
        <w:rPr>
          <w:rFonts w:cs="Arial"/>
          <w:sz w:val="20"/>
          <w:szCs w:val="20"/>
          <w:rtl/>
          <w:lang w:bidi="ar-EG"/>
        </w:rPr>
        <w:tab/>
      </w:r>
      <w:r w:rsidRPr="00147E23">
        <w:rPr>
          <w:rFonts w:cs="Arial"/>
          <w:sz w:val="20"/>
          <w:szCs w:val="20"/>
          <w:rtl/>
          <w:lang w:bidi="ar-EG"/>
        </w:rPr>
        <w:tab/>
      </w:r>
      <w:r w:rsidRPr="00147E23">
        <w:rPr>
          <w:sz w:val="20"/>
          <w:szCs w:val="20"/>
          <w:lang w:bidi="ar-EG"/>
        </w:rPr>
        <w:t xml:space="preserve">Appendix A: </w:t>
      </w:r>
      <w:proofErr w:type="spellStart"/>
      <w:r w:rsidRPr="00147E23">
        <w:rPr>
          <w:sz w:val="20"/>
          <w:szCs w:val="20"/>
          <w:lang w:bidi="ar-EG"/>
        </w:rPr>
        <w:t>Organising</w:t>
      </w:r>
      <w:proofErr w:type="spellEnd"/>
      <w:r w:rsidRPr="00147E23">
        <w:rPr>
          <w:sz w:val="20"/>
          <w:szCs w:val="20"/>
          <w:lang w:bidi="ar-EG"/>
        </w:rPr>
        <w:t xml:space="preserve"> the statement of profit</w:t>
      </w:r>
      <w:r w:rsidRPr="00147E23">
        <w:rPr>
          <w:rFonts w:cs="Arial"/>
          <w:sz w:val="20"/>
          <w:szCs w:val="20"/>
          <w:rtl/>
          <w:lang w:bidi="ar-EG"/>
        </w:rPr>
        <w:tab/>
        <w:t>106</w:t>
      </w:r>
    </w:p>
    <w:p w14:paraId="05509D20" w14:textId="77777777" w:rsidR="00F75725" w:rsidRPr="00147E23" w:rsidRDefault="00F75725" w:rsidP="00E6670A">
      <w:pPr>
        <w:bidi w:val="0"/>
        <w:rPr>
          <w:sz w:val="20"/>
          <w:szCs w:val="20"/>
          <w:lang w:bidi="ar-EG"/>
        </w:rPr>
      </w:pPr>
      <w:r w:rsidRPr="00147E23">
        <w:rPr>
          <w:sz w:val="20"/>
          <w:szCs w:val="20"/>
          <w:lang w:bidi="ar-EG"/>
        </w:rPr>
        <w:t>15</w:t>
      </w:r>
      <w:r w:rsidRPr="00147E23">
        <w:rPr>
          <w:rFonts w:cs="Arial"/>
          <w:sz w:val="20"/>
          <w:szCs w:val="20"/>
          <w:rtl/>
          <w:lang w:bidi="ar-EG"/>
        </w:rPr>
        <w:tab/>
      </w:r>
      <w:r w:rsidRPr="00147E23">
        <w:rPr>
          <w:sz w:val="20"/>
          <w:szCs w:val="20"/>
          <w:lang w:bidi="ar-EG"/>
        </w:rPr>
        <w:t>Financial assets and liabilities</w:t>
      </w:r>
      <w:r w:rsidRPr="00147E23">
        <w:rPr>
          <w:rFonts w:cs="Arial"/>
          <w:sz w:val="20"/>
          <w:szCs w:val="20"/>
          <w:rtl/>
          <w:lang w:bidi="ar-EG"/>
        </w:rPr>
        <w:tab/>
        <w:t>61</w:t>
      </w:r>
      <w:r w:rsidRPr="00147E23">
        <w:rPr>
          <w:rFonts w:cs="Arial"/>
          <w:sz w:val="20"/>
          <w:szCs w:val="20"/>
          <w:rtl/>
          <w:lang w:bidi="ar-EG"/>
        </w:rPr>
        <w:tab/>
      </w:r>
      <w:r w:rsidRPr="00147E23">
        <w:rPr>
          <w:rFonts w:cs="Arial"/>
          <w:sz w:val="20"/>
          <w:szCs w:val="20"/>
          <w:rtl/>
          <w:lang w:bidi="ar-EG"/>
        </w:rPr>
        <w:tab/>
      </w:r>
      <w:r w:rsidRPr="00147E23">
        <w:rPr>
          <w:sz w:val="20"/>
          <w:szCs w:val="20"/>
          <w:lang w:bidi="ar-EG"/>
        </w:rPr>
        <w:t>or loss by function of expenses</w:t>
      </w:r>
      <w:r w:rsidRPr="00147E23">
        <w:rPr>
          <w:rFonts w:cs="Arial"/>
          <w:sz w:val="20"/>
          <w:szCs w:val="20"/>
          <w:rtl/>
          <w:lang w:bidi="ar-EG"/>
        </w:rPr>
        <w:tab/>
      </w:r>
    </w:p>
    <w:p w14:paraId="00A898AA" w14:textId="77777777" w:rsidR="00F75725" w:rsidRPr="00147E23" w:rsidRDefault="00F75725" w:rsidP="00E6670A">
      <w:pPr>
        <w:bidi w:val="0"/>
        <w:rPr>
          <w:sz w:val="20"/>
          <w:szCs w:val="20"/>
          <w:lang w:bidi="ar-EG"/>
        </w:rPr>
      </w:pPr>
      <w:r w:rsidRPr="00147E23">
        <w:rPr>
          <w:sz w:val="20"/>
          <w:szCs w:val="20"/>
          <w:lang w:bidi="ar-EG"/>
        </w:rPr>
        <w:t>16</w:t>
      </w:r>
      <w:r w:rsidRPr="00147E23">
        <w:rPr>
          <w:rFonts w:cs="Arial"/>
          <w:sz w:val="20"/>
          <w:szCs w:val="20"/>
          <w:rtl/>
          <w:lang w:bidi="ar-EG"/>
        </w:rPr>
        <w:tab/>
      </w:r>
      <w:r w:rsidRPr="00147E23">
        <w:rPr>
          <w:sz w:val="20"/>
          <w:szCs w:val="20"/>
          <w:lang w:bidi="ar-EG"/>
        </w:rPr>
        <w:t>Deferred tax assets and liabilities</w:t>
      </w:r>
      <w:r w:rsidRPr="00147E23">
        <w:rPr>
          <w:rFonts w:cs="Arial"/>
          <w:sz w:val="20"/>
          <w:szCs w:val="20"/>
          <w:rtl/>
          <w:lang w:bidi="ar-EG"/>
        </w:rPr>
        <w:tab/>
        <w:t>68</w:t>
      </w:r>
      <w:r w:rsidRPr="00147E23">
        <w:rPr>
          <w:rFonts w:cs="Arial"/>
          <w:sz w:val="20"/>
          <w:szCs w:val="20"/>
          <w:rtl/>
          <w:lang w:bidi="ar-EG"/>
        </w:rPr>
        <w:tab/>
      </w:r>
      <w:r w:rsidRPr="00147E23">
        <w:rPr>
          <w:rFonts w:cs="Arial"/>
          <w:sz w:val="20"/>
          <w:szCs w:val="20"/>
          <w:rtl/>
          <w:lang w:bidi="ar-EG"/>
        </w:rPr>
        <w:tab/>
      </w:r>
      <w:r w:rsidRPr="00147E23">
        <w:rPr>
          <w:sz w:val="20"/>
          <w:szCs w:val="20"/>
          <w:lang w:bidi="ar-EG"/>
        </w:rPr>
        <w:t>Appendix B: Statement of comprehensive income</w:t>
      </w:r>
      <w:r w:rsidRPr="00147E23">
        <w:rPr>
          <w:rFonts w:cs="Arial"/>
          <w:sz w:val="20"/>
          <w:szCs w:val="20"/>
          <w:rtl/>
          <w:lang w:bidi="ar-EG"/>
        </w:rPr>
        <w:tab/>
        <w:t>108</w:t>
      </w:r>
    </w:p>
    <w:p w14:paraId="5EF56E08" w14:textId="77777777" w:rsidR="00F75725" w:rsidRPr="00147E23" w:rsidRDefault="00F75725" w:rsidP="00E6670A">
      <w:pPr>
        <w:bidi w:val="0"/>
        <w:rPr>
          <w:sz w:val="20"/>
          <w:szCs w:val="20"/>
          <w:lang w:bidi="ar-EG"/>
        </w:rPr>
      </w:pPr>
      <w:r w:rsidRPr="00147E23">
        <w:rPr>
          <w:sz w:val="20"/>
          <w:szCs w:val="20"/>
          <w:lang w:bidi="ar-EG"/>
        </w:rPr>
        <w:t>17</w:t>
      </w:r>
      <w:r w:rsidRPr="00147E23">
        <w:rPr>
          <w:rFonts w:cs="Arial"/>
          <w:sz w:val="20"/>
          <w:szCs w:val="20"/>
          <w:rtl/>
          <w:lang w:bidi="ar-EG"/>
        </w:rPr>
        <w:tab/>
      </w:r>
      <w:r w:rsidRPr="00147E23">
        <w:rPr>
          <w:sz w:val="20"/>
          <w:szCs w:val="20"/>
          <w:lang w:bidi="ar-EG"/>
        </w:rPr>
        <w:t>Inventories</w:t>
      </w:r>
      <w:r w:rsidRPr="00147E23">
        <w:rPr>
          <w:rFonts w:cs="Arial"/>
          <w:sz w:val="20"/>
          <w:szCs w:val="20"/>
          <w:rtl/>
          <w:lang w:bidi="ar-EG"/>
        </w:rPr>
        <w:tab/>
        <w:t>70</w:t>
      </w:r>
      <w:r w:rsidRPr="00147E23">
        <w:rPr>
          <w:rFonts w:cs="Arial"/>
          <w:sz w:val="20"/>
          <w:szCs w:val="20"/>
          <w:rtl/>
          <w:lang w:bidi="ar-EG"/>
        </w:rPr>
        <w:tab/>
      </w:r>
      <w:r w:rsidRPr="00147E23">
        <w:rPr>
          <w:rFonts w:cs="Arial"/>
          <w:sz w:val="20"/>
          <w:szCs w:val="20"/>
          <w:rtl/>
          <w:lang w:bidi="ar-EG"/>
        </w:rPr>
        <w:tab/>
      </w:r>
      <w:r w:rsidRPr="00147E23">
        <w:rPr>
          <w:sz w:val="20"/>
          <w:szCs w:val="20"/>
          <w:lang w:bidi="ar-EG"/>
        </w:rPr>
        <w:t>presented in a single statement</w:t>
      </w:r>
      <w:r w:rsidRPr="00147E23">
        <w:rPr>
          <w:rFonts w:cs="Arial"/>
          <w:sz w:val="20"/>
          <w:szCs w:val="20"/>
          <w:rtl/>
          <w:lang w:bidi="ar-EG"/>
        </w:rPr>
        <w:tab/>
      </w:r>
    </w:p>
    <w:p w14:paraId="63D57D34" w14:textId="088B1349" w:rsidR="006166FB" w:rsidRPr="00147E23" w:rsidRDefault="00F75725" w:rsidP="00E6670A">
      <w:pPr>
        <w:bidi w:val="0"/>
        <w:rPr>
          <w:sz w:val="20"/>
          <w:szCs w:val="20"/>
          <w:lang w:bidi="ar-EG"/>
        </w:rPr>
      </w:pPr>
      <w:r w:rsidRPr="00147E23">
        <w:rPr>
          <w:sz w:val="20"/>
          <w:szCs w:val="20"/>
          <w:lang w:bidi="ar-EG"/>
        </w:rPr>
        <w:t>18</w:t>
      </w:r>
      <w:r w:rsidRPr="00147E23">
        <w:rPr>
          <w:sz w:val="20"/>
          <w:szCs w:val="20"/>
          <w:lang w:bidi="ar-EG"/>
        </w:rPr>
        <w:tab/>
        <w:t>Trade and other receivables</w:t>
      </w:r>
      <w:r w:rsidRPr="00147E23">
        <w:rPr>
          <w:sz w:val="20"/>
          <w:szCs w:val="20"/>
          <w:lang w:bidi="ar-EG"/>
        </w:rPr>
        <w:tab/>
        <w:t>70</w:t>
      </w:r>
      <w:r w:rsidRPr="00147E23">
        <w:rPr>
          <w:sz w:val="20"/>
          <w:szCs w:val="20"/>
          <w:lang w:bidi="ar-EG"/>
        </w:rPr>
        <w:tab/>
      </w:r>
      <w:r w:rsidRPr="00147E23">
        <w:rPr>
          <w:sz w:val="20"/>
          <w:szCs w:val="20"/>
          <w:lang w:bidi="ar-EG"/>
        </w:rPr>
        <w:tab/>
        <w:t>Appendix C: Effective dates of new IFRS Standards</w:t>
      </w:r>
      <w:r w:rsidRPr="00147E23">
        <w:rPr>
          <w:sz w:val="20"/>
          <w:szCs w:val="20"/>
          <w:lang w:bidi="ar-EG"/>
        </w:rPr>
        <w:tab/>
        <w:t>110</w:t>
      </w:r>
    </w:p>
    <w:p w14:paraId="464740D4" w14:textId="48EDADEE" w:rsidR="00452B35" w:rsidRDefault="00452B35" w:rsidP="00E6670A">
      <w:pPr>
        <w:bidi w:val="0"/>
        <w:rPr>
          <w:rtl/>
          <w:lang w:bidi="ar-EG"/>
        </w:rPr>
      </w:pPr>
      <w:r>
        <w:rPr>
          <w:rtl/>
          <w:lang w:bidi="ar-EG"/>
        </w:rPr>
        <w:br w:type="page"/>
      </w:r>
    </w:p>
    <w:p w14:paraId="6BD95AC2" w14:textId="77777777" w:rsidR="0096118F" w:rsidRDefault="0096118F" w:rsidP="00E6670A">
      <w:pPr>
        <w:bidi w:val="0"/>
        <w:rPr>
          <w:lang w:bidi="ar-EG"/>
        </w:rPr>
      </w:pPr>
      <w:r>
        <w:rPr>
          <w:lang w:bidi="ar-EG"/>
        </w:rPr>
        <w:lastRenderedPageBreak/>
        <w:t>Introduction</w:t>
      </w:r>
      <w:r>
        <w:rPr>
          <w:rFonts w:cs="Arial"/>
          <w:rtl/>
          <w:lang w:bidi="ar-EG"/>
        </w:rPr>
        <w:tab/>
      </w:r>
    </w:p>
    <w:p w14:paraId="0C7BC309" w14:textId="77777777" w:rsidR="0096118F" w:rsidRDefault="0096118F" w:rsidP="00E6670A">
      <w:pPr>
        <w:bidi w:val="0"/>
        <w:rPr>
          <w:lang w:bidi="ar-EG"/>
        </w:rPr>
      </w:pPr>
      <w:r>
        <w:rPr>
          <w:lang w:bidi="ar-EG"/>
        </w:rPr>
        <w:t>IFRS Example Consolidated Financial Statements 2021</w:t>
      </w:r>
      <w:r>
        <w:rPr>
          <w:rFonts w:cs="Arial"/>
          <w:rtl/>
          <w:lang w:bidi="ar-EG"/>
        </w:rPr>
        <w:tab/>
      </w:r>
    </w:p>
    <w:p w14:paraId="02F5DBCF" w14:textId="77777777" w:rsidR="0096118F" w:rsidRDefault="0096118F" w:rsidP="00E6670A">
      <w:pPr>
        <w:bidi w:val="0"/>
        <w:rPr>
          <w:lang w:bidi="ar-EG"/>
        </w:rPr>
      </w:pPr>
      <w:r>
        <w:rPr>
          <w:lang w:bidi="ar-EG"/>
        </w:rPr>
        <w:t>The preparation of financial statements in accordance</w:t>
      </w:r>
      <w:r>
        <w:rPr>
          <w:rFonts w:cs="Arial"/>
          <w:rtl/>
          <w:lang w:bidi="ar-EG"/>
        </w:rPr>
        <w:tab/>
      </w:r>
      <w:r>
        <w:rPr>
          <w:lang w:bidi="ar-EG"/>
        </w:rPr>
        <w:t>These Example Financial Statements have been updated to</w:t>
      </w:r>
    </w:p>
    <w:p w14:paraId="2CFE35C5" w14:textId="77777777" w:rsidR="0096118F" w:rsidRDefault="0096118F" w:rsidP="00E6670A">
      <w:pPr>
        <w:bidi w:val="0"/>
        <w:rPr>
          <w:lang w:bidi="ar-EG"/>
        </w:rPr>
      </w:pPr>
      <w:r>
        <w:rPr>
          <w:lang w:bidi="ar-EG"/>
        </w:rPr>
        <w:t>with International Financial Reporting Standards (‘IFRS’) is</w:t>
      </w:r>
      <w:r>
        <w:rPr>
          <w:rFonts w:cs="Arial"/>
          <w:rtl/>
          <w:lang w:bidi="ar-EG"/>
        </w:rPr>
        <w:tab/>
      </w:r>
      <w:r>
        <w:rPr>
          <w:lang w:bidi="ar-EG"/>
        </w:rPr>
        <w:t>reflect changes in IFRS that are effective for the year ending</w:t>
      </w:r>
    </w:p>
    <w:p w14:paraId="2F61886F" w14:textId="77777777" w:rsidR="0096118F" w:rsidRDefault="0096118F" w:rsidP="00E6670A">
      <w:pPr>
        <w:bidi w:val="0"/>
        <w:rPr>
          <w:lang w:bidi="ar-EG"/>
        </w:rPr>
      </w:pPr>
      <w:r>
        <w:rPr>
          <w:lang w:bidi="ar-EG"/>
        </w:rPr>
        <w:t>challenging. Each year, new Standards and amendments</w:t>
      </w:r>
      <w:r>
        <w:rPr>
          <w:rFonts w:cs="Arial"/>
          <w:rtl/>
          <w:lang w:bidi="ar-EG"/>
        </w:rPr>
        <w:tab/>
        <w:t xml:space="preserve">31 </w:t>
      </w:r>
      <w:r>
        <w:rPr>
          <w:lang w:bidi="ar-EG"/>
        </w:rPr>
        <w:t>December 2021. No account has been taken of any new</w:t>
      </w:r>
    </w:p>
    <w:p w14:paraId="4BBBC7D7" w14:textId="77777777" w:rsidR="0096118F" w:rsidRDefault="0096118F" w:rsidP="00E6670A">
      <w:pPr>
        <w:bidi w:val="0"/>
        <w:rPr>
          <w:lang w:bidi="ar-EG"/>
        </w:rPr>
      </w:pPr>
      <w:r>
        <w:rPr>
          <w:lang w:bidi="ar-EG"/>
        </w:rPr>
        <w:t>are published by the International Accounting Standards</w:t>
      </w:r>
      <w:r>
        <w:rPr>
          <w:rFonts w:cs="Arial"/>
          <w:rtl/>
          <w:lang w:bidi="ar-EG"/>
        </w:rPr>
        <w:tab/>
      </w:r>
      <w:r>
        <w:rPr>
          <w:lang w:bidi="ar-EG"/>
        </w:rPr>
        <w:t>developments after 31 October 2021</w:t>
      </w:r>
      <w:r>
        <w:rPr>
          <w:rFonts w:cs="Arial"/>
          <w:rtl/>
          <w:lang w:bidi="ar-EG"/>
        </w:rPr>
        <w:t>.</w:t>
      </w:r>
    </w:p>
    <w:p w14:paraId="7DEE61D0" w14:textId="77777777" w:rsidR="0096118F" w:rsidRDefault="0096118F" w:rsidP="00E6670A">
      <w:pPr>
        <w:bidi w:val="0"/>
        <w:rPr>
          <w:lang w:bidi="ar-EG"/>
        </w:rPr>
      </w:pPr>
      <w:r>
        <w:rPr>
          <w:lang w:bidi="ar-EG"/>
        </w:rPr>
        <w:t>Board (‘IASB’) with the potential to significantly impact the</w:t>
      </w:r>
      <w:r>
        <w:rPr>
          <w:rFonts w:cs="Arial"/>
          <w:rtl/>
          <w:lang w:bidi="ar-EG"/>
        </w:rPr>
        <w:tab/>
      </w:r>
    </w:p>
    <w:p w14:paraId="3D2B592E" w14:textId="77777777" w:rsidR="0096118F" w:rsidRDefault="0096118F" w:rsidP="00E6670A">
      <w:pPr>
        <w:bidi w:val="0"/>
        <w:rPr>
          <w:lang w:bidi="ar-EG"/>
        </w:rPr>
      </w:pPr>
      <w:r>
        <w:rPr>
          <w:lang w:bidi="ar-EG"/>
        </w:rPr>
        <w:t>presentation of a complete set of financial statements</w:t>
      </w:r>
      <w:r>
        <w:rPr>
          <w:rFonts w:cs="Arial"/>
          <w:rtl/>
          <w:lang w:bidi="ar-EG"/>
        </w:rPr>
        <w:t>.</w:t>
      </w:r>
      <w:r>
        <w:rPr>
          <w:rFonts w:cs="Arial"/>
          <w:rtl/>
          <w:lang w:bidi="ar-EG"/>
        </w:rPr>
        <w:tab/>
      </w:r>
    </w:p>
    <w:p w14:paraId="430913DA" w14:textId="77777777" w:rsidR="0096118F" w:rsidRDefault="0096118F" w:rsidP="00E6670A">
      <w:pPr>
        <w:bidi w:val="0"/>
        <w:rPr>
          <w:lang w:bidi="ar-EG"/>
        </w:rPr>
      </w:pPr>
      <w:r>
        <w:rPr>
          <w:rFonts w:cs="Arial"/>
          <w:rtl/>
          <w:lang w:bidi="ar-EG"/>
        </w:rPr>
        <w:tab/>
      </w:r>
      <w:r>
        <w:rPr>
          <w:lang w:bidi="ar-EG"/>
        </w:rPr>
        <w:t>Telling the COVID Story</w:t>
      </w:r>
    </w:p>
    <w:p w14:paraId="4E4B5960" w14:textId="77777777" w:rsidR="0096118F" w:rsidRDefault="0096118F" w:rsidP="00E6670A">
      <w:pPr>
        <w:bidi w:val="0"/>
        <w:rPr>
          <w:lang w:bidi="ar-EG"/>
        </w:rPr>
      </w:pPr>
      <w:r>
        <w:rPr>
          <w:lang w:bidi="ar-EG"/>
        </w:rPr>
        <w:t>The member firms of Grant Thornton International Ltd</w:t>
      </w:r>
      <w:r>
        <w:rPr>
          <w:rFonts w:cs="Arial"/>
          <w:rtl/>
          <w:lang w:bidi="ar-EG"/>
        </w:rPr>
        <w:tab/>
      </w:r>
    </w:p>
    <w:p w14:paraId="3BB0A725" w14:textId="77777777" w:rsidR="0096118F" w:rsidRDefault="0096118F" w:rsidP="00E6670A">
      <w:pPr>
        <w:bidi w:val="0"/>
        <w:rPr>
          <w:lang w:bidi="ar-EG"/>
        </w:rPr>
      </w:pPr>
      <w:r>
        <w:rPr>
          <w:lang w:bidi="ar-EG"/>
        </w:rPr>
        <w:t>(‘GTIL’) have extensive expertise in the application of IFRS.</w:t>
      </w:r>
      <w:r>
        <w:rPr>
          <w:rFonts w:cs="Arial"/>
          <w:rtl/>
          <w:lang w:bidi="ar-EG"/>
        </w:rPr>
        <w:tab/>
      </w:r>
      <w:r>
        <w:rPr>
          <w:lang w:bidi="ar-EG"/>
        </w:rPr>
        <w:t>Reporting the impact of COVID-19 global pandemic in the</w:t>
      </w:r>
    </w:p>
    <w:p w14:paraId="0309062B" w14:textId="77777777" w:rsidR="0096118F" w:rsidRDefault="0096118F" w:rsidP="00E6670A">
      <w:pPr>
        <w:bidi w:val="0"/>
        <w:rPr>
          <w:lang w:bidi="ar-EG"/>
        </w:rPr>
      </w:pPr>
      <w:r>
        <w:rPr>
          <w:lang w:bidi="ar-EG"/>
        </w:rPr>
        <w:t>GTIL, through its IFRS Team, develops general guidance</w:t>
      </w:r>
      <w:r>
        <w:rPr>
          <w:rFonts w:cs="Arial"/>
          <w:rtl/>
          <w:lang w:bidi="ar-EG"/>
        </w:rPr>
        <w:tab/>
      </w:r>
      <w:r>
        <w:rPr>
          <w:lang w:bidi="ar-EG"/>
        </w:rPr>
        <w:t>financial statements will, for many reporting entities, still</w:t>
      </w:r>
    </w:p>
    <w:p w14:paraId="0C3E5D4A" w14:textId="77777777" w:rsidR="0096118F" w:rsidRDefault="0096118F" w:rsidP="00E6670A">
      <w:pPr>
        <w:bidi w:val="0"/>
        <w:rPr>
          <w:lang w:bidi="ar-EG"/>
        </w:rPr>
      </w:pPr>
      <w:r>
        <w:rPr>
          <w:lang w:bidi="ar-EG"/>
        </w:rPr>
        <w:t>that supports its member firms’ commitment to high quality,</w:t>
      </w:r>
      <w:r>
        <w:rPr>
          <w:rFonts w:cs="Arial"/>
          <w:rtl/>
          <w:lang w:bidi="ar-EG"/>
        </w:rPr>
        <w:tab/>
      </w:r>
      <w:r>
        <w:rPr>
          <w:lang w:bidi="ar-EG"/>
        </w:rPr>
        <w:t>be a challenge. Preparers of financial statements will need</w:t>
      </w:r>
    </w:p>
    <w:p w14:paraId="4F8DA62B" w14:textId="77777777" w:rsidR="0096118F" w:rsidRDefault="0096118F" w:rsidP="00E6670A">
      <w:pPr>
        <w:bidi w:val="0"/>
        <w:rPr>
          <w:lang w:bidi="ar-EG"/>
        </w:rPr>
      </w:pPr>
      <w:r>
        <w:rPr>
          <w:lang w:bidi="ar-EG"/>
        </w:rPr>
        <w:t>consistent application of IFRS and is therefore pleased to</w:t>
      </w:r>
      <w:r>
        <w:rPr>
          <w:rFonts w:cs="Arial"/>
          <w:rtl/>
          <w:lang w:bidi="ar-EG"/>
        </w:rPr>
        <w:tab/>
      </w:r>
      <w:proofErr w:type="spellStart"/>
      <w:r>
        <w:rPr>
          <w:lang w:bidi="ar-EG"/>
        </w:rPr>
        <w:t>to</w:t>
      </w:r>
      <w:proofErr w:type="spellEnd"/>
      <w:r>
        <w:rPr>
          <w:lang w:bidi="ar-EG"/>
        </w:rPr>
        <w:t xml:space="preserve"> think about how, where and in what form they should</w:t>
      </w:r>
    </w:p>
    <w:p w14:paraId="082C98A1" w14:textId="77777777" w:rsidR="0096118F" w:rsidRDefault="0096118F" w:rsidP="00E6670A">
      <w:pPr>
        <w:bidi w:val="0"/>
        <w:rPr>
          <w:lang w:bidi="ar-EG"/>
        </w:rPr>
      </w:pPr>
      <w:r>
        <w:rPr>
          <w:lang w:bidi="ar-EG"/>
        </w:rPr>
        <w:t>share our insights by publishing ‘IFRS Example Consolidated</w:t>
      </w:r>
      <w:r>
        <w:rPr>
          <w:rFonts w:cs="Arial"/>
          <w:rtl/>
          <w:lang w:bidi="ar-EG"/>
        </w:rPr>
        <w:tab/>
      </w:r>
      <w:r>
        <w:rPr>
          <w:lang w:bidi="ar-EG"/>
        </w:rPr>
        <w:t>report COVID-19 in their financial statements in light of</w:t>
      </w:r>
    </w:p>
    <w:p w14:paraId="31E81AF3" w14:textId="77777777" w:rsidR="0096118F" w:rsidRDefault="0096118F" w:rsidP="00E6670A">
      <w:pPr>
        <w:bidi w:val="0"/>
        <w:rPr>
          <w:lang w:bidi="ar-EG"/>
        </w:rPr>
      </w:pPr>
      <w:r>
        <w:rPr>
          <w:lang w:bidi="ar-EG"/>
        </w:rPr>
        <w:t>Financial Statements 2021’ (‘Example Financial Statements’).</w:t>
      </w:r>
      <w:r>
        <w:rPr>
          <w:rFonts w:cs="Arial"/>
          <w:rtl/>
          <w:lang w:bidi="ar-EG"/>
        </w:rPr>
        <w:tab/>
      </w:r>
      <w:r>
        <w:rPr>
          <w:lang w:bidi="ar-EG"/>
        </w:rPr>
        <w:t>IFRS as they currently exist. We believe it is important to</w:t>
      </w:r>
    </w:p>
    <w:p w14:paraId="305EBA8A" w14:textId="77777777" w:rsidR="0096118F" w:rsidRDefault="0096118F" w:rsidP="00E6670A">
      <w:pPr>
        <w:bidi w:val="0"/>
        <w:rPr>
          <w:lang w:bidi="ar-EG"/>
        </w:rPr>
      </w:pPr>
      <w:r>
        <w:rPr>
          <w:rFonts w:cs="Arial"/>
          <w:rtl/>
          <w:lang w:bidi="ar-EG"/>
        </w:rPr>
        <w:tab/>
      </w:r>
      <w:r>
        <w:rPr>
          <w:lang w:bidi="ar-EG"/>
        </w:rPr>
        <w:t>not only comply with the guidance set out in IFRS, but</w:t>
      </w:r>
    </w:p>
    <w:p w14:paraId="3D2706F1" w14:textId="77777777" w:rsidR="0096118F" w:rsidRDefault="0096118F" w:rsidP="00E6670A">
      <w:pPr>
        <w:bidi w:val="0"/>
        <w:rPr>
          <w:lang w:bidi="ar-EG"/>
        </w:rPr>
      </w:pPr>
      <w:r>
        <w:rPr>
          <w:lang w:bidi="ar-EG"/>
        </w:rPr>
        <w:t>These Example Financial Statements are based on the activities</w:t>
      </w:r>
      <w:r>
        <w:rPr>
          <w:rFonts w:cs="Arial"/>
          <w:rtl/>
          <w:lang w:bidi="ar-EG"/>
        </w:rPr>
        <w:tab/>
      </w:r>
      <w:r>
        <w:rPr>
          <w:lang w:bidi="ar-EG"/>
        </w:rPr>
        <w:t>also ensure the financial statements are an effective part</w:t>
      </w:r>
    </w:p>
    <w:p w14:paraId="1D4217FB" w14:textId="77777777" w:rsidR="0096118F" w:rsidRDefault="0096118F" w:rsidP="00E6670A">
      <w:pPr>
        <w:bidi w:val="0"/>
        <w:rPr>
          <w:lang w:bidi="ar-EG"/>
        </w:rPr>
      </w:pPr>
      <w:r>
        <w:rPr>
          <w:lang w:bidi="ar-EG"/>
        </w:rPr>
        <w:t>and results of Illustrative Corporation and its subsidiaries (‘the</w:t>
      </w:r>
      <w:r>
        <w:rPr>
          <w:rFonts w:cs="Arial"/>
          <w:rtl/>
          <w:lang w:bidi="ar-EG"/>
        </w:rPr>
        <w:tab/>
      </w:r>
      <w:r>
        <w:rPr>
          <w:lang w:bidi="ar-EG"/>
        </w:rPr>
        <w:t>of any wider communication the entity intends to share</w:t>
      </w:r>
    </w:p>
    <w:p w14:paraId="0B9EB627" w14:textId="77777777" w:rsidR="0096118F" w:rsidRDefault="0096118F" w:rsidP="00E6670A">
      <w:pPr>
        <w:bidi w:val="0"/>
        <w:rPr>
          <w:lang w:bidi="ar-EG"/>
        </w:rPr>
      </w:pPr>
      <w:r>
        <w:rPr>
          <w:lang w:bidi="ar-EG"/>
        </w:rPr>
        <w:t>Group’) – a fictional consulting, service and retail entity that</w:t>
      </w:r>
      <w:r>
        <w:rPr>
          <w:rFonts w:cs="Arial"/>
          <w:rtl/>
          <w:lang w:bidi="ar-EG"/>
        </w:rPr>
        <w:tab/>
      </w:r>
      <w:r>
        <w:rPr>
          <w:lang w:bidi="ar-EG"/>
        </w:rPr>
        <w:t>with its stakeholders. COVID-19 was the main focus of</w:t>
      </w:r>
    </w:p>
    <w:p w14:paraId="62BEB1F5" w14:textId="77777777" w:rsidR="0096118F" w:rsidRDefault="0096118F" w:rsidP="00E6670A">
      <w:pPr>
        <w:bidi w:val="0"/>
        <w:rPr>
          <w:lang w:bidi="ar-EG"/>
        </w:rPr>
      </w:pPr>
      <w:r>
        <w:rPr>
          <w:lang w:bidi="ar-EG"/>
        </w:rPr>
        <w:t>has been preparing IFRS consolidated financial statements for</w:t>
      </w:r>
      <w:r>
        <w:rPr>
          <w:rFonts w:cs="Arial"/>
          <w:rtl/>
          <w:lang w:bidi="ar-EG"/>
        </w:rPr>
        <w:tab/>
      </w:r>
      <w:r>
        <w:rPr>
          <w:lang w:bidi="ar-EG"/>
        </w:rPr>
        <w:t>the financial statements for reporting entities in 2020</w:t>
      </w:r>
      <w:r>
        <w:rPr>
          <w:rFonts w:cs="Arial"/>
          <w:rtl/>
          <w:lang w:bidi="ar-EG"/>
        </w:rPr>
        <w:t>,</w:t>
      </w:r>
    </w:p>
    <w:p w14:paraId="48BE0242" w14:textId="77777777" w:rsidR="0096118F" w:rsidRDefault="0096118F" w:rsidP="00E6670A">
      <w:pPr>
        <w:bidi w:val="0"/>
        <w:rPr>
          <w:lang w:bidi="ar-EG"/>
        </w:rPr>
      </w:pPr>
      <w:r>
        <w:rPr>
          <w:lang w:bidi="ar-EG"/>
        </w:rPr>
        <w:t>several years. The form and content of IFRS financial statements</w:t>
      </w:r>
      <w:r>
        <w:rPr>
          <w:rFonts w:cs="Arial"/>
          <w:rtl/>
          <w:lang w:bidi="ar-EG"/>
        </w:rPr>
        <w:tab/>
      </w:r>
      <w:r>
        <w:rPr>
          <w:lang w:bidi="ar-EG"/>
        </w:rPr>
        <w:t>be it positive or negative, and has continued to remain</w:t>
      </w:r>
    </w:p>
    <w:p w14:paraId="3C697A4A" w14:textId="77777777" w:rsidR="0096118F" w:rsidRDefault="0096118F" w:rsidP="00E6670A">
      <w:pPr>
        <w:bidi w:val="0"/>
        <w:rPr>
          <w:lang w:bidi="ar-EG"/>
        </w:rPr>
      </w:pPr>
      <w:r>
        <w:rPr>
          <w:lang w:bidi="ar-EG"/>
        </w:rPr>
        <w:t>will always depend on the activities and transactions of the</w:t>
      </w:r>
      <w:r>
        <w:rPr>
          <w:rFonts w:cs="Arial"/>
          <w:rtl/>
          <w:lang w:bidi="ar-EG"/>
        </w:rPr>
        <w:tab/>
      </w:r>
      <w:r>
        <w:rPr>
          <w:lang w:bidi="ar-EG"/>
        </w:rPr>
        <w:t>prominent this year, so financial statements with an</w:t>
      </w:r>
    </w:p>
    <w:p w14:paraId="35853A55" w14:textId="77777777" w:rsidR="0096118F" w:rsidRDefault="0096118F" w:rsidP="00E6670A">
      <w:pPr>
        <w:bidi w:val="0"/>
        <w:rPr>
          <w:lang w:bidi="ar-EG"/>
        </w:rPr>
      </w:pPr>
      <w:r>
        <w:rPr>
          <w:lang w:bidi="ar-EG"/>
        </w:rPr>
        <w:t>reporting entity. Our objective in preparing these Example</w:t>
      </w:r>
      <w:r>
        <w:rPr>
          <w:rFonts w:cs="Arial"/>
          <w:rtl/>
          <w:lang w:bidi="ar-EG"/>
        </w:rPr>
        <w:tab/>
      </w:r>
      <w:r>
        <w:rPr>
          <w:lang w:bidi="ar-EG"/>
        </w:rPr>
        <w:t>annual reporting date in 2021 should be prepared with</w:t>
      </w:r>
    </w:p>
    <w:p w14:paraId="531B935D" w14:textId="77777777" w:rsidR="0096118F" w:rsidRDefault="0096118F" w:rsidP="00E6670A">
      <w:pPr>
        <w:bidi w:val="0"/>
        <w:rPr>
          <w:lang w:bidi="ar-EG"/>
        </w:rPr>
      </w:pPr>
      <w:r>
        <w:rPr>
          <w:lang w:bidi="ar-EG"/>
        </w:rPr>
        <w:t>Financial Statements is to illustrate one possible approach to</w:t>
      </w:r>
      <w:r>
        <w:rPr>
          <w:rFonts w:cs="Arial"/>
          <w:rtl/>
          <w:lang w:bidi="ar-EG"/>
        </w:rPr>
        <w:tab/>
      </w:r>
      <w:r>
        <w:rPr>
          <w:lang w:bidi="ar-EG"/>
        </w:rPr>
        <w:t>this in mind</w:t>
      </w:r>
      <w:r>
        <w:rPr>
          <w:rFonts w:cs="Arial"/>
          <w:rtl/>
          <w:lang w:bidi="ar-EG"/>
        </w:rPr>
        <w:t>.</w:t>
      </w:r>
    </w:p>
    <w:p w14:paraId="63F1315F" w14:textId="77777777" w:rsidR="0096118F" w:rsidRDefault="0096118F" w:rsidP="00E6670A">
      <w:pPr>
        <w:bidi w:val="0"/>
        <w:rPr>
          <w:lang w:bidi="ar-EG"/>
        </w:rPr>
      </w:pPr>
      <w:r>
        <w:rPr>
          <w:lang w:bidi="ar-EG"/>
        </w:rPr>
        <w:t>financial reporting by an entity engaging in transactions that</w:t>
      </w:r>
      <w:r>
        <w:rPr>
          <w:rFonts w:cs="Arial"/>
          <w:rtl/>
          <w:lang w:bidi="ar-EG"/>
        </w:rPr>
        <w:tab/>
      </w:r>
    </w:p>
    <w:p w14:paraId="36FFFA81" w14:textId="77777777" w:rsidR="0096118F" w:rsidRDefault="0096118F" w:rsidP="00E6670A">
      <w:pPr>
        <w:bidi w:val="0"/>
        <w:rPr>
          <w:lang w:bidi="ar-EG"/>
        </w:rPr>
      </w:pPr>
      <w:r>
        <w:rPr>
          <w:lang w:bidi="ar-EG"/>
        </w:rPr>
        <w:t>are typical across a range of non-specialist sectors. However</w:t>
      </w:r>
      <w:r>
        <w:rPr>
          <w:rFonts w:cs="Arial"/>
          <w:rtl/>
          <w:lang w:bidi="ar-EG"/>
        </w:rPr>
        <w:t>,</w:t>
      </w:r>
      <w:r>
        <w:rPr>
          <w:rFonts w:cs="Arial"/>
          <w:rtl/>
          <w:lang w:bidi="ar-EG"/>
        </w:rPr>
        <w:tab/>
      </w:r>
    </w:p>
    <w:p w14:paraId="1539FD69" w14:textId="4ADA96C6" w:rsidR="0096118F" w:rsidRDefault="0096118F" w:rsidP="00E6670A">
      <w:pPr>
        <w:bidi w:val="0"/>
        <w:rPr>
          <w:lang w:bidi="ar-EG"/>
        </w:rPr>
      </w:pPr>
      <w:r>
        <w:rPr>
          <w:lang w:bidi="ar-EG"/>
        </w:rPr>
        <w:t xml:space="preserve">as with any publication of this type, </w:t>
      </w:r>
      <w:r w:rsidR="00DC0BD6">
        <w:rPr>
          <w:lang w:bidi="ar-EG"/>
        </w:rPr>
        <w:t>these examples</w:t>
      </w:r>
      <w:r>
        <w:rPr>
          <w:lang w:bidi="ar-EG"/>
        </w:rPr>
        <w:t xml:space="preserve"> financial</w:t>
      </w:r>
      <w:r>
        <w:rPr>
          <w:rFonts w:cs="Arial"/>
          <w:rtl/>
          <w:lang w:bidi="ar-EG"/>
        </w:rPr>
        <w:tab/>
      </w:r>
    </w:p>
    <w:p w14:paraId="6CBB50C0" w14:textId="77777777" w:rsidR="0096118F" w:rsidRDefault="0096118F" w:rsidP="00E6670A">
      <w:pPr>
        <w:bidi w:val="0"/>
        <w:rPr>
          <w:lang w:bidi="ar-EG"/>
        </w:rPr>
      </w:pPr>
      <w:r>
        <w:rPr>
          <w:lang w:bidi="ar-EG"/>
        </w:rPr>
        <w:t>statements cannot envisage every possible transaction and</w:t>
      </w:r>
      <w:r>
        <w:rPr>
          <w:rFonts w:cs="Arial"/>
          <w:rtl/>
          <w:lang w:bidi="ar-EG"/>
        </w:rPr>
        <w:tab/>
      </w:r>
    </w:p>
    <w:p w14:paraId="6915CB03" w14:textId="2D3B8E58" w:rsidR="0096118F" w:rsidRDefault="00DC0BD6" w:rsidP="00E6670A">
      <w:pPr>
        <w:bidi w:val="0"/>
        <w:rPr>
          <w:lang w:bidi="ar-EG"/>
        </w:rPr>
      </w:pPr>
      <w:r>
        <w:rPr>
          <w:lang w:bidi="ar-EG"/>
        </w:rPr>
        <w:t>therefore,</w:t>
      </w:r>
      <w:r w:rsidR="0096118F">
        <w:rPr>
          <w:lang w:bidi="ar-EG"/>
        </w:rPr>
        <w:t xml:space="preserve"> cannot be regarded as comprehensive. Management</w:t>
      </w:r>
      <w:r w:rsidR="0096118F">
        <w:rPr>
          <w:rFonts w:cs="Arial"/>
          <w:rtl/>
          <w:lang w:bidi="ar-EG"/>
        </w:rPr>
        <w:tab/>
      </w:r>
    </w:p>
    <w:p w14:paraId="041A1646" w14:textId="77777777" w:rsidR="0096118F" w:rsidRDefault="0096118F" w:rsidP="00E6670A">
      <w:pPr>
        <w:bidi w:val="0"/>
        <w:rPr>
          <w:lang w:bidi="ar-EG"/>
        </w:rPr>
      </w:pPr>
      <w:r>
        <w:rPr>
          <w:lang w:bidi="ar-EG"/>
        </w:rPr>
        <w:t>as defined by the IASB, is ultimately responsible for the fair</w:t>
      </w:r>
      <w:r>
        <w:rPr>
          <w:rFonts w:cs="Arial"/>
          <w:rtl/>
          <w:lang w:bidi="ar-EG"/>
        </w:rPr>
        <w:tab/>
      </w:r>
    </w:p>
    <w:p w14:paraId="77D52948" w14:textId="77777777" w:rsidR="0096118F" w:rsidRDefault="0096118F" w:rsidP="00E6670A">
      <w:pPr>
        <w:bidi w:val="0"/>
        <w:rPr>
          <w:lang w:bidi="ar-EG"/>
        </w:rPr>
      </w:pPr>
      <w:r>
        <w:rPr>
          <w:lang w:bidi="ar-EG"/>
        </w:rPr>
        <w:t>presentation of financial statements and therefore they</w:t>
      </w:r>
      <w:r>
        <w:rPr>
          <w:rFonts w:cs="Arial"/>
          <w:rtl/>
          <w:lang w:bidi="ar-EG"/>
        </w:rPr>
        <w:tab/>
      </w:r>
    </w:p>
    <w:p w14:paraId="479DB5A7" w14:textId="77777777" w:rsidR="0096118F" w:rsidRDefault="0096118F" w:rsidP="00E6670A">
      <w:pPr>
        <w:bidi w:val="0"/>
        <w:rPr>
          <w:lang w:bidi="ar-EG"/>
        </w:rPr>
      </w:pPr>
      <w:r>
        <w:rPr>
          <w:lang w:bidi="ar-EG"/>
        </w:rPr>
        <w:t>may find other approaches more appropriate for its specific</w:t>
      </w:r>
      <w:r>
        <w:rPr>
          <w:rFonts w:cs="Arial"/>
          <w:rtl/>
          <w:lang w:bidi="ar-EG"/>
        </w:rPr>
        <w:tab/>
      </w:r>
    </w:p>
    <w:p w14:paraId="084EA34F" w14:textId="77777777" w:rsidR="0096118F" w:rsidRDefault="0096118F" w:rsidP="00E6670A">
      <w:pPr>
        <w:bidi w:val="0"/>
        <w:rPr>
          <w:lang w:bidi="ar-EG"/>
        </w:rPr>
      </w:pPr>
      <w:r>
        <w:rPr>
          <w:lang w:bidi="ar-EG"/>
        </w:rPr>
        <w:t>circumstances</w:t>
      </w:r>
      <w:r>
        <w:rPr>
          <w:rFonts w:cs="Arial"/>
          <w:rtl/>
          <w:lang w:bidi="ar-EG"/>
        </w:rPr>
        <w:t>.</w:t>
      </w:r>
      <w:r>
        <w:rPr>
          <w:rFonts w:cs="Arial"/>
          <w:rtl/>
          <w:lang w:bidi="ar-EG"/>
        </w:rPr>
        <w:tab/>
      </w:r>
    </w:p>
    <w:p w14:paraId="4BDBC6CB" w14:textId="77777777" w:rsidR="0096118F" w:rsidRDefault="0096118F" w:rsidP="00E6670A">
      <w:pPr>
        <w:bidi w:val="0"/>
        <w:rPr>
          <w:lang w:bidi="ar-EG"/>
        </w:rPr>
      </w:pPr>
      <w:r>
        <w:rPr>
          <w:lang w:bidi="ar-EG"/>
        </w:rPr>
        <w:t>About us</w:t>
      </w:r>
      <w:r>
        <w:rPr>
          <w:rFonts w:cs="Arial"/>
          <w:rtl/>
          <w:lang w:bidi="ar-EG"/>
        </w:rPr>
        <w:tab/>
      </w:r>
    </w:p>
    <w:p w14:paraId="49664352" w14:textId="77777777" w:rsidR="0096118F" w:rsidRDefault="0096118F" w:rsidP="00E6670A">
      <w:pPr>
        <w:bidi w:val="0"/>
        <w:rPr>
          <w:lang w:bidi="ar-EG"/>
        </w:rPr>
      </w:pPr>
      <w:r>
        <w:rPr>
          <w:lang w:bidi="ar-EG"/>
        </w:rPr>
        <w:t>We’re a network of independent assurance, tax and</w:t>
      </w:r>
      <w:r>
        <w:rPr>
          <w:rFonts w:cs="Arial"/>
          <w:rtl/>
          <w:lang w:bidi="ar-EG"/>
        </w:rPr>
        <w:tab/>
      </w:r>
    </w:p>
    <w:p w14:paraId="73317801" w14:textId="77777777" w:rsidR="0096118F" w:rsidRDefault="0096118F" w:rsidP="00E6670A">
      <w:pPr>
        <w:bidi w:val="0"/>
        <w:rPr>
          <w:lang w:bidi="ar-EG"/>
        </w:rPr>
      </w:pPr>
      <w:r>
        <w:rPr>
          <w:lang w:bidi="ar-EG"/>
        </w:rPr>
        <w:t>advisory firms, made up of 56,000+ people in 140</w:t>
      </w:r>
      <w:r>
        <w:rPr>
          <w:rFonts w:cs="Arial"/>
          <w:rtl/>
          <w:lang w:bidi="ar-EG"/>
        </w:rPr>
        <w:tab/>
      </w:r>
    </w:p>
    <w:p w14:paraId="4BD5A8B0" w14:textId="77777777" w:rsidR="0096118F" w:rsidRDefault="0096118F" w:rsidP="00E6670A">
      <w:pPr>
        <w:bidi w:val="0"/>
        <w:rPr>
          <w:lang w:bidi="ar-EG"/>
        </w:rPr>
      </w:pPr>
      <w:r>
        <w:rPr>
          <w:lang w:bidi="ar-EG"/>
        </w:rPr>
        <w:t>countries. For more than 100 years, we have helped</w:t>
      </w:r>
      <w:r>
        <w:rPr>
          <w:rFonts w:cs="Arial"/>
          <w:rtl/>
          <w:lang w:bidi="ar-EG"/>
        </w:rPr>
        <w:tab/>
      </w:r>
    </w:p>
    <w:p w14:paraId="5EB5382F" w14:textId="32BFA46A" w:rsidR="0096118F" w:rsidRDefault="0096118F" w:rsidP="00E6670A">
      <w:pPr>
        <w:bidi w:val="0"/>
        <w:rPr>
          <w:lang w:bidi="ar-EG"/>
        </w:rPr>
      </w:pPr>
      <w:r>
        <w:rPr>
          <w:lang w:bidi="ar-EG"/>
        </w:rPr>
        <w:t xml:space="preserve">dynamic </w:t>
      </w:r>
      <w:r w:rsidR="00DC0BD6">
        <w:rPr>
          <w:lang w:bidi="ar-EG"/>
        </w:rPr>
        <w:t>organizations</w:t>
      </w:r>
      <w:r>
        <w:rPr>
          <w:lang w:bidi="ar-EG"/>
        </w:rPr>
        <w:t xml:space="preserve"> </w:t>
      </w:r>
      <w:r w:rsidR="00DC0BD6">
        <w:rPr>
          <w:lang w:bidi="ar-EG"/>
        </w:rPr>
        <w:t>realize</w:t>
      </w:r>
      <w:r>
        <w:rPr>
          <w:lang w:bidi="ar-EG"/>
        </w:rPr>
        <w:t xml:space="preserve"> their strategic ambitions</w:t>
      </w:r>
      <w:r>
        <w:rPr>
          <w:rFonts w:cs="Arial"/>
          <w:rtl/>
          <w:lang w:bidi="ar-EG"/>
        </w:rPr>
        <w:t>.</w:t>
      </w:r>
      <w:r>
        <w:rPr>
          <w:rFonts w:cs="Arial"/>
          <w:rtl/>
          <w:lang w:bidi="ar-EG"/>
        </w:rPr>
        <w:tab/>
      </w:r>
    </w:p>
    <w:p w14:paraId="69395184" w14:textId="77777777" w:rsidR="0096118F" w:rsidRDefault="0096118F" w:rsidP="00E6670A">
      <w:pPr>
        <w:bidi w:val="0"/>
        <w:rPr>
          <w:lang w:bidi="ar-EG"/>
        </w:rPr>
      </w:pPr>
      <w:r>
        <w:rPr>
          <w:lang w:bidi="ar-EG"/>
        </w:rPr>
        <w:t>Whether you’re looking to finance growth, manage</w:t>
      </w:r>
      <w:r>
        <w:rPr>
          <w:rFonts w:cs="Arial"/>
          <w:rtl/>
          <w:lang w:bidi="ar-EG"/>
        </w:rPr>
        <w:tab/>
      </w:r>
    </w:p>
    <w:p w14:paraId="56F92B1D" w14:textId="60EDE7A9" w:rsidR="0096118F" w:rsidRDefault="0096118F" w:rsidP="00E6670A">
      <w:pPr>
        <w:bidi w:val="0"/>
        <w:rPr>
          <w:lang w:bidi="ar-EG"/>
        </w:rPr>
      </w:pPr>
      <w:r>
        <w:rPr>
          <w:lang w:bidi="ar-EG"/>
        </w:rPr>
        <w:t xml:space="preserve">risk and regulation, </w:t>
      </w:r>
      <w:r w:rsidR="00DC0BD6">
        <w:rPr>
          <w:lang w:bidi="ar-EG"/>
        </w:rPr>
        <w:t>optimize</w:t>
      </w:r>
      <w:r>
        <w:rPr>
          <w:lang w:bidi="ar-EG"/>
        </w:rPr>
        <w:t xml:space="preserve"> your operations or </w:t>
      </w:r>
      <w:r w:rsidR="00DC0BD6">
        <w:rPr>
          <w:lang w:bidi="ar-EG"/>
        </w:rPr>
        <w:t>realize</w:t>
      </w:r>
      <w:r>
        <w:rPr>
          <w:rFonts w:cs="Arial"/>
          <w:rtl/>
          <w:lang w:bidi="ar-EG"/>
        </w:rPr>
        <w:tab/>
      </w:r>
    </w:p>
    <w:p w14:paraId="2FF7E289" w14:textId="77777777" w:rsidR="0096118F" w:rsidRDefault="0096118F" w:rsidP="00E6670A">
      <w:pPr>
        <w:bidi w:val="0"/>
        <w:rPr>
          <w:lang w:bidi="ar-EG"/>
        </w:rPr>
      </w:pPr>
      <w:r>
        <w:rPr>
          <w:lang w:bidi="ar-EG"/>
        </w:rPr>
        <w:t>stakeholder value, we can help you</w:t>
      </w:r>
      <w:r>
        <w:rPr>
          <w:rFonts w:cs="Arial"/>
          <w:rtl/>
          <w:lang w:bidi="ar-EG"/>
        </w:rPr>
        <w:t>.</w:t>
      </w:r>
      <w:r>
        <w:rPr>
          <w:rFonts w:cs="Arial"/>
          <w:rtl/>
          <w:lang w:bidi="ar-EG"/>
        </w:rPr>
        <w:tab/>
      </w:r>
    </w:p>
    <w:p w14:paraId="53BA63EE" w14:textId="77777777" w:rsidR="0096118F" w:rsidRDefault="0096118F" w:rsidP="00E6670A">
      <w:pPr>
        <w:bidi w:val="0"/>
        <w:rPr>
          <w:lang w:bidi="ar-EG"/>
        </w:rPr>
      </w:pPr>
      <w:r>
        <w:rPr>
          <w:lang w:bidi="ar-EG"/>
        </w:rPr>
        <w:t>We’ve got scale, combined with local market understanding</w:t>
      </w:r>
      <w:r>
        <w:rPr>
          <w:rFonts w:cs="Arial"/>
          <w:rtl/>
          <w:lang w:bidi="ar-EG"/>
        </w:rPr>
        <w:t>.</w:t>
      </w:r>
      <w:r>
        <w:rPr>
          <w:rFonts w:cs="Arial"/>
          <w:rtl/>
          <w:lang w:bidi="ar-EG"/>
        </w:rPr>
        <w:tab/>
      </w:r>
    </w:p>
    <w:p w14:paraId="30988A36" w14:textId="21DD17A3" w:rsidR="0096118F" w:rsidRDefault="0096118F" w:rsidP="00E6670A">
      <w:pPr>
        <w:bidi w:val="0"/>
        <w:rPr>
          <w:lang w:bidi="ar-EG"/>
        </w:rPr>
      </w:pPr>
      <w:r>
        <w:rPr>
          <w:lang w:bidi="ar-EG"/>
        </w:rPr>
        <w:t xml:space="preserve">That means we’re everywhere you are, as well as </w:t>
      </w:r>
      <w:proofErr w:type="spellStart"/>
      <w:r>
        <w:rPr>
          <w:lang w:bidi="ar-EG"/>
        </w:rPr>
        <w:t>whe</w:t>
      </w:r>
      <w:proofErr w:type="spellEnd"/>
      <w:r w:rsidR="00DC0BD6">
        <w:rPr>
          <w:lang w:bidi="ar-EG"/>
        </w:rPr>
        <w:t xml:space="preserve"> </w:t>
      </w:r>
      <w:r>
        <w:rPr>
          <w:lang w:bidi="ar-EG"/>
        </w:rPr>
        <w:t>re</w:t>
      </w:r>
      <w:r>
        <w:rPr>
          <w:rFonts w:cs="Arial"/>
          <w:rtl/>
          <w:lang w:bidi="ar-EG"/>
        </w:rPr>
        <w:tab/>
      </w:r>
    </w:p>
    <w:p w14:paraId="66FB10E8" w14:textId="77777777" w:rsidR="0096118F" w:rsidRDefault="0096118F" w:rsidP="00E6670A">
      <w:pPr>
        <w:bidi w:val="0"/>
        <w:rPr>
          <w:lang w:bidi="ar-EG"/>
        </w:rPr>
      </w:pPr>
      <w:r>
        <w:rPr>
          <w:lang w:bidi="ar-EG"/>
        </w:rPr>
        <w:t>you want to be</w:t>
      </w:r>
      <w:r>
        <w:rPr>
          <w:rFonts w:cs="Arial"/>
          <w:rtl/>
          <w:lang w:bidi="ar-EG"/>
        </w:rPr>
        <w:t>.</w:t>
      </w:r>
      <w:r>
        <w:rPr>
          <w:rFonts w:cs="Arial"/>
          <w:rtl/>
          <w:lang w:bidi="ar-EG"/>
        </w:rPr>
        <w:tab/>
      </w:r>
    </w:p>
    <w:p w14:paraId="613657C1" w14:textId="270194FC" w:rsidR="00FA00EB" w:rsidRDefault="0096118F" w:rsidP="00E6670A">
      <w:pPr>
        <w:bidi w:val="0"/>
        <w:rPr>
          <w:lang w:bidi="ar-EG"/>
        </w:rPr>
      </w:pPr>
      <w:r>
        <w:rPr>
          <w:lang w:bidi="ar-EG"/>
        </w:rPr>
        <w:tab/>
        <w:t>Illustrative Corporation Group: IFRS Example Consolidated Financial Statements 1</w:t>
      </w:r>
    </w:p>
    <w:p w14:paraId="02BD4212" w14:textId="77777777" w:rsidR="00FA00EB" w:rsidRDefault="00FA00EB" w:rsidP="00E6670A">
      <w:pPr>
        <w:bidi w:val="0"/>
        <w:rPr>
          <w:lang w:bidi="ar-EG"/>
        </w:rPr>
      </w:pPr>
      <w:r>
        <w:rPr>
          <w:lang w:bidi="ar-EG"/>
        </w:rPr>
        <w:br w:type="page"/>
      </w:r>
    </w:p>
    <w:p w14:paraId="3BF90A71" w14:textId="77777777" w:rsidR="00E6670A" w:rsidRDefault="00E6670A" w:rsidP="00E6670A">
      <w:pPr>
        <w:bidi w:val="0"/>
        <w:rPr>
          <w:lang w:bidi="ar-EG"/>
        </w:rPr>
      </w:pPr>
      <w:r>
        <w:rPr>
          <w:lang w:bidi="ar-EG"/>
        </w:rPr>
        <w:lastRenderedPageBreak/>
        <w:t>Using the Example Financial Statements</w:t>
      </w:r>
      <w:r>
        <w:rPr>
          <w:rFonts w:cs="Arial"/>
          <w:rtl/>
          <w:lang w:bidi="ar-EG"/>
        </w:rPr>
        <w:tab/>
        <w:t>‘</w:t>
      </w:r>
      <w:r>
        <w:rPr>
          <w:lang w:bidi="ar-EG"/>
        </w:rPr>
        <w:t>Most importantly, these</w:t>
      </w:r>
    </w:p>
    <w:p w14:paraId="5C127647" w14:textId="77777777" w:rsidR="00E6670A" w:rsidRDefault="00E6670A" w:rsidP="00E6670A">
      <w:pPr>
        <w:bidi w:val="0"/>
        <w:rPr>
          <w:lang w:bidi="ar-EG"/>
        </w:rPr>
      </w:pPr>
      <w:r>
        <w:rPr>
          <w:lang w:bidi="ar-EG"/>
        </w:rPr>
        <w:t>The Appendices illustrate an alternative presentation of the</w:t>
      </w:r>
      <w:r>
        <w:rPr>
          <w:rFonts w:cs="Arial"/>
          <w:rtl/>
          <w:lang w:bidi="ar-EG"/>
        </w:rPr>
        <w:tab/>
      </w:r>
    </w:p>
    <w:p w14:paraId="4B506AD8" w14:textId="77777777" w:rsidR="00E6670A" w:rsidRDefault="00E6670A" w:rsidP="00E6670A">
      <w:pPr>
        <w:bidi w:val="0"/>
        <w:rPr>
          <w:lang w:bidi="ar-EG"/>
        </w:rPr>
      </w:pPr>
      <w:r>
        <w:rPr>
          <w:lang w:bidi="ar-EG"/>
        </w:rPr>
        <w:t>statement of profit or loss and the statement of comprehensive</w:t>
      </w:r>
      <w:r>
        <w:rPr>
          <w:rFonts w:cs="Arial"/>
          <w:rtl/>
          <w:lang w:bidi="ar-EG"/>
        </w:rPr>
        <w:tab/>
      </w:r>
      <w:r>
        <w:rPr>
          <w:lang w:bidi="ar-EG"/>
        </w:rPr>
        <w:t>Example Financial Statements</w:t>
      </w:r>
    </w:p>
    <w:p w14:paraId="671FAD45" w14:textId="77777777" w:rsidR="00E6670A" w:rsidRDefault="00E6670A" w:rsidP="00E6670A">
      <w:pPr>
        <w:bidi w:val="0"/>
        <w:rPr>
          <w:lang w:bidi="ar-EG"/>
        </w:rPr>
      </w:pPr>
      <w:r>
        <w:rPr>
          <w:lang w:bidi="ar-EG"/>
        </w:rPr>
        <w:t>income and contain an overview of effective dates of</w:t>
      </w:r>
      <w:r>
        <w:rPr>
          <w:rFonts w:cs="Arial"/>
          <w:rtl/>
          <w:lang w:bidi="ar-EG"/>
        </w:rPr>
        <w:tab/>
      </w:r>
    </w:p>
    <w:p w14:paraId="454710E0" w14:textId="77777777" w:rsidR="00E6670A" w:rsidRDefault="00E6670A" w:rsidP="00E6670A">
      <w:pPr>
        <w:bidi w:val="0"/>
        <w:rPr>
          <w:lang w:bidi="ar-EG"/>
        </w:rPr>
      </w:pPr>
      <w:r>
        <w:rPr>
          <w:rFonts w:cs="Arial"/>
          <w:rtl/>
          <w:lang w:bidi="ar-EG"/>
        </w:rPr>
        <w:tab/>
      </w:r>
      <w:r>
        <w:rPr>
          <w:lang w:bidi="ar-EG"/>
        </w:rPr>
        <w:t>should not be used as a</w:t>
      </w:r>
    </w:p>
    <w:p w14:paraId="525F2EED" w14:textId="77777777" w:rsidR="00E6670A" w:rsidRDefault="00E6670A" w:rsidP="00E6670A">
      <w:pPr>
        <w:bidi w:val="0"/>
        <w:rPr>
          <w:lang w:bidi="ar-EG"/>
        </w:rPr>
      </w:pPr>
      <w:r>
        <w:rPr>
          <w:lang w:bidi="ar-EG"/>
        </w:rPr>
        <w:t>new Standards</w:t>
      </w:r>
      <w:r>
        <w:rPr>
          <w:rFonts w:cs="Arial"/>
          <w:rtl/>
          <w:lang w:bidi="ar-EG"/>
        </w:rPr>
        <w:t>.</w:t>
      </w:r>
      <w:r>
        <w:rPr>
          <w:rFonts w:cs="Arial"/>
          <w:rtl/>
          <w:lang w:bidi="ar-EG"/>
        </w:rPr>
        <w:tab/>
      </w:r>
    </w:p>
    <w:p w14:paraId="289813DD" w14:textId="77777777" w:rsidR="00E6670A" w:rsidRDefault="00E6670A" w:rsidP="00E6670A">
      <w:pPr>
        <w:bidi w:val="0"/>
        <w:rPr>
          <w:lang w:bidi="ar-EG"/>
        </w:rPr>
      </w:pPr>
      <w:r>
        <w:rPr>
          <w:lang w:bidi="ar-EG"/>
        </w:rPr>
        <w:t>For guidance on the Standards and Interpretations applied,</w:t>
      </w:r>
      <w:r>
        <w:rPr>
          <w:rFonts w:cs="Arial"/>
          <w:rtl/>
          <w:lang w:bidi="ar-EG"/>
        </w:rPr>
        <w:tab/>
      </w:r>
      <w:r>
        <w:rPr>
          <w:lang w:bidi="ar-EG"/>
        </w:rPr>
        <w:t>disclosure checklist as</w:t>
      </w:r>
    </w:p>
    <w:p w14:paraId="6D3ECFFC" w14:textId="77777777" w:rsidR="00E6670A" w:rsidRDefault="00E6670A" w:rsidP="00E6670A">
      <w:pPr>
        <w:bidi w:val="0"/>
        <w:rPr>
          <w:lang w:bidi="ar-EG"/>
        </w:rPr>
      </w:pPr>
      <w:r>
        <w:rPr>
          <w:lang w:bidi="ar-EG"/>
        </w:rPr>
        <w:t>reference is made to IFRS sources throughout the Example</w:t>
      </w:r>
      <w:r>
        <w:rPr>
          <w:rFonts w:cs="Arial"/>
          <w:rtl/>
          <w:lang w:bidi="ar-EG"/>
        </w:rPr>
        <w:tab/>
      </w:r>
      <w:r>
        <w:rPr>
          <w:lang w:bidi="ar-EG"/>
        </w:rPr>
        <w:t>facts and circumstances</w:t>
      </w:r>
    </w:p>
    <w:p w14:paraId="1DBDFA6C" w14:textId="77777777" w:rsidR="00E6670A" w:rsidRDefault="00E6670A" w:rsidP="00E6670A">
      <w:pPr>
        <w:bidi w:val="0"/>
        <w:rPr>
          <w:lang w:bidi="ar-EG"/>
        </w:rPr>
      </w:pPr>
      <w:r>
        <w:rPr>
          <w:lang w:bidi="ar-EG"/>
        </w:rPr>
        <w:t>Financial Statements on the left-hand side of each page</w:t>
      </w:r>
      <w:r>
        <w:rPr>
          <w:rFonts w:cs="Arial"/>
          <w:rtl/>
          <w:lang w:bidi="ar-EG"/>
        </w:rPr>
        <w:t>.</w:t>
      </w:r>
      <w:r>
        <w:rPr>
          <w:rFonts w:cs="Arial"/>
          <w:rtl/>
          <w:lang w:bidi="ar-EG"/>
        </w:rPr>
        <w:tab/>
      </w:r>
    </w:p>
    <w:p w14:paraId="1C3CCF16" w14:textId="77777777" w:rsidR="00E6670A" w:rsidRDefault="00E6670A" w:rsidP="00E6670A">
      <w:pPr>
        <w:bidi w:val="0"/>
        <w:rPr>
          <w:lang w:bidi="ar-EG"/>
        </w:rPr>
      </w:pPr>
      <w:r>
        <w:rPr>
          <w:lang w:bidi="ar-EG"/>
        </w:rPr>
        <w:t>The Example Financial Statements do not address any</w:t>
      </w:r>
      <w:r>
        <w:rPr>
          <w:rFonts w:cs="Arial"/>
          <w:rtl/>
          <w:lang w:bidi="ar-EG"/>
        </w:rPr>
        <w:tab/>
      </w:r>
      <w:r>
        <w:rPr>
          <w:lang w:bidi="ar-EG"/>
        </w:rPr>
        <w:t>vary between entities and</w:t>
      </w:r>
    </w:p>
    <w:p w14:paraId="63E14E44" w14:textId="77777777" w:rsidR="00E6670A" w:rsidRDefault="00E6670A" w:rsidP="00E6670A">
      <w:pPr>
        <w:bidi w:val="0"/>
        <w:rPr>
          <w:lang w:bidi="ar-EG"/>
        </w:rPr>
      </w:pPr>
      <w:r>
        <w:rPr>
          <w:lang w:bidi="ar-EG"/>
        </w:rPr>
        <w:t>jurisdictional or regulatory requirements in areas such as</w:t>
      </w:r>
      <w:r>
        <w:rPr>
          <w:rFonts w:cs="Arial"/>
          <w:rtl/>
          <w:lang w:bidi="ar-EG"/>
        </w:rPr>
        <w:tab/>
      </w:r>
      <w:r>
        <w:rPr>
          <w:lang w:bidi="ar-EG"/>
        </w:rPr>
        <w:t>each entity should assess</w:t>
      </w:r>
    </w:p>
    <w:p w14:paraId="55846749" w14:textId="77777777" w:rsidR="00E6670A" w:rsidRDefault="00E6670A" w:rsidP="00E6670A">
      <w:pPr>
        <w:bidi w:val="0"/>
        <w:rPr>
          <w:lang w:bidi="ar-EG"/>
        </w:rPr>
      </w:pPr>
      <w:r>
        <w:rPr>
          <w:lang w:bidi="ar-EG"/>
        </w:rPr>
        <w:t>management commentary, remuneration reporting or audit</w:t>
      </w:r>
      <w:r>
        <w:rPr>
          <w:rFonts w:cs="Arial"/>
          <w:rtl/>
          <w:lang w:bidi="ar-EG"/>
        </w:rPr>
        <w:tab/>
      </w:r>
    </w:p>
    <w:p w14:paraId="537B3A87" w14:textId="77777777" w:rsidR="00E6670A" w:rsidRDefault="00E6670A" w:rsidP="00E6670A">
      <w:pPr>
        <w:bidi w:val="0"/>
        <w:rPr>
          <w:lang w:bidi="ar-EG"/>
        </w:rPr>
      </w:pPr>
      <w:r>
        <w:rPr>
          <w:rFonts w:cs="Arial"/>
          <w:rtl/>
          <w:lang w:bidi="ar-EG"/>
        </w:rPr>
        <w:tab/>
      </w:r>
      <w:r>
        <w:rPr>
          <w:lang w:bidi="ar-EG"/>
        </w:rPr>
        <w:t>individually what information</w:t>
      </w:r>
    </w:p>
    <w:p w14:paraId="3981332C" w14:textId="77777777" w:rsidR="00E6670A" w:rsidRDefault="00E6670A" w:rsidP="00E6670A">
      <w:pPr>
        <w:bidi w:val="0"/>
        <w:rPr>
          <w:lang w:bidi="ar-EG"/>
        </w:rPr>
      </w:pPr>
      <w:r>
        <w:rPr>
          <w:lang w:bidi="ar-EG"/>
        </w:rPr>
        <w:t>reporting. They also do not take into account any specific</w:t>
      </w:r>
      <w:r>
        <w:rPr>
          <w:rFonts w:cs="Arial"/>
          <w:rtl/>
          <w:lang w:bidi="ar-EG"/>
        </w:rPr>
        <w:tab/>
      </w:r>
    </w:p>
    <w:p w14:paraId="2C94E891" w14:textId="77777777" w:rsidR="00E6670A" w:rsidRDefault="00E6670A" w:rsidP="00E6670A">
      <w:pPr>
        <w:bidi w:val="0"/>
        <w:rPr>
          <w:lang w:bidi="ar-EG"/>
        </w:rPr>
      </w:pPr>
      <w:r>
        <w:rPr>
          <w:lang w:bidi="ar-EG"/>
        </w:rPr>
        <w:t>economic situations around the world. They do however provide</w:t>
      </w:r>
      <w:r>
        <w:rPr>
          <w:rFonts w:cs="Arial"/>
          <w:rtl/>
          <w:lang w:bidi="ar-EG"/>
        </w:rPr>
        <w:tab/>
      </w:r>
      <w:r>
        <w:rPr>
          <w:lang w:bidi="ar-EG"/>
        </w:rPr>
        <w:t>needs to be disclosed in its</w:t>
      </w:r>
    </w:p>
    <w:p w14:paraId="67AAC463" w14:textId="77777777" w:rsidR="00E6670A" w:rsidRDefault="00E6670A" w:rsidP="00E6670A">
      <w:pPr>
        <w:bidi w:val="0"/>
        <w:rPr>
          <w:lang w:bidi="ar-EG"/>
        </w:rPr>
      </w:pPr>
      <w:r>
        <w:rPr>
          <w:lang w:bidi="ar-EG"/>
        </w:rPr>
        <w:t>commentary around COVID-19 given this has been a global</w:t>
      </w:r>
      <w:r>
        <w:rPr>
          <w:rFonts w:cs="Arial"/>
          <w:rtl/>
          <w:lang w:bidi="ar-EG"/>
        </w:rPr>
        <w:tab/>
      </w:r>
    </w:p>
    <w:p w14:paraId="1D3CEF45" w14:textId="77777777" w:rsidR="00E6670A" w:rsidRDefault="00E6670A" w:rsidP="00E6670A">
      <w:pPr>
        <w:bidi w:val="0"/>
        <w:rPr>
          <w:lang w:bidi="ar-EG"/>
        </w:rPr>
      </w:pPr>
      <w:r>
        <w:rPr>
          <w:lang w:bidi="ar-EG"/>
        </w:rPr>
        <w:t>pandemic impacting virtually every reporting entity that exists.</w:t>
      </w:r>
      <w:r>
        <w:rPr>
          <w:rFonts w:cs="Arial"/>
          <w:rtl/>
          <w:lang w:bidi="ar-EG"/>
        </w:rPr>
        <w:tab/>
      </w:r>
      <w:r>
        <w:rPr>
          <w:lang w:bidi="ar-EG"/>
        </w:rPr>
        <w:t>financial statements</w:t>
      </w:r>
      <w:r>
        <w:rPr>
          <w:rFonts w:cs="Arial"/>
          <w:rtl/>
          <w:lang w:bidi="ar-EG"/>
        </w:rPr>
        <w:t>.’</w:t>
      </w:r>
    </w:p>
    <w:p w14:paraId="45B3F3B9" w14:textId="77777777" w:rsidR="00E6670A" w:rsidRDefault="00E6670A" w:rsidP="00E6670A">
      <w:pPr>
        <w:bidi w:val="0"/>
        <w:rPr>
          <w:lang w:bidi="ar-EG"/>
        </w:rPr>
      </w:pPr>
      <w:r>
        <w:rPr>
          <w:lang w:bidi="ar-EG"/>
        </w:rPr>
        <w:t>Most importantly, these Example Financial Statements</w:t>
      </w:r>
      <w:r>
        <w:rPr>
          <w:rFonts w:cs="Arial"/>
          <w:rtl/>
          <w:lang w:bidi="ar-EG"/>
        </w:rPr>
        <w:tab/>
      </w:r>
    </w:p>
    <w:p w14:paraId="2399C8E4" w14:textId="77777777" w:rsidR="00E6670A" w:rsidRDefault="00E6670A" w:rsidP="00E6670A">
      <w:pPr>
        <w:bidi w:val="0"/>
        <w:rPr>
          <w:lang w:bidi="ar-EG"/>
        </w:rPr>
      </w:pPr>
      <w:r>
        <w:rPr>
          <w:lang w:bidi="ar-EG"/>
        </w:rPr>
        <w:t>should not be used as a disclosure checklist as facts and</w:t>
      </w:r>
      <w:r>
        <w:rPr>
          <w:rFonts w:cs="Arial"/>
          <w:rtl/>
          <w:lang w:bidi="ar-EG"/>
        </w:rPr>
        <w:tab/>
      </w:r>
    </w:p>
    <w:p w14:paraId="5DBC8DA5" w14:textId="77777777" w:rsidR="00E6670A" w:rsidRDefault="00E6670A" w:rsidP="00E6670A">
      <w:pPr>
        <w:bidi w:val="0"/>
        <w:rPr>
          <w:lang w:bidi="ar-EG"/>
        </w:rPr>
      </w:pPr>
      <w:r>
        <w:rPr>
          <w:lang w:bidi="ar-EG"/>
        </w:rPr>
        <w:t>circumstances vary between entities and each entity should</w:t>
      </w:r>
      <w:r>
        <w:rPr>
          <w:rFonts w:cs="Arial"/>
          <w:rtl/>
          <w:lang w:bidi="ar-EG"/>
        </w:rPr>
        <w:tab/>
      </w:r>
    </w:p>
    <w:p w14:paraId="2592E356" w14:textId="77777777" w:rsidR="00E6670A" w:rsidRDefault="00E6670A" w:rsidP="00E6670A">
      <w:pPr>
        <w:bidi w:val="0"/>
        <w:rPr>
          <w:lang w:bidi="ar-EG"/>
        </w:rPr>
      </w:pPr>
      <w:r>
        <w:rPr>
          <w:lang w:bidi="ar-EG"/>
        </w:rPr>
        <w:t>assess individually what information needs to be disclosed in</w:t>
      </w:r>
      <w:r>
        <w:rPr>
          <w:rFonts w:cs="Arial"/>
          <w:rtl/>
          <w:lang w:bidi="ar-EG"/>
        </w:rPr>
        <w:tab/>
      </w:r>
    </w:p>
    <w:p w14:paraId="0F281F68" w14:textId="77777777" w:rsidR="00E6670A" w:rsidRDefault="00E6670A" w:rsidP="00E6670A">
      <w:pPr>
        <w:bidi w:val="0"/>
        <w:rPr>
          <w:lang w:bidi="ar-EG"/>
        </w:rPr>
      </w:pPr>
      <w:r>
        <w:rPr>
          <w:lang w:bidi="ar-EG"/>
        </w:rPr>
        <w:t>its financial statements</w:t>
      </w:r>
      <w:r>
        <w:rPr>
          <w:rFonts w:cs="Arial"/>
          <w:rtl/>
          <w:lang w:bidi="ar-EG"/>
        </w:rPr>
        <w:t>.</w:t>
      </w:r>
      <w:r>
        <w:rPr>
          <w:rFonts w:cs="Arial"/>
          <w:rtl/>
          <w:lang w:bidi="ar-EG"/>
        </w:rPr>
        <w:tab/>
      </w:r>
    </w:p>
    <w:p w14:paraId="11497EFF" w14:textId="77777777" w:rsidR="00E6670A" w:rsidRDefault="00E6670A" w:rsidP="00E6670A">
      <w:pPr>
        <w:bidi w:val="0"/>
        <w:rPr>
          <w:lang w:bidi="ar-EG"/>
        </w:rPr>
      </w:pPr>
      <w:r>
        <w:rPr>
          <w:lang w:bidi="ar-EG"/>
        </w:rPr>
        <w:t>IFRS Taxonomy</w:t>
      </w:r>
      <w:r>
        <w:rPr>
          <w:rFonts w:cs="Arial"/>
          <w:rtl/>
          <w:lang w:bidi="ar-EG"/>
        </w:rPr>
        <w:tab/>
      </w:r>
    </w:p>
    <w:p w14:paraId="4B99C88A" w14:textId="77777777" w:rsidR="00E6670A" w:rsidRDefault="00E6670A" w:rsidP="00E6670A">
      <w:pPr>
        <w:bidi w:val="0"/>
        <w:rPr>
          <w:lang w:bidi="ar-EG"/>
        </w:rPr>
      </w:pPr>
      <w:r>
        <w:rPr>
          <w:lang w:bidi="ar-EG"/>
        </w:rPr>
        <w:t>The IFRS taxonomy reflects the presentation and disclosure</w:t>
      </w:r>
      <w:r>
        <w:rPr>
          <w:rFonts w:cs="Arial"/>
          <w:rtl/>
          <w:lang w:bidi="ar-EG"/>
        </w:rPr>
        <w:tab/>
      </w:r>
    </w:p>
    <w:p w14:paraId="65AF300B" w14:textId="77777777" w:rsidR="00E6670A" w:rsidRDefault="00E6670A" w:rsidP="00E6670A">
      <w:pPr>
        <w:bidi w:val="0"/>
        <w:rPr>
          <w:lang w:bidi="ar-EG"/>
        </w:rPr>
      </w:pPr>
      <w:r>
        <w:rPr>
          <w:lang w:bidi="ar-EG"/>
        </w:rPr>
        <w:t>requirements of the IFRS Standards issued by the IASB. It</w:t>
      </w:r>
      <w:r>
        <w:rPr>
          <w:rFonts w:cs="Arial"/>
          <w:rtl/>
          <w:lang w:bidi="ar-EG"/>
        </w:rPr>
        <w:tab/>
      </w:r>
    </w:p>
    <w:p w14:paraId="0CD31501" w14:textId="77777777" w:rsidR="00E6670A" w:rsidRDefault="00E6670A" w:rsidP="00E6670A">
      <w:pPr>
        <w:bidi w:val="0"/>
        <w:rPr>
          <w:lang w:bidi="ar-EG"/>
        </w:rPr>
      </w:pPr>
      <w:r>
        <w:rPr>
          <w:lang w:bidi="ar-EG"/>
        </w:rPr>
        <w:t>improves communication between prepares and users of IFRS</w:t>
      </w:r>
      <w:r>
        <w:rPr>
          <w:rFonts w:cs="Arial"/>
          <w:rtl/>
          <w:lang w:bidi="ar-EG"/>
        </w:rPr>
        <w:tab/>
      </w:r>
    </w:p>
    <w:p w14:paraId="18D97645" w14:textId="77777777" w:rsidR="00E6670A" w:rsidRDefault="00E6670A" w:rsidP="00E6670A">
      <w:pPr>
        <w:bidi w:val="0"/>
        <w:rPr>
          <w:lang w:bidi="ar-EG"/>
        </w:rPr>
      </w:pPr>
      <w:r>
        <w:rPr>
          <w:lang w:bidi="ar-EG"/>
        </w:rPr>
        <w:t>financial statements by enabling preparers to tag required</w:t>
      </w:r>
      <w:r>
        <w:rPr>
          <w:rFonts w:cs="Arial"/>
          <w:rtl/>
          <w:lang w:bidi="ar-EG"/>
        </w:rPr>
        <w:tab/>
      </w:r>
    </w:p>
    <w:p w14:paraId="699B03AA" w14:textId="77777777" w:rsidR="00E6670A" w:rsidRDefault="00E6670A" w:rsidP="00E6670A">
      <w:pPr>
        <w:bidi w:val="0"/>
        <w:rPr>
          <w:lang w:bidi="ar-EG"/>
        </w:rPr>
      </w:pPr>
      <w:r>
        <w:rPr>
          <w:lang w:bidi="ar-EG"/>
        </w:rPr>
        <w:t>disclosures making them easily accessible when viewing</w:t>
      </w:r>
      <w:r>
        <w:rPr>
          <w:rFonts w:cs="Arial"/>
          <w:rtl/>
          <w:lang w:bidi="ar-EG"/>
        </w:rPr>
        <w:tab/>
      </w:r>
    </w:p>
    <w:p w14:paraId="7AE87F59" w14:textId="77777777" w:rsidR="00E6670A" w:rsidRDefault="00E6670A" w:rsidP="00E6670A">
      <w:pPr>
        <w:bidi w:val="0"/>
        <w:rPr>
          <w:lang w:bidi="ar-EG"/>
        </w:rPr>
      </w:pPr>
      <w:r>
        <w:rPr>
          <w:lang w:bidi="ar-EG"/>
        </w:rPr>
        <w:t>financial statements electronically. The IASB usually publishes</w:t>
      </w:r>
      <w:r>
        <w:rPr>
          <w:rFonts w:cs="Arial"/>
          <w:rtl/>
          <w:lang w:bidi="ar-EG"/>
        </w:rPr>
        <w:tab/>
      </w:r>
    </w:p>
    <w:p w14:paraId="446A7D6E" w14:textId="77777777" w:rsidR="00E6670A" w:rsidRDefault="00E6670A" w:rsidP="00E6670A">
      <w:pPr>
        <w:bidi w:val="0"/>
        <w:rPr>
          <w:lang w:bidi="ar-EG"/>
        </w:rPr>
      </w:pPr>
      <w:r>
        <w:rPr>
          <w:lang w:bidi="ar-EG"/>
        </w:rPr>
        <w:t>the annual IFRS taxonomy in the first quarter of each year</w:t>
      </w:r>
      <w:r>
        <w:rPr>
          <w:rFonts w:cs="Arial"/>
          <w:rtl/>
          <w:lang w:bidi="ar-EG"/>
        </w:rPr>
        <w:t>.</w:t>
      </w:r>
      <w:r>
        <w:rPr>
          <w:rFonts w:cs="Arial"/>
          <w:rtl/>
          <w:lang w:bidi="ar-EG"/>
        </w:rPr>
        <w:tab/>
      </w:r>
    </w:p>
    <w:p w14:paraId="445AC7CB" w14:textId="77777777" w:rsidR="00E6670A" w:rsidRDefault="00E6670A" w:rsidP="00E6670A">
      <w:pPr>
        <w:bidi w:val="0"/>
        <w:rPr>
          <w:lang w:bidi="ar-EG"/>
        </w:rPr>
      </w:pPr>
      <w:r>
        <w:rPr>
          <w:lang w:bidi="ar-EG"/>
        </w:rPr>
        <w:t>Climate-related matters and financial reporting</w:t>
      </w:r>
      <w:r>
        <w:rPr>
          <w:rFonts w:cs="Arial"/>
          <w:rtl/>
          <w:lang w:bidi="ar-EG"/>
        </w:rPr>
        <w:tab/>
      </w:r>
    </w:p>
    <w:p w14:paraId="69AF80A0" w14:textId="77777777" w:rsidR="00E6670A" w:rsidRDefault="00E6670A" w:rsidP="00E6670A">
      <w:pPr>
        <w:bidi w:val="0"/>
        <w:rPr>
          <w:lang w:bidi="ar-EG"/>
        </w:rPr>
      </w:pPr>
      <w:r>
        <w:rPr>
          <w:lang w:bidi="ar-EG"/>
        </w:rPr>
        <w:t>There is an increasing interest in the impact of climate change</w:t>
      </w:r>
      <w:r>
        <w:rPr>
          <w:rFonts w:cs="Arial"/>
          <w:rtl/>
          <w:lang w:bidi="ar-EG"/>
        </w:rPr>
        <w:tab/>
      </w:r>
    </w:p>
    <w:p w14:paraId="0CE657B7" w14:textId="77777777" w:rsidR="00E6670A" w:rsidRDefault="00E6670A" w:rsidP="00E6670A">
      <w:pPr>
        <w:bidi w:val="0"/>
        <w:rPr>
          <w:lang w:bidi="ar-EG"/>
        </w:rPr>
      </w:pPr>
      <w:r>
        <w:rPr>
          <w:lang w:bidi="ar-EG"/>
        </w:rPr>
        <w:t>on an entity’s financial position, financial performance and</w:t>
      </w:r>
      <w:r>
        <w:rPr>
          <w:rFonts w:cs="Arial"/>
          <w:rtl/>
          <w:lang w:bidi="ar-EG"/>
        </w:rPr>
        <w:tab/>
      </w:r>
    </w:p>
    <w:p w14:paraId="7BBFB5EF" w14:textId="77777777" w:rsidR="00E6670A" w:rsidRDefault="00E6670A" w:rsidP="00E6670A">
      <w:pPr>
        <w:bidi w:val="0"/>
        <w:rPr>
          <w:lang w:bidi="ar-EG"/>
        </w:rPr>
      </w:pPr>
      <w:r>
        <w:rPr>
          <w:lang w:bidi="ar-EG"/>
        </w:rPr>
        <w:t>cashflows as well as their business strategies for this. In</w:t>
      </w:r>
      <w:r>
        <w:rPr>
          <w:rFonts w:cs="Arial"/>
          <w:rtl/>
          <w:lang w:bidi="ar-EG"/>
        </w:rPr>
        <w:tab/>
      </w:r>
    </w:p>
    <w:p w14:paraId="04B38358" w14:textId="77777777" w:rsidR="00E6670A" w:rsidRDefault="00E6670A" w:rsidP="00E6670A">
      <w:pPr>
        <w:bidi w:val="0"/>
        <w:rPr>
          <w:lang w:bidi="ar-EG"/>
        </w:rPr>
      </w:pPr>
      <w:r>
        <w:rPr>
          <w:lang w:bidi="ar-EG"/>
        </w:rPr>
        <w:t>November 2020, the IASB released educational material on</w:t>
      </w:r>
      <w:r>
        <w:rPr>
          <w:rFonts w:cs="Arial"/>
          <w:rtl/>
          <w:lang w:bidi="ar-EG"/>
        </w:rPr>
        <w:tab/>
      </w:r>
    </w:p>
    <w:p w14:paraId="75C281A2" w14:textId="77777777" w:rsidR="00E6670A" w:rsidRDefault="00E6670A" w:rsidP="00E6670A">
      <w:pPr>
        <w:bidi w:val="0"/>
        <w:rPr>
          <w:lang w:bidi="ar-EG"/>
        </w:rPr>
      </w:pPr>
      <w:r>
        <w:rPr>
          <w:lang w:bidi="ar-EG"/>
        </w:rPr>
        <w:t>the effects of climate related matters on financial statements</w:t>
      </w:r>
      <w:r>
        <w:rPr>
          <w:rFonts w:cs="Arial"/>
          <w:rtl/>
          <w:lang w:bidi="ar-EG"/>
        </w:rPr>
        <w:tab/>
      </w:r>
    </w:p>
    <w:p w14:paraId="41F42CAC" w14:textId="77777777" w:rsidR="00E6670A" w:rsidRDefault="00E6670A" w:rsidP="00E6670A">
      <w:pPr>
        <w:bidi w:val="0"/>
        <w:rPr>
          <w:lang w:bidi="ar-EG"/>
        </w:rPr>
      </w:pPr>
      <w:r>
        <w:rPr>
          <w:lang w:bidi="ar-EG"/>
        </w:rPr>
        <w:t>prepared applying IFRS Standards. It does not change</w:t>
      </w:r>
      <w:r>
        <w:rPr>
          <w:rFonts w:cs="Arial"/>
          <w:rtl/>
          <w:lang w:bidi="ar-EG"/>
        </w:rPr>
        <w:tab/>
      </w:r>
    </w:p>
    <w:p w14:paraId="4F629009" w14:textId="77777777" w:rsidR="00E6670A" w:rsidRDefault="00E6670A" w:rsidP="00E6670A">
      <w:pPr>
        <w:bidi w:val="0"/>
        <w:rPr>
          <w:lang w:bidi="ar-EG"/>
        </w:rPr>
      </w:pPr>
      <w:r>
        <w:rPr>
          <w:lang w:bidi="ar-EG"/>
        </w:rPr>
        <w:t>existing IFRS requirements, it simply highlights how existing</w:t>
      </w:r>
      <w:r>
        <w:rPr>
          <w:rFonts w:cs="Arial"/>
          <w:rtl/>
          <w:lang w:bidi="ar-EG"/>
        </w:rPr>
        <w:tab/>
      </w:r>
    </w:p>
    <w:p w14:paraId="133C8309" w14:textId="77777777" w:rsidR="00E6670A" w:rsidRDefault="00E6670A" w:rsidP="00E6670A">
      <w:pPr>
        <w:bidi w:val="0"/>
        <w:rPr>
          <w:lang w:bidi="ar-EG"/>
        </w:rPr>
      </w:pPr>
      <w:r>
        <w:rPr>
          <w:lang w:bidi="ar-EG"/>
        </w:rPr>
        <w:t>requirements require entities to consider climate-related</w:t>
      </w:r>
      <w:r>
        <w:rPr>
          <w:rFonts w:cs="Arial"/>
          <w:rtl/>
          <w:lang w:bidi="ar-EG"/>
        </w:rPr>
        <w:tab/>
      </w:r>
    </w:p>
    <w:p w14:paraId="137BBAFA" w14:textId="77777777" w:rsidR="00E6670A" w:rsidRDefault="00E6670A" w:rsidP="00E6670A">
      <w:pPr>
        <w:bidi w:val="0"/>
        <w:rPr>
          <w:lang w:bidi="ar-EG"/>
        </w:rPr>
      </w:pPr>
      <w:r>
        <w:rPr>
          <w:lang w:bidi="ar-EG"/>
        </w:rPr>
        <w:t>matters when the impact to the financial statements is material</w:t>
      </w:r>
      <w:r>
        <w:rPr>
          <w:rFonts w:cs="Arial"/>
          <w:rtl/>
          <w:lang w:bidi="ar-EG"/>
        </w:rPr>
        <w:t>.</w:t>
      </w:r>
      <w:r>
        <w:rPr>
          <w:rFonts w:cs="Arial"/>
          <w:rtl/>
          <w:lang w:bidi="ar-EG"/>
        </w:rPr>
        <w:tab/>
      </w:r>
    </w:p>
    <w:p w14:paraId="0CC0BFF9" w14:textId="77777777" w:rsidR="00E6670A" w:rsidRDefault="00E6670A" w:rsidP="00E6670A">
      <w:pPr>
        <w:bidi w:val="0"/>
        <w:rPr>
          <w:lang w:bidi="ar-EG"/>
        </w:rPr>
      </w:pPr>
      <w:r>
        <w:rPr>
          <w:lang w:bidi="ar-EG"/>
        </w:rPr>
        <w:t>Grant Thornton International Ltd</w:t>
      </w:r>
      <w:r>
        <w:rPr>
          <w:rFonts w:cs="Arial"/>
          <w:rtl/>
          <w:lang w:bidi="ar-EG"/>
        </w:rPr>
        <w:tab/>
      </w:r>
    </w:p>
    <w:p w14:paraId="59915AF1" w14:textId="77777777" w:rsidR="00E6670A" w:rsidRDefault="00E6670A" w:rsidP="00E6670A">
      <w:pPr>
        <w:bidi w:val="0"/>
        <w:rPr>
          <w:lang w:bidi="ar-EG"/>
        </w:rPr>
      </w:pPr>
      <w:r>
        <w:rPr>
          <w:lang w:bidi="ar-EG"/>
        </w:rPr>
        <w:t>November 2021</w:t>
      </w:r>
      <w:r>
        <w:rPr>
          <w:rFonts w:cs="Arial"/>
          <w:rtl/>
          <w:lang w:bidi="ar-EG"/>
        </w:rPr>
        <w:tab/>
      </w:r>
    </w:p>
    <w:p w14:paraId="3FAB3AF5" w14:textId="594CE5C7" w:rsidR="00E6670A" w:rsidRDefault="00E6670A" w:rsidP="00E6670A">
      <w:pPr>
        <w:bidi w:val="0"/>
        <w:rPr>
          <w:rtl/>
          <w:lang w:bidi="ar-EG"/>
        </w:rPr>
      </w:pPr>
      <w:r>
        <w:rPr>
          <w:lang w:bidi="ar-EG"/>
        </w:rPr>
        <w:t>2 Illustrative Corporation Group: IFRS Example Consolidated Financial Statements</w:t>
      </w:r>
      <w:r>
        <w:rPr>
          <w:lang w:bidi="ar-EG"/>
        </w:rPr>
        <w:tab/>
      </w:r>
    </w:p>
    <w:p w14:paraId="7617F33C" w14:textId="77777777" w:rsidR="00E6670A" w:rsidRDefault="00E6670A" w:rsidP="00E6670A">
      <w:pPr>
        <w:bidi w:val="0"/>
        <w:rPr>
          <w:rtl/>
          <w:lang w:bidi="ar-EG"/>
        </w:rPr>
      </w:pPr>
      <w:r>
        <w:rPr>
          <w:rtl/>
          <w:lang w:bidi="ar-EG"/>
        </w:rPr>
        <w:br w:type="page"/>
      </w:r>
    </w:p>
    <w:p w14:paraId="5EE7A36B" w14:textId="77777777" w:rsidR="00E6670A" w:rsidRDefault="00E6670A" w:rsidP="00E6670A">
      <w:pPr>
        <w:bidi w:val="0"/>
        <w:rPr>
          <w:lang w:bidi="ar-EG"/>
        </w:rPr>
      </w:pPr>
      <w:r>
        <w:rPr>
          <w:lang w:bidi="ar-EG"/>
        </w:rPr>
        <w:lastRenderedPageBreak/>
        <w:t>Telling the COVID Story</w:t>
      </w:r>
      <w:r>
        <w:rPr>
          <w:rFonts w:cs="Arial"/>
          <w:rtl/>
          <w:lang w:bidi="ar-EG"/>
        </w:rPr>
        <w:tab/>
      </w:r>
      <w:r>
        <w:rPr>
          <w:rFonts w:cs="Arial"/>
          <w:rtl/>
          <w:lang w:bidi="ar-EG"/>
        </w:rPr>
        <w:tab/>
      </w:r>
    </w:p>
    <w:p w14:paraId="777539C7" w14:textId="77777777" w:rsidR="00E6670A" w:rsidRDefault="00E6670A" w:rsidP="00E6670A">
      <w:pPr>
        <w:bidi w:val="0"/>
        <w:rPr>
          <w:lang w:bidi="ar-EG"/>
        </w:rPr>
      </w:pPr>
      <w:r>
        <w:rPr>
          <w:lang w:bidi="ar-EG"/>
        </w:rPr>
        <w:t>Disclosures outside financial statements</w:t>
      </w:r>
      <w:r>
        <w:rPr>
          <w:rFonts w:cs="Arial"/>
          <w:rtl/>
          <w:lang w:bidi="ar-EG"/>
        </w:rPr>
        <w:tab/>
      </w:r>
      <w:r>
        <w:rPr>
          <w:rFonts w:cs="Arial"/>
          <w:rtl/>
          <w:lang w:bidi="ar-EG"/>
        </w:rPr>
        <w:tab/>
      </w:r>
      <w:r>
        <w:rPr>
          <w:lang w:bidi="ar-EG"/>
        </w:rPr>
        <w:t>When reporting on the economic consequences of the</w:t>
      </w:r>
    </w:p>
    <w:p w14:paraId="6736756F" w14:textId="77777777" w:rsidR="00E6670A" w:rsidRDefault="00E6670A" w:rsidP="00E6670A">
      <w:pPr>
        <w:bidi w:val="0"/>
        <w:rPr>
          <w:lang w:bidi="ar-EG"/>
        </w:rPr>
      </w:pPr>
      <w:r>
        <w:rPr>
          <w:lang w:bidi="ar-EG"/>
        </w:rPr>
        <w:t>The financial statements are just one part of a reporting</w:t>
      </w:r>
      <w:r>
        <w:rPr>
          <w:rFonts w:cs="Arial"/>
          <w:rtl/>
          <w:lang w:bidi="ar-EG"/>
        </w:rPr>
        <w:tab/>
      </w:r>
      <w:r>
        <w:rPr>
          <w:rFonts w:cs="Arial"/>
          <w:rtl/>
          <w:lang w:bidi="ar-EG"/>
        </w:rPr>
        <w:tab/>
      </w:r>
      <w:r>
        <w:rPr>
          <w:lang w:bidi="ar-EG"/>
        </w:rPr>
        <w:t>pandemic on the reporting entity a key factor is considering</w:t>
      </w:r>
    </w:p>
    <w:p w14:paraId="2F442421" w14:textId="77777777" w:rsidR="00E6670A" w:rsidRDefault="00E6670A" w:rsidP="00E6670A">
      <w:pPr>
        <w:bidi w:val="0"/>
        <w:rPr>
          <w:lang w:bidi="ar-EG"/>
        </w:rPr>
      </w:pPr>
      <w:r>
        <w:rPr>
          <w:lang w:bidi="ar-EG"/>
        </w:rPr>
        <w:t>entity’s communication with stakeholders. Depending on</w:t>
      </w:r>
      <w:r>
        <w:rPr>
          <w:rFonts w:cs="Arial"/>
          <w:rtl/>
          <w:lang w:bidi="ar-EG"/>
        </w:rPr>
        <w:tab/>
      </w:r>
      <w:r>
        <w:rPr>
          <w:rFonts w:cs="Arial"/>
          <w:rtl/>
          <w:lang w:bidi="ar-EG"/>
        </w:rPr>
        <w:tab/>
      </w:r>
      <w:r>
        <w:rPr>
          <w:lang w:bidi="ar-EG"/>
        </w:rPr>
        <w:t>whether the message is communicated in a consistent and</w:t>
      </w:r>
    </w:p>
    <w:p w14:paraId="642AC2AE" w14:textId="77777777" w:rsidR="00E6670A" w:rsidRDefault="00E6670A" w:rsidP="00E6670A">
      <w:pPr>
        <w:bidi w:val="0"/>
        <w:rPr>
          <w:lang w:bidi="ar-EG"/>
        </w:rPr>
      </w:pPr>
      <w:r>
        <w:rPr>
          <w:lang w:bidi="ar-EG"/>
        </w:rPr>
        <w:t>jurisdictional requirements, an annual report typically</w:t>
      </w:r>
      <w:r>
        <w:rPr>
          <w:rFonts w:cs="Arial"/>
          <w:rtl/>
          <w:lang w:bidi="ar-EG"/>
        </w:rPr>
        <w:tab/>
      </w:r>
      <w:r>
        <w:rPr>
          <w:rFonts w:cs="Arial"/>
          <w:rtl/>
          <w:lang w:bidi="ar-EG"/>
        </w:rPr>
        <w:tab/>
      </w:r>
      <w:r>
        <w:rPr>
          <w:lang w:bidi="ar-EG"/>
        </w:rPr>
        <w:t>coherent way. It should always align with any narrative</w:t>
      </w:r>
    </w:p>
    <w:p w14:paraId="577B6BFE" w14:textId="77777777" w:rsidR="00E6670A" w:rsidRDefault="00E6670A" w:rsidP="00E6670A">
      <w:pPr>
        <w:bidi w:val="0"/>
        <w:rPr>
          <w:lang w:bidi="ar-EG"/>
        </w:rPr>
      </w:pPr>
      <w:r>
        <w:rPr>
          <w:lang w:bidi="ar-EG"/>
        </w:rPr>
        <w:t>includes the financial statements, a management</w:t>
      </w:r>
      <w:r>
        <w:rPr>
          <w:rFonts w:cs="Arial"/>
          <w:rtl/>
          <w:lang w:bidi="ar-EG"/>
        </w:rPr>
        <w:tab/>
      </w:r>
      <w:r>
        <w:rPr>
          <w:rFonts w:cs="Arial"/>
          <w:rtl/>
          <w:lang w:bidi="ar-EG"/>
        </w:rPr>
        <w:tab/>
      </w:r>
      <w:r>
        <w:rPr>
          <w:lang w:bidi="ar-EG"/>
        </w:rPr>
        <w:t>contained elsewhere in the annual report</w:t>
      </w:r>
      <w:r>
        <w:rPr>
          <w:rFonts w:cs="Arial"/>
          <w:rtl/>
          <w:lang w:bidi="ar-EG"/>
        </w:rPr>
        <w:t>.</w:t>
      </w:r>
    </w:p>
    <w:p w14:paraId="34EAE6DC" w14:textId="77777777" w:rsidR="00E6670A" w:rsidRDefault="00E6670A" w:rsidP="00E6670A">
      <w:pPr>
        <w:bidi w:val="0"/>
        <w:rPr>
          <w:lang w:bidi="ar-EG"/>
        </w:rPr>
      </w:pPr>
      <w:r>
        <w:rPr>
          <w:lang w:bidi="ar-EG"/>
        </w:rPr>
        <w:t>commentary and information about governance, strategy</w:t>
      </w:r>
      <w:r>
        <w:rPr>
          <w:rFonts w:cs="Arial"/>
          <w:rtl/>
          <w:lang w:bidi="ar-EG"/>
        </w:rPr>
        <w:tab/>
      </w:r>
      <w:r>
        <w:rPr>
          <w:rFonts w:cs="Arial"/>
          <w:rtl/>
          <w:lang w:bidi="ar-EG"/>
        </w:rPr>
        <w:tab/>
      </w:r>
    </w:p>
    <w:p w14:paraId="32A75BDE" w14:textId="77777777" w:rsidR="00E6670A" w:rsidRDefault="00E6670A" w:rsidP="00E6670A">
      <w:pPr>
        <w:bidi w:val="0"/>
        <w:rPr>
          <w:lang w:bidi="ar-EG"/>
        </w:rPr>
      </w:pPr>
      <w:r>
        <w:rPr>
          <w:lang w:bidi="ar-EG"/>
        </w:rPr>
        <w:t>and business developments (often including corporate and</w:t>
      </w:r>
      <w:r>
        <w:rPr>
          <w:rFonts w:cs="Arial"/>
          <w:rtl/>
          <w:lang w:bidi="ar-EG"/>
        </w:rPr>
        <w:tab/>
      </w:r>
      <w:r>
        <w:rPr>
          <w:rFonts w:cs="Arial"/>
          <w:rtl/>
          <w:lang w:bidi="ar-EG"/>
        </w:rPr>
        <w:tab/>
      </w:r>
      <w:r>
        <w:rPr>
          <w:lang w:bidi="ar-EG"/>
        </w:rPr>
        <w:t>Our view when drafting content for the annual report and</w:t>
      </w:r>
    </w:p>
    <w:p w14:paraId="597C143C" w14:textId="77777777" w:rsidR="00E6670A" w:rsidRDefault="00E6670A" w:rsidP="00E6670A">
      <w:pPr>
        <w:bidi w:val="0"/>
        <w:rPr>
          <w:lang w:bidi="ar-EG"/>
        </w:rPr>
      </w:pPr>
      <w:r>
        <w:rPr>
          <w:lang w:bidi="ar-EG"/>
        </w:rPr>
        <w:t>social responsibility). It is important the annual report is</w:t>
      </w:r>
      <w:r>
        <w:rPr>
          <w:rFonts w:cs="Arial"/>
          <w:rtl/>
          <w:lang w:bidi="ar-EG"/>
        </w:rPr>
        <w:tab/>
      </w:r>
      <w:r>
        <w:rPr>
          <w:rFonts w:cs="Arial"/>
          <w:rtl/>
          <w:lang w:bidi="ar-EG"/>
        </w:rPr>
        <w:tab/>
      </w:r>
      <w:r>
        <w:rPr>
          <w:lang w:bidi="ar-EG"/>
        </w:rPr>
        <w:t>the financial statements, is that preparers should question</w:t>
      </w:r>
      <w:r>
        <w:rPr>
          <w:rFonts w:cs="Arial"/>
          <w:rtl/>
          <w:lang w:bidi="ar-EG"/>
        </w:rPr>
        <w:t>:</w:t>
      </w:r>
    </w:p>
    <w:p w14:paraId="082131AB" w14:textId="77777777" w:rsidR="00E6670A" w:rsidRDefault="00E6670A" w:rsidP="00E6670A">
      <w:pPr>
        <w:bidi w:val="0"/>
        <w:rPr>
          <w:lang w:bidi="ar-EG"/>
        </w:rPr>
      </w:pPr>
      <w:r>
        <w:rPr>
          <w:lang w:bidi="ar-EG"/>
        </w:rPr>
        <w:t>considered holistically to ensure it delivers a consistent and</w:t>
      </w:r>
      <w:r>
        <w:rPr>
          <w:rFonts w:cs="Arial"/>
          <w:rtl/>
          <w:lang w:bidi="ar-EG"/>
        </w:rPr>
        <w:tab/>
        <w:t>•</w:t>
      </w:r>
      <w:r>
        <w:rPr>
          <w:rFonts w:cs="Arial"/>
          <w:rtl/>
          <w:lang w:bidi="ar-EG"/>
        </w:rPr>
        <w:tab/>
      </w:r>
      <w:r>
        <w:rPr>
          <w:lang w:bidi="ar-EG"/>
        </w:rPr>
        <w:t>what is important to the business and what are its main</w:t>
      </w:r>
    </w:p>
    <w:p w14:paraId="7C7B27DD" w14:textId="77777777" w:rsidR="00E6670A" w:rsidRDefault="00E6670A" w:rsidP="00E6670A">
      <w:pPr>
        <w:bidi w:val="0"/>
        <w:rPr>
          <w:lang w:bidi="ar-EG"/>
        </w:rPr>
      </w:pPr>
      <w:r>
        <w:rPr>
          <w:lang w:bidi="ar-EG"/>
        </w:rPr>
        <w:t>coherent message about COVID-19 to investors and other</w:t>
      </w:r>
      <w:r>
        <w:rPr>
          <w:rFonts w:cs="Arial"/>
          <w:rtl/>
          <w:lang w:bidi="ar-EG"/>
        </w:rPr>
        <w:tab/>
      </w:r>
      <w:r>
        <w:rPr>
          <w:rFonts w:cs="Arial"/>
          <w:rtl/>
          <w:lang w:bidi="ar-EG"/>
        </w:rPr>
        <w:tab/>
      </w:r>
      <w:r>
        <w:rPr>
          <w:lang w:bidi="ar-EG"/>
        </w:rPr>
        <w:t>objectives</w:t>
      </w:r>
      <w:r>
        <w:rPr>
          <w:rFonts w:cs="Arial"/>
          <w:rtl/>
          <w:lang w:bidi="ar-EG"/>
        </w:rPr>
        <w:t>?</w:t>
      </w:r>
    </w:p>
    <w:p w14:paraId="1BB532B6" w14:textId="77777777" w:rsidR="00E6670A" w:rsidRDefault="00E6670A" w:rsidP="00E6670A">
      <w:pPr>
        <w:bidi w:val="0"/>
        <w:rPr>
          <w:lang w:bidi="ar-EG"/>
        </w:rPr>
      </w:pPr>
      <w:r>
        <w:rPr>
          <w:lang w:bidi="ar-EG"/>
        </w:rPr>
        <w:t>stakeholders (‘users’).</w:t>
      </w:r>
      <w:r>
        <w:rPr>
          <w:rFonts w:cs="Arial"/>
          <w:rtl/>
          <w:lang w:bidi="ar-EG"/>
        </w:rPr>
        <w:tab/>
      </w:r>
      <w:r>
        <w:rPr>
          <w:lang w:bidi="ar-EG"/>
        </w:rPr>
        <w:t>•</w:t>
      </w:r>
      <w:r>
        <w:rPr>
          <w:rFonts w:cs="Arial"/>
          <w:rtl/>
          <w:lang w:bidi="ar-EG"/>
        </w:rPr>
        <w:tab/>
      </w:r>
      <w:r>
        <w:rPr>
          <w:lang w:bidi="ar-EG"/>
        </w:rPr>
        <w:t>are these objectives consistent throughout the annual</w:t>
      </w:r>
    </w:p>
    <w:p w14:paraId="1167397A" w14:textId="77777777" w:rsidR="00E6670A" w:rsidRDefault="00E6670A" w:rsidP="00E6670A">
      <w:pPr>
        <w:bidi w:val="0"/>
        <w:rPr>
          <w:lang w:bidi="ar-EG"/>
        </w:rPr>
      </w:pPr>
      <w:r>
        <w:rPr>
          <w:rFonts w:cs="Arial"/>
          <w:rtl/>
          <w:lang w:bidi="ar-EG"/>
        </w:rPr>
        <w:tab/>
      </w:r>
      <w:r>
        <w:rPr>
          <w:rFonts w:cs="Arial"/>
          <w:rtl/>
          <w:lang w:bidi="ar-EG"/>
        </w:rPr>
        <w:tab/>
      </w:r>
      <w:r>
        <w:rPr>
          <w:lang w:bidi="ar-EG"/>
        </w:rPr>
        <w:t>report</w:t>
      </w:r>
      <w:r>
        <w:rPr>
          <w:rFonts w:cs="Arial"/>
          <w:rtl/>
          <w:lang w:bidi="ar-EG"/>
        </w:rPr>
        <w:t>?</w:t>
      </w:r>
    </w:p>
    <w:p w14:paraId="4014AA21" w14:textId="77777777" w:rsidR="00E6670A" w:rsidRDefault="00E6670A" w:rsidP="00E6670A">
      <w:pPr>
        <w:bidi w:val="0"/>
        <w:rPr>
          <w:lang w:bidi="ar-EG"/>
        </w:rPr>
      </w:pPr>
      <w:r>
        <w:rPr>
          <w:lang w:bidi="ar-EG"/>
        </w:rPr>
        <w:t>IAS 1 ‘Presentation of Financial Statements’ acknowledges</w:t>
      </w:r>
      <w:r>
        <w:rPr>
          <w:rFonts w:cs="Arial"/>
          <w:rtl/>
          <w:lang w:bidi="ar-EG"/>
        </w:rPr>
        <w:tab/>
        <w:t>•</w:t>
      </w:r>
      <w:r>
        <w:rPr>
          <w:rFonts w:cs="Arial"/>
          <w:rtl/>
          <w:lang w:bidi="ar-EG"/>
        </w:rPr>
        <w:tab/>
      </w:r>
      <w:r>
        <w:rPr>
          <w:lang w:bidi="ar-EG"/>
        </w:rPr>
        <w:t>is the right level of emphasis being placed on disclosures</w:t>
      </w:r>
    </w:p>
    <w:p w14:paraId="73CF7F4A" w14:textId="77777777" w:rsidR="00E6670A" w:rsidRDefault="00E6670A" w:rsidP="00E6670A">
      <w:pPr>
        <w:bidi w:val="0"/>
        <w:rPr>
          <w:lang w:bidi="ar-EG"/>
        </w:rPr>
      </w:pPr>
      <w:r>
        <w:rPr>
          <w:lang w:bidi="ar-EG"/>
        </w:rPr>
        <w:t>an entity may present, outside the financial statements,</w:t>
      </w:r>
      <w:r>
        <w:rPr>
          <w:rFonts w:cs="Arial"/>
          <w:rtl/>
          <w:lang w:bidi="ar-EG"/>
        </w:rPr>
        <w:tab/>
      </w:r>
      <w:r>
        <w:rPr>
          <w:rFonts w:cs="Arial"/>
          <w:rtl/>
          <w:lang w:bidi="ar-EG"/>
        </w:rPr>
        <w:tab/>
      </w:r>
      <w:r>
        <w:rPr>
          <w:lang w:bidi="ar-EG"/>
        </w:rPr>
        <w:t>relating to COVID-19</w:t>
      </w:r>
      <w:r>
        <w:rPr>
          <w:rFonts w:cs="Arial"/>
          <w:rtl/>
          <w:lang w:bidi="ar-EG"/>
        </w:rPr>
        <w:t>?</w:t>
      </w:r>
    </w:p>
    <w:p w14:paraId="7A5328C6" w14:textId="77777777" w:rsidR="00E6670A" w:rsidRDefault="00E6670A" w:rsidP="00E6670A">
      <w:pPr>
        <w:bidi w:val="0"/>
        <w:rPr>
          <w:lang w:bidi="ar-EG"/>
        </w:rPr>
      </w:pPr>
      <w:r>
        <w:rPr>
          <w:lang w:bidi="ar-EG"/>
        </w:rPr>
        <w:t>a financial review that describes and explains the main</w:t>
      </w:r>
      <w:r>
        <w:rPr>
          <w:rFonts w:cs="Arial"/>
          <w:rtl/>
          <w:lang w:bidi="ar-EG"/>
        </w:rPr>
        <w:tab/>
        <w:t>•</w:t>
      </w:r>
      <w:r>
        <w:rPr>
          <w:rFonts w:cs="Arial"/>
          <w:rtl/>
          <w:lang w:bidi="ar-EG"/>
        </w:rPr>
        <w:tab/>
      </w:r>
      <w:r>
        <w:rPr>
          <w:lang w:bidi="ar-EG"/>
        </w:rPr>
        <w:t>are the messages about the impact of COVID-19</w:t>
      </w:r>
    </w:p>
    <w:p w14:paraId="63502D89" w14:textId="77777777" w:rsidR="00E6670A" w:rsidRDefault="00E6670A" w:rsidP="00E6670A">
      <w:pPr>
        <w:bidi w:val="0"/>
        <w:rPr>
          <w:lang w:bidi="ar-EG"/>
        </w:rPr>
      </w:pPr>
      <w:r>
        <w:rPr>
          <w:lang w:bidi="ar-EG"/>
        </w:rPr>
        <w:t xml:space="preserve">features of the </w:t>
      </w:r>
      <w:proofErr w:type="spellStart"/>
      <w:r>
        <w:rPr>
          <w:lang w:bidi="ar-EG"/>
        </w:rPr>
        <w:t>organisation’s</w:t>
      </w:r>
      <w:proofErr w:type="spellEnd"/>
      <w:r>
        <w:rPr>
          <w:lang w:bidi="ar-EG"/>
        </w:rPr>
        <w:t xml:space="preserve"> financial performance</w:t>
      </w:r>
      <w:r>
        <w:rPr>
          <w:rFonts w:cs="Arial"/>
          <w:rtl/>
          <w:lang w:bidi="ar-EG"/>
        </w:rPr>
        <w:tab/>
      </w:r>
      <w:r>
        <w:rPr>
          <w:rFonts w:cs="Arial"/>
          <w:rtl/>
          <w:lang w:bidi="ar-EG"/>
        </w:rPr>
        <w:tab/>
      </w:r>
      <w:r>
        <w:rPr>
          <w:lang w:bidi="ar-EG"/>
        </w:rPr>
        <w:t>consistent</w:t>
      </w:r>
      <w:r>
        <w:rPr>
          <w:rFonts w:cs="Arial"/>
          <w:rtl/>
          <w:lang w:bidi="ar-EG"/>
        </w:rPr>
        <w:t>?</w:t>
      </w:r>
    </w:p>
    <w:p w14:paraId="15EFD97B" w14:textId="77777777" w:rsidR="00E6670A" w:rsidRDefault="00E6670A" w:rsidP="00E6670A">
      <w:pPr>
        <w:bidi w:val="0"/>
        <w:rPr>
          <w:lang w:bidi="ar-EG"/>
        </w:rPr>
      </w:pPr>
      <w:r>
        <w:rPr>
          <w:lang w:bidi="ar-EG"/>
        </w:rPr>
        <w:t>(including cashflows) and financial position, both locally and</w:t>
      </w:r>
      <w:r>
        <w:rPr>
          <w:rFonts w:cs="Arial"/>
          <w:rtl/>
          <w:lang w:bidi="ar-EG"/>
        </w:rPr>
        <w:tab/>
        <w:t>•</w:t>
      </w:r>
      <w:r>
        <w:rPr>
          <w:rFonts w:cs="Arial"/>
          <w:rtl/>
          <w:lang w:bidi="ar-EG"/>
        </w:rPr>
        <w:tab/>
      </w:r>
      <w:r>
        <w:rPr>
          <w:lang w:bidi="ar-EG"/>
        </w:rPr>
        <w:t>is the disclosure sufficient for the reader to be able to</w:t>
      </w:r>
    </w:p>
    <w:p w14:paraId="2D770F10" w14:textId="77777777" w:rsidR="00E6670A" w:rsidRDefault="00E6670A" w:rsidP="00E6670A">
      <w:pPr>
        <w:bidi w:val="0"/>
        <w:rPr>
          <w:lang w:bidi="ar-EG"/>
        </w:rPr>
      </w:pPr>
      <w:r>
        <w:rPr>
          <w:lang w:bidi="ar-EG"/>
        </w:rPr>
        <w:t>internationally. Reports and statements presented outside</w:t>
      </w:r>
      <w:r>
        <w:rPr>
          <w:rFonts w:cs="Arial"/>
          <w:rtl/>
          <w:lang w:bidi="ar-EG"/>
        </w:rPr>
        <w:tab/>
      </w:r>
      <w:r>
        <w:rPr>
          <w:rFonts w:cs="Arial"/>
          <w:rtl/>
          <w:lang w:bidi="ar-EG"/>
        </w:rPr>
        <w:tab/>
      </w:r>
      <w:r>
        <w:rPr>
          <w:lang w:bidi="ar-EG"/>
        </w:rPr>
        <w:t>understand the impact of COVID-19 on the entity and</w:t>
      </w:r>
    </w:p>
    <w:p w14:paraId="4B89A850" w14:textId="77777777" w:rsidR="00E6670A" w:rsidRDefault="00E6670A" w:rsidP="00E6670A">
      <w:pPr>
        <w:bidi w:val="0"/>
        <w:rPr>
          <w:lang w:bidi="ar-EG"/>
        </w:rPr>
      </w:pPr>
      <w:r>
        <w:rPr>
          <w:lang w:bidi="ar-EG"/>
        </w:rPr>
        <w:t>financial statements are outside the scope of IFRS.</w:t>
      </w:r>
      <w:r>
        <w:rPr>
          <w:rFonts w:cs="Arial"/>
          <w:rtl/>
          <w:lang w:bidi="ar-EG"/>
        </w:rPr>
        <w:tab/>
      </w:r>
      <w:r>
        <w:rPr>
          <w:rFonts w:cs="Arial"/>
          <w:rtl/>
          <w:lang w:bidi="ar-EG"/>
        </w:rPr>
        <w:tab/>
      </w:r>
      <w:r>
        <w:rPr>
          <w:lang w:bidi="ar-EG"/>
        </w:rPr>
        <w:t>assist them in making economic decisions</w:t>
      </w:r>
      <w:r>
        <w:rPr>
          <w:rFonts w:cs="Arial"/>
          <w:rtl/>
          <w:lang w:bidi="ar-EG"/>
        </w:rPr>
        <w:t>?</w:t>
      </w:r>
    </w:p>
    <w:p w14:paraId="7B0AD42F" w14:textId="77777777" w:rsidR="00E6670A" w:rsidRDefault="00E6670A" w:rsidP="00E6670A">
      <w:pPr>
        <w:bidi w:val="0"/>
        <w:rPr>
          <w:lang w:bidi="ar-EG"/>
        </w:rPr>
      </w:pPr>
      <w:r>
        <w:rPr>
          <w:rFonts w:cs="Arial"/>
          <w:rtl/>
          <w:lang w:bidi="ar-EG"/>
        </w:rPr>
        <w:tab/>
        <w:t>•</w:t>
      </w:r>
      <w:r>
        <w:rPr>
          <w:rFonts w:cs="Arial"/>
          <w:rtl/>
          <w:lang w:bidi="ar-EG"/>
        </w:rPr>
        <w:tab/>
      </w:r>
      <w:r>
        <w:rPr>
          <w:lang w:bidi="ar-EG"/>
        </w:rPr>
        <w:t>are the financial statements using the same terminology</w:t>
      </w:r>
    </w:p>
    <w:p w14:paraId="697B0815" w14:textId="77777777" w:rsidR="00E6670A" w:rsidRDefault="00E6670A" w:rsidP="00E6670A">
      <w:pPr>
        <w:bidi w:val="0"/>
        <w:rPr>
          <w:lang w:bidi="ar-EG"/>
        </w:rPr>
      </w:pPr>
      <w:r>
        <w:rPr>
          <w:lang w:bidi="ar-EG"/>
        </w:rPr>
        <w:t>Even though reports and statements outside financial</w:t>
      </w:r>
      <w:r>
        <w:rPr>
          <w:rFonts w:cs="Arial"/>
          <w:rtl/>
          <w:lang w:bidi="ar-EG"/>
        </w:rPr>
        <w:tab/>
      </w:r>
      <w:r>
        <w:rPr>
          <w:rFonts w:cs="Arial"/>
          <w:rtl/>
          <w:lang w:bidi="ar-EG"/>
        </w:rPr>
        <w:tab/>
      </w:r>
      <w:r>
        <w:rPr>
          <w:lang w:bidi="ar-EG"/>
        </w:rPr>
        <w:t>between the financial statements, management</w:t>
      </w:r>
    </w:p>
    <w:p w14:paraId="2FF1F4F5" w14:textId="77777777" w:rsidR="00E6670A" w:rsidRDefault="00E6670A" w:rsidP="00E6670A">
      <w:pPr>
        <w:bidi w:val="0"/>
        <w:rPr>
          <w:lang w:bidi="ar-EG"/>
        </w:rPr>
      </w:pPr>
      <w:r>
        <w:rPr>
          <w:lang w:bidi="ar-EG"/>
        </w:rPr>
        <w:t>statements are excluded from the scope of IFRS, they are</w:t>
      </w:r>
      <w:r>
        <w:rPr>
          <w:rFonts w:cs="Arial"/>
          <w:rtl/>
          <w:lang w:bidi="ar-EG"/>
        </w:rPr>
        <w:tab/>
      </w:r>
      <w:r>
        <w:rPr>
          <w:rFonts w:cs="Arial"/>
          <w:rtl/>
          <w:lang w:bidi="ar-EG"/>
        </w:rPr>
        <w:tab/>
      </w:r>
      <w:r>
        <w:rPr>
          <w:lang w:bidi="ar-EG"/>
        </w:rPr>
        <w:t>commentary and any APMs that are being referred</w:t>
      </w:r>
    </w:p>
    <w:p w14:paraId="704F20FC" w14:textId="77777777" w:rsidR="00E6670A" w:rsidRDefault="00E6670A" w:rsidP="00E6670A">
      <w:pPr>
        <w:bidi w:val="0"/>
        <w:rPr>
          <w:lang w:bidi="ar-EG"/>
        </w:rPr>
      </w:pPr>
      <w:r>
        <w:rPr>
          <w:lang w:bidi="ar-EG"/>
        </w:rPr>
        <w:t>not outside of scope of domestic regulation. If users are told</w:t>
      </w:r>
      <w:r>
        <w:rPr>
          <w:rFonts w:cs="Arial"/>
          <w:rtl/>
          <w:lang w:bidi="ar-EG"/>
        </w:rPr>
        <w:tab/>
      </w:r>
      <w:r>
        <w:rPr>
          <w:rFonts w:cs="Arial"/>
          <w:rtl/>
          <w:lang w:bidi="ar-EG"/>
        </w:rPr>
        <w:tab/>
      </w:r>
      <w:r>
        <w:rPr>
          <w:lang w:bidi="ar-EG"/>
        </w:rPr>
        <w:t>to? For example, if the statement of financial position</w:t>
      </w:r>
    </w:p>
    <w:p w14:paraId="26B1566A" w14:textId="77777777" w:rsidR="00E6670A" w:rsidRDefault="00E6670A" w:rsidP="00E6670A">
      <w:pPr>
        <w:bidi w:val="0"/>
        <w:rPr>
          <w:lang w:bidi="ar-EG"/>
        </w:rPr>
      </w:pPr>
      <w:r>
        <w:rPr>
          <w:lang w:bidi="ar-EG"/>
        </w:rPr>
        <w:t>what they need to know in a well-constructed and logical</w:t>
      </w:r>
      <w:r>
        <w:rPr>
          <w:rFonts w:cs="Arial"/>
          <w:rtl/>
          <w:lang w:bidi="ar-EG"/>
        </w:rPr>
        <w:tab/>
      </w:r>
      <w:r>
        <w:rPr>
          <w:rFonts w:cs="Arial"/>
          <w:rtl/>
          <w:lang w:bidi="ar-EG"/>
        </w:rPr>
        <w:tab/>
      </w:r>
      <w:r>
        <w:rPr>
          <w:lang w:bidi="ar-EG"/>
        </w:rPr>
        <w:t>is referred to as the balance sheet, is reference to the</w:t>
      </w:r>
    </w:p>
    <w:p w14:paraId="7C4CE583" w14:textId="77777777" w:rsidR="00E6670A" w:rsidRDefault="00E6670A" w:rsidP="00E6670A">
      <w:pPr>
        <w:bidi w:val="0"/>
        <w:rPr>
          <w:lang w:bidi="ar-EG"/>
        </w:rPr>
      </w:pPr>
      <w:r>
        <w:rPr>
          <w:lang w:bidi="ar-EG"/>
        </w:rPr>
        <w:t>manner, it is highly likely the reporting entity will have</w:t>
      </w:r>
      <w:r>
        <w:rPr>
          <w:rFonts w:cs="Arial"/>
          <w:rtl/>
          <w:lang w:bidi="ar-EG"/>
        </w:rPr>
        <w:tab/>
      </w:r>
      <w:r>
        <w:rPr>
          <w:rFonts w:cs="Arial"/>
          <w:rtl/>
          <w:lang w:bidi="ar-EG"/>
        </w:rPr>
        <w:tab/>
      </w:r>
      <w:r>
        <w:rPr>
          <w:lang w:bidi="ar-EG"/>
        </w:rPr>
        <w:t>balance sheet made consistently throughout the report</w:t>
      </w:r>
      <w:r>
        <w:rPr>
          <w:rFonts w:cs="Arial"/>
          <w:rtl/>
          <w:lang w:bidi="ar-EG"/>
        </w:rPr>
        <w:t xml:space="preserve"> –</w:t>
      </w:r>
    </w:p>
    <w:p w14:paraId="2D0DDDF5" w14:textId="77777777" w:rsidR="00E6670A" w:rsidRDefault="00E6670A" w:rsidP="00E6670A">
      <w:pPr>
        <w:bidi w:val="0"/>
        <w:rPr>
          <w:lang w:bidi="ar-EG"/>
        </w:rPr>
      </w:pPr>
      <w:r>
        <w:rPr>
          <w:lang w:bidi="ar-EG"/>
        </w:rPr>
        <w:t>done a great deal to comply and satisfy local regulatory</w:t>
      </w:r>
      <w:r>
        <w:rPr>
          <w:rFonts w:cs="Arial"/>
          <w:rtl/>
          <w:lang w:bidi="ar-EG"/>
        </w:rPr>
        <w:tab/>
      </w:r>
      <w:r>
        <w:rPr>
          <w:rFonts w:cs="Arial"/>
          <w:rtl/>
          <w:lang w:bidi="ar-EG"/>
        </w:rPr>
        <w:tab/>
      </w:r>
      <w:r>
        <w:rPr>
          <w:lang w:bidi="ar-EG"/>
        </w:rPr>
        <w:t>rather than switching between the two titles for the same</w:t>
      </w:r>
    </w:p>
    <w:p w14:paraId="0808D427" w14:textId="77777777" w:rsidR="00E6670A" w:rsidRDefault="00E6670A" w:rsidP="00E6670A">
      <w:pPr>
        <w:bidi w:val="0"/>
        <w:rPr>
          <w:lang w:bidi="ar-EG"/>
        </w:rPr>
      </w:pPr>
      <w:r>
        <w:rPr>
          <w:lang w:bidi="ar-EG"/>
        </w:rPr>
        <w:t>requirements. In certain jurisdictions there may be certain</w:t>
      </w:r>
      <w:r>
        <w:rPr>
          <w:rFonts w:cs="Arial"/>
          <w:rtl/>
          <w:lang w:bidi="ar-EG"/>
        </w:rPr>
        <w:tab/>
      </w:r>
      <w:r>
        <w:rPr>
          <w:rFonts w:cs="Arial"/>
          <w:rtl/>
          <w:lang w:bidi="ar-EG"/>
        </w:rPr>
        <w:tab/>
      </w:r>
      <w:r>
        <w:rPr>
          <w:lang w:bidi="ar-EG"/>
        </w:rPr>
        <w:t>primary financial statement</w:t>
      </w:r>
      <w:r>
        <w:rPr>
          <w:rFonts w:cs="Arial"/>
          <w:rtl/>
          <w:lang w:bidi="ar-EG"/>
        </w:rPr>
        <w:t>?</w:t>
      </w:r>
    </w:p>
    <w:p w14:paraId="55BF8EF8" w14:textId="77777777" w:rsidR="00E6670A" w:rsidRDefault="00E6670A" w:rsidP="00E6670A">
      <w:pPr>
        <w:bidi w:val="0"/>
        <w:rPr>
          <w:lang w:bidi="ar-EG"/>
        </w:rPr>
      </w:pPr>
      <w:r>
        <w:rPr>
          <w:lang w:bidi="ar-EG"/>
        </w:rPr>
        <w:t>reconciliations required between alternative performance</w:t>
      </w:r>
      <w:r>
        <w:rPr>
          <w:rFonts w:cs="Arial"/>
          <w:rtl/>
          <w:lang w:bidi="ar-EG"/>
        </w:rPr>
        <w:tab/>
        <w:t>•</w:t>
      </w:r>
      <w:r>
        <w:rPr>
          <w:rFonts w:cs="Arial"/>
          <w:rtl/>
          <w:lang w:bidi="ar-EG"/>
        </w:rPr>
        <w:tab/>
      </w:r>
      <w:r>
        <w:rPr>
          <w:lang w:bidi="ar-EG"/>
        </w:rPr>
        <w:t>where the annual report includes alternative performance</w:t>
      </w:r>
    </w:p>
    <w:p w14:paraId="30DC9FC7" w14:textId="77777777" w:rsidR="00E6670A" w:rsidRDefault="00E6670A" w:rsidP="00E6670A">
      <w:pPr>
        <w:bidi w:val="0"/>
        <w:rPr>
          <w:lang w:bidi="ar-EG"/>
        </w:rPr>
      </w:pPr>
      <w:r>
        <w:rPr>
          <w:lang w:bidi="ar-EG"/>
        </w:rPr>
        <w:t>measures (APMs) and IFRS.</w:t>
      </w:r>
      <w:r>
        <w:rPr>
          <w:rFonts w:cs="Arial"/>
          <w:rtl/>
          <w:lang w:bidi="ar-EG"/>
        </w:rPr>
        <w:tab/>
      </w:r>
      <w:r>
        <w:rPr>
          <w:rFonts w:cs="Arial"/>
          <w:rtl/>
          <w:lang w:bidi="ar-EG"/>
        </w:rPr>
        <w:tab/>
      </w:r>
      <w:r>
        <w:rPr>
          <w:lang w:bidi="ar-EG"/>
        </w:rPr>
        <w:t>measures (APMs), have they all been properly reconciled</w:t>
      </w:r>
    </w:p>
    <w:p w14:paraId="1AEA6D69" w14:textId="77777777" w:rsidR="00E6670A" w:rsidRDefault="00E6670A" w:rsidP="00E6670A">
      <w:pPr>
        <w:bidi w:val="0"/>
        <w:rPr>
          <w:lang w:bidi="ar-EG"/>
        </w:rPr>
      </w:pPr>
      <w:r>
        <w:rPr>
          <w:lang w:bidi="ar-EG"/>
        </w:rPr>
        <w:t>Remember it is always important to make sure certain</w:t>
      </w:r>
      <w:r>
        <w:rPr>
          <w:rFonts w:cs="Arial"/>
          <w:rtl/>
          <w:lang w:bidi="ar-EG"/>
        </w:rPr>
        <w:tab/>
      </w:r>
      <w:r>
        <w:rPr>
          <w:rFonts w:cs="Arial"/>
          <w:rtl/>
          <w:lang w:bidi="ar-EG"/>
        </w:rPr>
        <w:tab/>
      </w:r>
      <w:r>
        <w:rPr>
          <w:lang w:bidi="ar-EG"/>
        </w:rPr>
        <w:t>to IFRS-based amounts included in the financial</w:t>
      </w:r>
    </w:p>
    <w:p w14:paraId="2E742000" w14:textId="77777777" w:rsidR="00E6670A" w:rsidRDefault="00E6670A" w:rsidP="00E6670A">
      <w:pPr>
        <w:bidi w:val="0"/>
        <w:rPr>
          <w:lang w:bidi="ar-EG"/>
        </w:rPr>
      </w:pPr>
      <w:r>
        <w:rPr>
          <w:lang w:bidi="ar-EG"/>
        </w:rPr>
        <w:t>required information is placed either in the primary</w:t>
      </w:r>
      <w:r>
        <w:rPr>
          <w:rFonts w:cs="Arial"/>
          <w:rtl/>
          <w:lang w:bidi="ar-EG"/>
        </w:rPr>
        <w:tab/>
      </w:r>
      <w:r>
        <w:rPr>
          <w:rFonts w:cs="Arial"/>
          <w:rtl/>
          <w:lang w:bidi="ar-EG"/>
        </w:rPr>
        <w:tab/>
      </w:r>
      <w:r>
        <w:rPr>
          <w:lang w:bidi="ar-EG"/>
        </w:rPr>
        <w:t>statements</w:t>
      </w:r>
      <w:r>
        <w:rPr>
          <w:rFonts w:cs="Arial"/>
          <w:rtl/>
          <w:lang w:bidi="ar-EG"/>
        </w:rPr>
        <w:t>?</w:t>
      </w:r>
    </w:p>
    <w:p w14:paraId="37FC6516" w14:textId="77777777" w:rsidR="00E6670A" w:rsidRDefault="00E6670A" w:rsidP="00E6670A">
      <w:pPr>
        <w:bidi w:val="0"/>
        <w:rPr>
          <w:lang w:bidi="ar-EG"/>
        </w:rPr>
      </w:pPr>
      <w:r>
        <w:rPr>
          <w:lang w:bidi="ar-EG"/>
        </w:rPr>
        <w:t>financial statements or in the notes to the financial</w:t>
      </w:r>
      <w:r>
        <w:rPr>
          <w:rFonts w:cs="Arial"/>
          <w:rtl/>
          <w:lang w:bidi="ar-EG"/>
        </w:rPr>
        <w:tab/>
        <w:t>•</w:t>
      </w:r>
      <w:r>
        <w:rPr>
          <w:rFonts w:cs="Arial"/>
          <w:rtl/>
          <w:lang w:bidi="ar-EG"/>
        </w:rPr>
        <w:tab/>
      </w:r>
      <w:r>
        <w:rPr>
          <w:lang w:bidi="ar-EG"/>
        </w:rPr>
        <w:t>if any changes have been made to assumptions in light</w:t>
      </w:r>
    </w:p>
    <w:p w14:paraId="68BEC299" w14:textId="77777777" w:rsidR="00E6670A" w:rsidRDefault="00E6670A" w:rsidP="00E6670A">
      <w:pPr>
        <w:bidi w:val="0"/>
        <w:rPr>
          <w:lang w:bidi="ar-EG"/>
        </w:rPr>
      </w:pPr>
      <w:r>
        <w:rPr>
          <w:lang w:bidi="ar-EG"/>
        </w:rPr>
        <w:t>statements. Particular attention should be given to</w:t>
      </w:r>
      <w:r>
        <w:rPr>
          <w:rFonts w:cs="Arial"/>
          <w:rtl/>
          <w:lang w:bidi="ar-EG"/>
        </w:rPr>
        <w:tab/>
      </w:r>
      <w:r>
        <w:rPr>
          <w:rFonts w:cs="Arial"/>
          <w:rtl/>
          <w:lang w:bidi="ar-EG"/>
        </w:rPr>
        <w:tab/>
      </w:r>
      <w:r>
        <w:rPr>
          <w:lang w:bidi="ar-EG"/>
        </w:rPr>
        <w:t>of the pandemic since the entity last reported or if any</w:t>
      </w:r>
    </w:p>
    <w:p w14:paraId="793C5DF7" w14:textId="77777777" w:rsidR="00E6670A" w:rsidRDefault="00E6670A" w:rsidP="00E6670A">
      <w:pPr>
        <w:bidi w:val="0"/>
        <w:rPr>
          <w:lang w:bidi="ar-EG"/>
        </w:rPr>
      </w:pPr>
      <w:r>
        <w:rPr>
          <w:lang w:bidi="ar-EG"/>
        </w:rPr>
        <w:t>making sure any disclosures placed outside the financial</w:t>
      </w:r>
      <w:r>
        <w:rPr>
          <w:rFonts w:cs="Arial"/>
          <w:rtl/>
          <w:lang w:bidi="ar-EG"/>
        </w:rPr>
        <w:tab/>
      </w:r>
      <w:r>
        <w:rPr>
          <w:rFonts w:cs="Arial"/>
          <w:rtl/>
          <w:lang w:bidi="ar-EG"/>
        </w:rPr>
        <w:tab/>
      </w:r>
      <w:r>
        <w:rPr>
          <w:lang w:bidi="ar-EG"/>
        </w:rPr>
        <w:t>new assumptions have been made, has a full explanation</w:t>
      </w:r>
    </w:p>
    <w:p w14:paraId="1BEDCCA3" w14:textId="77777777" w:rsidR="00E6670A" w:rsidRDefault="00E6670A" w:rsidP="00E6670A">
      <w:pPr>
        <w:bidi w:val="0"/>
        <w:rPr>
          <w:lang w:bidi="ar-EG"/>
        </w:rPr>
      </w:pPr>
      <w:r>
        <w:rPr>
          <w:lang w:bidi="ar-EG"/>
        </w:rPr>
        <w:t>statements are not required by IFRS to be included within</w:t>
      </w:r>
      <w:r>
        <w:rPr>
          <w:rFonts w:cs="Arial"/>
          <w:rtl/>
          <w:lang w:bidi="ar-EG"/>
        </w:rPr>
        <w:tab/>
      </w:r>
      <w:r>
        <w:rPr>
          <w:rFonts w:cs="Arial"/>
          <w:rtl/>
          <w:lang w:bidi="ar-EG"/>
        </w:rPr>
        <w:tab/>
      </w:r>
      <w:r>
        <w:rPr>
          <w:lang w:bidi="ar-EG"/>
        </w:rPr>
        <w:t>of these changes and their impact on the financial</w:t>
      </w:r>
    </w:p>
    <w:p w14:paraId="0CD03F17" w14:textId="77777777" w:rsidR="00E6670A" w:rsidRDefault="00E6670A" w:rsidP="00E6670A">
      <w:pPr>
        <w:bidi w:val="0"/>
        <w:rPr>
          <w:lang w:bidi="ar-EG"/>
        </w:rPr>
      </w:pPr>
      <w:r>
        <w:rPr>
          <w:lang w:bidi="ar-EG"/>
        </w:rPr>
        <w:t>the financial statements.</w:t>
      </w:r>
      <w:r>
        <w:rPr>
          <w:rFonts w:cs="Arial"/>
          <w:rtl/>
          <w:lang w:bidi="ar-EG"/>
        </w:rPr>
        <w:tab/>
      </w:r>
      <w:r>
        <w:rPr>
          <w:rFonts w:cs="Arial"/>
          <w:rtl/>
          <w:lang w:bidi="ar-EG"/>
        </w:rPr>
        <w:tab/>
      </w:r>
      <w:r>
        <w:rPr>
          <w:lang w:bidi="ar-EG"/>
        </w:rPr>
        <w:t>statements been disclosed</w:t>
      </w:r>
      <w:r>
        <w:rPr>
          <w:rFonts w:cs="Arial"/>
          <w:rtl/>
          <w:lang w:bidi="ar-EG"/>
        </w:rPr>
        <w:t>?</w:t>
      </w:r>
    </w:p>
    <w:p w14:paraId="2C111FD6" w14:textId="77777777" w:rsidR="00E6670A" w:rsidRDefault="00E6670A" w:rsidP="00E6670A">
      <w:pPr>
        <w:bidi w:val="0"/>
        <w:rPr>
          <w:lang w:bidi="ar-EG"/>
        </w:rPr>
      </w:pPr>
      <w:r>
        <w:rPr>
          <w:rFonts w:cs="Arial"/>
          <w:rtl/>
          <w:lang w:bidi="ar-EG"/>
        </w:rPr>
        <w:tab/>
      </w:r>
      <w:r>
        <w:rPr>
          <w:rFonts w:cs="Arial"/>
          <w:rtl/>
          <w:lang w:bidi="ar-EG"/>
        </w:rPr>
        <w:tab/>
      </w:r>
      <w:r>
        <w:rPr>
          <w:lang w:bidi="ar-EG"/>
        </w:rPr>
        <w:t>For more information, please refer to our article on</w:t>
      </w:r>
    </w:p>
    <w:p w14:paraId="27FF1D59" w14:textId="77777777" w:rsidR="00E6670A" w:rsidRDefault="00E6670A" w:rsidP="00E6670A">
      <w:pPr>
        <w:bidi w:val="0"/>
        <w:rPr>
          <w:lang w:bidi="ar-EG"/>
        </w:rPr>
      </w:pPr>
      <w:r>
        <w:rPr>
          <w:rFonts w:cs="Arial"/>
          <w:rtl/>
          <w:lang w:bidi="ar-EG"/>
        </w:rPr>
        <w:tab/>
      </w:r>
      <w:r>
        <w:rPr>
          <w:rFonts w:cs="Arial"/>
          <w:rtl/>
          <w:lang w:bidi="ar-EG"/>
        </w:rPr>
        <w:tab/>
      </w:r>
      <w:r>
        <w:rPr>
          <w:lang w:bidi="ar-EG"/>
        </w:rPr>
        <w:t>COVID 19: Alternative performance measures</w:t>
      </w:r>
      <w:r>
        <w:rPr>
          <w:rFonts w:cs="Arial"/>
          <w:rtl/>
          <w:lang w:bidi="ar-EG"/>
        </w:rPr>
        <w:t>.</w:t>
      </w:r>
    </w:p>
    <w:p w14:paraId="29B9D5D4" w14:textId="1405D5F1" w:rsidR="00E6670A" w:rsidRDefault="00E6670A" w:rsidP="00E6670A">
      <w:pPr>
        <w:bidi w:val="0"/>
        <w:rPr>
          <w:rtl/>
          <w:lang w:bidi="ar-EG"/>
        </w:rPr>
      </w:pPr>
      <w:r>
        <w:rPr>
          <w:lang w:bidi="ar-EG"/>
        </w:rPr>
        <w:tab/>
      </w:r>
      <w:r>
        <w:rPr>
          <w:lang w:bidi="ar-EG"/>
        </w:rPr>
        <w:tab/>
        <w:t>Illustrative Corporation Group: IFRS Example Consolidated Financial Statements 3</w:t>
      </w:r>
    </w:p>
    <w:p w14:paraId="3EED30AE" w14:textId="77777777" w:rsidR="00E6670A" w:rsidRDefault="00E6670A" w:rsidP="00E6670A">
      <w:pPr>
        <w:bidi w:val="0"/>
        <w:rPr>
          <w:rtl/>
          <w:lang w:bidi="ar-EG"/>
        </w:rPr>
      </w:pPr>
      <w:r>
        <w:rPr>
          <w:rtl/>
          <w:lang w:bidi="ar-EG"/>
        </w:rPr>
        <w:br w:type="page"/>
      </w:r>
    </w:p>
    <w:p w14:paraId="20AF8EA6" w14:textId="77777777" w:rsidR="00E6670A" w:rsidRDefault="00E6670A" w:rsidP="00E6670A">
      <w:pPr>
        <w:bidi w:val="0"/>
        <w:rPr>
          <w:lang w:bidi="ar-EG"/>
        </w:rPr>
      </w:pPr>
      <w:r>
        <w:rPr>
          <w:lang w:bidi="ar-EG"/>
        </w:rPr>
        <w:lastRenderedPageBreak/>
        <w:t>IFRS Example Consolidated</w:t>
      </w:r>
      <w:r>
        <w:rPr>
          <w:rFonts w:cs="Arial"/>
          <w:rtl/>
          <w:lang w:bidi="ar-EG"/>
        </w:rPr>
        <w:tab/>
      </w:r>
      <w:r>
        <w:rPr>
          <w:rFonts w:cs="Arial"/>
          <w:rtl/>
          <w:lang w:bidi="ar-EG"/>
        </w:rPr>
        <w:tab/>
      </w:r>
      <w:r>
        <w:rPr>
          <w:rFonts w:cs="Arial"/>
          <w:rtl/>
          <w:lang w:bidi="ar-EG"/>
        </w:rPr>
        <w:tab/>
      </w:r>
    </w:p>
    <w:p w14:paraId="0A00292F" w14:textId="77777777" w:rsidR="00E6670A" w:rsidRDefault="00E6670A" w:rsidP="00E6670A">
      <w:pPr>
        <w:bidi w:val="0"/>
        <w:rPr>
          <w:lang w:bidi="ar-EG"/>
        </w:rPr>
      </w:pPr>
      <w:r>
        <w:rPr>
          <w:lang w:bidi="ar-EG"/>
        </w:rPr>
        <w:t>Financial Statements</w:t>
      </w:r>
      <w:r>
        <w:rPr>
          <w:rFonts w:cs="Arial"/>
          <w:rtl/>
          <w:lang w:bidi="ar-EG"/>
        </w:rPr>
        <w:tab/>
      </w:r>
      <w:r>
        <w:rPr>
          <w:rFonts w:cs="Arial"/>
          <w:rtl/>
          <w:lang w:bidi="ar-EG"/>
        </w:rPr>
        <w:tab/>
      </w:r>
      <w:r>
        <w:rPr>
          <w:rFonts w:cs="Arial"/>
          <w:rtl/>
          <w:lang w:bidi="ar-EG"/>
        </w:rPr>
        <w:tab/>
      </w:r>
    </w:p>
    <w:p w14:paraId="4338B05D" w14:textId="77777777" w:rsidR="00E6670A" w:rsidRDefault="00E6670A" w:rsidP="00E6670A">
      <w:pPr>
        <w:bidi w:val="0"/>
        <w:rPr>
          <w:lang w:bidi="ar-EG"/>
        </w:rPr>
      </w:pPr>
      <w:r>
        <w:rPr>
          <w:lang w:bidi="ar-EG"/>
        </w:rPr>
        <w:t>Illustrative Corporation Group</w:t>
      </w:r>
      <w:r>
        <w:rPr>
          <w:rFonts w:cs="Arial"/>
          <w:rtl/>
          <w:lang w:bidi="ar-EG"/>
        </w:rPr>
        <w:tab/>
      </w:r>
      <w:r>
        <w:rPr>
          <w:rFonts w:cs="Arial"/>
          <w:rtl/>
          <w:lang w:bidi="ar-EG"/>
        </w:rPr>
        <w:tab/>
      </w:r>
      <w:r>
        <w:rPr>
          <w:rFonts w:cs="Arial"/>
          <w:rtl/>
          <w:lang w:bidi="ar-EG"/>
        </w:rPr>
        <w:tab/>
      </w:r>
    </w:p>
    <w:p w14:paraId="70D2B3C7" w14:textId="77777777" w:rsidR="00E6670A" w:rsidRDefault="00E6670A" w:rsidP="00E6670A">
      <w:pPr>
        <w:bidi w:val="0"/>
        <w:rPr>
          <w:lang w:bidi="ar-EG"/>
        </w:rPr>
      </w:pPr>
      <w:r>
        <w:rPr>
          <w:lang w:bidi="ar-EG"/>
        </w:rPr>
        <w:t>31</w:t>
      </w:r>
      <w:r>
        <w:rPr>
          <w:rFonts w:cs="Arial"/>
          <w:rtl/>
          <w:lang w:bidi="ar-EG"/>
        </w:rPr>
        <w:t xml:space="preserve"> </w:t>
      </w:r>
      <w:r>
        <w:rPr>
          <w:lang w:bidi="ar-EG"/>
        </w:rPr>
        <w:t>December 2021</w:t>
      </w:r>
      <w:r>
        <w:rPr>
          <w:rFonts w:cs="Arial"/>
          <w:rtl/>
          <w:lang w:bidi="ar-EG"/>
        </w:rPr>
        <w:tab/>
      </w:r>
      <w:r>
        <w:rPr>
          <w:rFonts w:cs="Arial"/>
          <w:rtl/>
          <w:lang w:bidi="ar-EG"/>
        </w:rPr>
        <w:tab/>
      </w:r>
      <w:r>
        <w:rPr>
          <w:rFonts w:cs="Arial"/>
          <w:rtl/>
          <w:lang w:bidi="ar-EG"/>
        </w:rPr>
        <w:tab/>
      </w:r>
    </w:p>
    <w:p w14:paraId="5E47CAE2" w14:textId="77777777" w:rsidR="00E6670A" w:rsidRDefault="00E6670A" w:rsidP="00E6670A">
      <w:pPr>
        <w:bidi w:val="0"/>
        <w:rPr>
          <w:lang w:bidi="ar-EG"/>
        </w:rPr>
      </w:pPr>
      <w:r>
        <w:rPr>
          <w:rFonts w:cs="Arial"/>
          <w:rtl/>
          <w:lang w:bidi="ar-EG"/>
        </w:rPr>
        <w:tab/>
      </w:r>
      <w:r>
        <w:rPr>
          <w:rFonts w:cs="Arial"/>
          <w:rtl/>
          <w:lang w:bidi="ar-EG"/>
        </w:rPr>
        <w:tab/>
      </w:r>
      <w:r>
        <w:rPr>
          <w:rFonts w:cs="Arial"/>
          <w:rtl/>
          <w:lang w:bidi="ar-EG"/>
        </w:rPr>
        <w:tab/>
        <w:t>[</w:t>
      </w:r>
      <w:r>
        <w:rPr>
          <w:lang w:bidi="ar-EG"/>
        </w:rPr>
        <w:t>image</w:t>
      </w:r>
      <w:r>
        <w:rPr>
          <w:rFonts w:cs="Arial"/>
          <w:rtl/>
          <w:lang w:bidi="ar-EG"/>
        </w:rPr>
        <w:t>]</w:t>
      </w:r>
    </w:p>
    <w:p w14:paraId="033F2808" w14:textId="77777777" w:rsidR="00E6670A" w:rsidRDefault="00E6670A" w:rsidP="00E6670A">
      <w:pPr>
        <w:bidi w:val="0"/>
        <w:rPr>
          <w:lang w:bidi="ar-EG"/>
        </w:rPr>
      </w:pPr>
      <w:r>
        <w:rPr>
          <w:rFonts w:cs="Arial"/>
          <w:rtl/>
          <w:lang w:bidi="ar-EG"/>
        </w:rPr>
        <w:tab/>
      </w:r>
      <w:r>
        <w:rPr>
          <w:rFonts w:cs="Arial"/>
          <w:rtl/>
          <w:lang w:bidi="ar-EG"/>
        </w:rPr>
        <w:tab/>
      </w:r>
      <w:r>
        <w:rPr>
          <w:lang w:bidi="ar-EG"/>
        </w:rPr>
        <w:t>[image] [image]</w:t>
      </w:r>
      <w:r>
        <w:rPr>
          <w:rFonts w:cs="Arial"/>
          <w:rtl/>
          <w:lang w:bidi="ar-EG"/>
        </w:rPr>
        <w:tab/>
      </w:r>
    </w:p>
    <w:p w14:paraId="28EF6BE9" w14:textId="77777777" w:rsidR="00E6670A" w:rsidRDefault="00E6670A" w:rsidP="00E6670A">
      <w:pPr>
        <w:bidi w:val="0"/>
        <w:rPr>
          <w:lang w:bidi="ar-EG"/>
        </w:rPr>
      </w:pPr>
      <w:r>
        <w:rPr>
          <w:rFonts w:cs="Arial"/>
          <w:rtl/>
          <w:lang w:bidi="ar-EG"/>
        </w:rPr>
        <w:tab/>
        <w:t>[</w:t>
      </w:r>
      <w:r>
        <w:rPr>
          <w:lang w:bidi="ar-EG"/>
        </w:rPr>
        <w:t>image</w:t>
      </w:r>
      <w:r>
        <w:rPr>
          <w:rFonts w:cs="Arial"/>
          <w:rtl/>
          <w:lang w:bidi="ar-EG"/>
        </w:rPr>
        <w:t>]</w:t>
      </w:r>
      <w:r>
        <w:rPr>
          <w:rFonts w:cs="Arial"/>
          <w:rtl/>
          <w:lang w:bidi="ar-EG"/>
        </w:rPr>
        <w:tab/>
      </w:r>
      <w:r>
        <w:rPr>
          <w:rFonts w:cs="Arial"/>
          <w:rtl/>
          <w:lang w:bidi="ar-EG"/>
        </w:rPr>
        <w:tab/>
      </w:r>
    </w:p>
    <w:p w14:paraId="5A79151E" w14:textId="77777777" w:rsidR="00E6670A" w:rsidRDefault="00E6670A" w:rsidP="00E6670A">
      <w:pPr>
        <w:bidi w:val="0"/>
        <w:rPr>
          <w:lang w:bidi="ar-EG"/>
        </w:rPr>
      </w:pPr>
      <w:r>
        <w:rPr>
          <w:lang w:bidi="ar-EG"/>
        </w:rPr>
        <w:t>[image]</w:t>
      </w:r>
      <w:r>
        <w:rPr>
          <w:lang w:bidi="ar-EG"/>
        </w:rPr>
        <w:tab/>
      </w:r>
      <w:r>
        <w:rPr>
          <w:lang w:bidi="ar-EG"/>
        </w:rPr>
        <w:tab/>
      </w:r>
    </w:p>
    <w:p w14:paraId="2006AC12" w14:textId="77777777" w:rsidR="00E6670A" w:rsidRDefault="00E6670A">
      <w:pPr>
        <w:bidi w:val="0"/>
        <w:rPr>
          <w:lang w:bidi="ar-EG"/>
        </w:rPr>
      </w:pPr>
      <w:r>
        <w:rPr>
          <w:lang w:bidi="ar-EG"/>
        </w:rPr>
        <w:br w:type="page"/>
      </w:r>
    </w:p>
    <w:p w14:paraId="4D7846B2" w14:textId="77777777" w:rsidR="00E6670A" w:rsidRDefault="00E6670A" w:rsidP="00E6670A">
      <w:pPr>
        <w:bidi w:val="0"/>
        <w:rPr>
          <w:lang w:bidi="ar-EG"/>
        </w:rPr>
      </w:pPr>
      <w:r>
        <w:rPr>
          <w:rFonts w:cs="Arial"/>
          <w:rtl/>
          <w:lang w:bidi="ar-EG"/>
        </w:rPr>
        <w:lastRenderedPageBreak/>
        <w:tab/>
      </w:r>
      <w:r>
        <w:rPr>
          <w:lang w:bidi="ar-EG"/>
        </w:rPr>
        <w:t>Consolidated statement of</w:t>
      </w:r>
      <w:r>
        <w:rPr>
          <w:rFonts w:cs="Arial"/>
          <w:rtl/>
          <w:lang w:bidi="ar-EG"/>
        </w:rPr>
        <w:tab/>
      </w:r>
      <w:r>
        <w:rPr>
          <w:rFonts w:cs="Arial"/>
          <w:rtl/>
          <w:lang w:bidi="ar-EG"/>
        </w:rPr>
        <w:tab/>
      </w:r>
    </w:p>
    <w:p w14:paraId="1A3D0464" w14:textId="77777777" w:rsidR="00E6670A" w:rsidRDefault="00E6670A" w:rsidP="00E6670A">
      <w:pPr>
        <w:bidi w:val="0"/>
        <w:rPr>
          <w:lang w:bidi="ar-EG"/>
        </w:rPr>
      </w:pPr>
      <w:r>
        <w:rPr>
          <w:rFonts w:cs="Arial"/>
          <w:rtl/>
          <w:lang w:bidi="ar-EG"/>
        </w:rPr>
        <w:tab/>
      </w:r>
      <w:r>
        <w:rPr>
          <w:lang w:bidi="ar-EG"/>
        </w:rPr>
        <w:t>profit or loss</w:t>
      </w:r>
      <w:r>
        <w:rPr>
          <w:rFonts w:cs="Arial"/>
          <w:rtl/>
          <w:lang w:bidi="ar-EG"/>
        </w:rPr>
        <w:tab/>
      </w:r>
      <w:r>
        <w:rPr>
          <w:rFonts w:cs="Arial"/>
          <w:rtl/>
          <w:lang w:bidi="ar-EG"/>
        </w:rPr>
        <w:tab/>
      </w:r>
    </w:p>
    <w:p w14:paraId="31DE2F1F" w14:textId="77777777" w:rsidR="00E6670A" w:rsidRDefault="00E6670A" w:rsidP="00E6670A">
      <w:pPr>
        <w:bidi w:val="0"/>
        <w:rPr>
          <w:lang w:bidi="ar-EG"/>
        </w:rPr>
      </w:pPr>
      <w:r>
        <w:rPr>
          <w:rFonts w:cs="Arial"/>
          <w:rtl/>
          <w:lang w:bidi="ar-EG"/>
        </w:rPr>
        <w:tab/>
      </w:r>
      <w:r>
        <w:rPr>
          <w:lang w:bidi="ar-EG"/>
        </w:rPr>
        <w:t>For the year ended 31 December 2021</w:t>
      </w:r>
      <w:r>
        <w:rPr>
          <w:rFonts w:cs="Arial"/>
          <w:rtl/>
          <w:lang w:bidi="ar-EG"/>
        </w:rPr>
        <w:tab/>
      </w:r>
      <w:r>
        <w:rPr>
          <w:rFonts w:cs="Arial"/>
          <w:rtl/>
          <w:lang w:bidi="ar-EG"/>
        </w:rPr>
        <w:tab/>
      </w:r>
    </w:p>
    <w:p w14:paraId="33C273FB" w14:textId="77777777" w:rsidR="00E6670A" w:rsidRDefault="00E6670A" w:rsidP="00E6670A">
      <w:pPr>
        <w:bidi w:val="0"/>
        <w:rPr>
          <w:lang w:bidi="ar-EG"/>
        </w:rPr>
      </w:pPr>
      <w:r>
        <w:rPr>
          <w:rFonts w:cs="Arial"/>
          <w:rtl/>
          <w:lang w:bidi="ar-EG"/>
        </w:rPr>
        <w:tab/>
        <w:t>(</w:t>
      </w:r>
      <w:r>
        <w:rPr>
          <w:lang w:bidi="ar-EG"/>
        </w:rPr>
        <w:t>expressed in thousands of Euroland currency units, except per share amounts</w:t>
      </w:r>
      <w:r>
        <w:rPr>
          <w:rFonts w:cs="Arial"/>
          <w:rtl/>
          <w:lang w:bidi="ar-EG"/>
        </w:rPr>
        <w:t>)</w:t>
      </w:r>
      <w:r>
        <w:rPr>
          <w:rFonts w:cs="Arial"/>
          <w:rtl/>
          <w:lang w:bidi="ar-EG"/>
        </w:rPr>
        <w:tab/>
      </w:r>
      <w:r>
        <w:rPr>
          <w:rFonts w:cs="Arial"/>
          <w:rtl/>
          <w:lang w:bidi="ar-EG"/>
        </w:rPr>
        <w:tab/>
      </w:r>
    </w:p>
    <w:p w14:paraId="45E8351B" w14:textId="77777777" w:rsidR="00E6670A" w:rsidRDefault="00E6670A" w:rsidP="00E6670A">
      <w:pPr>
        <w:bidi w:val="0"/>
        <w:rPr>
          <w:lang w:bidi="ar-EG"/>
        </w:rPr>
      </w:pPr>
      <w:r>
        <w:rPr>
          <w:rFonts w:cs="Arial"/>
          <w:rtl/>
          <w:lang w:bidi="ar-EG"/>
        </w:rPr>
        <w:tab/>
      </w:r>
      <w:r>
        <w:rPr>
          <w:lang w:bidi="ar-EG"/>
        </w:rPr>
        <w:t>Telling the COVID Story</w:t>
      </w:r>
      <w:r>
        <w:rPr>
          <w:rFonts w:cs="Arial"/>
          <w:rtl/>
          <w:lang w:bidi="ar-EG"/>
        </w:rPr>
        <w:tab/>
      </w:r>
      <w:r>
        <w:rPr>
          <w:rFonts w:cs="Arial"/>
          <w:rtl/>
          <w:lang w:bidi="ar-EG"/>
        </w:rPr>
        <w:tab/>
      </w:r>
    </w:p>
    <w:p w14:paraId="784A2D3D" w14:textId="77777777" w:rsidR="00E6670A" w:rsidRDefault="00E6670A" w:rsidP="00E6670A">
      <w:pPr>
        <w:bidi w:val="0"/>
        <w:rPr>
          <w:lang w:bidi="ar-EG"/>
        </w:rPr>
      </w:pPr>
      <w:r>
        <w:rPr>
          <w:rFonts w:cs="Arial"/>
          <w:rtl/>
          <w:lang w:bidi="ar-EG"/>
        </w:rPr>
        <w:tab/>
      </w:r>
      <w:r>
        <w:rPr>
          <w:lang w:bidi="ar-EG"/>
        </w:rPr>
        <w:t>An entity should present additional line items when it is</w:t>
      </w:r>
      <w:r>
        <w:rPr>
          <w:rFonts w:cs="Arial"/>
          <w:rtl/>
          <w:lang w:bidi="ar-EG"/>
        </w:rPr>
        <w:tab/>
      </w:r>
      <w:r>
        <w:rPr>
          <w:rFonts w:cs="Arial"/>
          <w:rtl/>
          <w:lang w:bidi="ar-EG"/>
        </w:rPr>
        <w:tab/>
      </w:r>
      <w:r>
        <w:rPr>
          <w:lang w:bidi="ar-EG"/>
        </w:rPr>
        <w:t>In other words, due to the above IAS 1 requirements, it would</w:t>
      </w:r>
    </w:p>
    <w:p w14:paraId="50B67498" w14:textId="77777777" w:rsidR="00E6670A" w:rsidRDefault="00E6670A" w:rsidP="00E6670A">
      <w:pPr>
        <w:bidi w:val="0"/>
        <w:rPr>
          <w:lang w:bidi="ar-EG"/>
        </w:rPr>
      </w:pPr>
      <w:r>
        <w:rPr>
          <w:rFonts w:cs="Arial"/>
          <w:rtl/>
          <w:lang w:bidi="ar-EG"/>
        </w:rPr>
        <w:tab/>
      </w:r>
      <w:r>
        <w:rPr>
          <w:lang w:bidi="ar-EG"/>
        </w:rPr>
        <w:t>relevant to an understanding of the entity’s financial position,</w:t>
      </w:r>
      <w:r>
        <w:rPr>
          <w:rFonts w:cs="Arial"/>
          <w:rtl/>
          <w:lang w:bidi="ar-EG"/>
        </w:rPr>
        <w:tab/>
      </w:r>
      <w:r>
        <w:rPr>
          <w:rFonts w:cs="Arial"/>
          <w:rtl/>
          <w:lang w:bidi="ar-EG"/>
        </w:rPr>
        <w:tab/>
      </w:r>
      <w:r>
        <w:rPr>
          <w:lang w:bidi="ar-EG"/>
        </w:rPr>
        <w:t>not be appropriate to present some selected items of revenue</w:t>
      </w:r>
    </w:p>
    <w:p w14:paraId="02A3D9BE" w14:textId="77777777" w:rsidR="00E6670A" w:rsidRDefault="00E6670A" w:rsidP="00E6670A">
      <w:pPr>
        <w:bidi w:val="0"/>
        <w:rPr>
          <w:lang w:bidi="ar-EG"/>
        </w:rPr>
      </w:pPr>
      <w:r>
        <w:rPr>
          <w:rFonts w:cs="Arial"/>
          <w:rtl/>
          <w:lang w:bidi="ar-EG"/>
        </w:rPr>
        <w:tab/>
      </w:r>
      <w:r>
        <w:rPr>
          <w:lang w:bidi="ar-EG"/>
        </w:rPr>
        <w:t>financial performance or its cash flows. While an entity is</w:t>
      </w:r>
      <w:r>
        <w:rPr>
          <w:rFonts w:cs="Arial"/>
          <w:rtl/>
          <w:lang w:bidi="ar-EG"/>
        </w:rPr>
        <w:tab/>
      </w:r>
      <w:r>
        <w:rPr>
          <w:rFonts w:cs="Arial"/>
          <w:rtl/>
          <w:lang w:bidi="ar-EG"/>
        </w:rPr>
        <w:tab/>
      </w:r>
      <w:r>
        <w:rPr>
          <w:lang w:bidi="ar-EG"/>
        </w:rPr>
        <w:t>and expenses as non-recurring or unusual, and they should</w:t>
      </w:r>
    </w:p>
    <w:p w14:paraId="62E4FE6D" w14:textId="77777777" w:rsidR="00E6670A" w:rsidRDefault="00E6670A" w:rsidP="00E6670A">
      <w:pPr>
        <w:bidi w:val="0"/>
        <w:rPr>
          <w:lang w:bidi="ar-EG"/>
        </w:rPr>
      </w:pPr>
      <w:r>
        <w:rPr>
          <w:rFonts w:cs="Arial"/>
          <w:rtl/>
          <w:lang w:bidi="ar-EG"/>
        </w:rPr>
        <w:tab/>
      </w:r>
      <w:r>
        <w:rPr>
          <w:lang w:bidi="ar-EG"/>
        </w:rPr>
        <w:t>allowed to add lines into its primary financial statements</w:t>
      </w:r>
      <w:r>
        <w:rPr>
          <w:rFonts w:cs="Arial"/>
          <w:rtl/>
          <w:lang w:bidi="ar-EG"/>
        </w:rPr>
        <w:tab/>
      </w:r>
      <w:r>
        <w:rPr>
          <w:rFonts w:cs="Arial"/>
          <w:rtl/>
          <w:lang w:bidi="ar-EG"/>
        </w:rPr>
        <w:tab/>
      </w:r>
      <w:r>
        <w:rPr>
          <w:lang w:bidi="ar-EG"/>
        </w:rPr>
        <w:t>never be described as extraordinary. When preparing</w:t>
      </w:r>
    </w:p>
    <w:p w14:paraId="0601827B" w14:textId="77777777" w:rsidR="00E6670A" w:rsidRDefault="00E6670A" w:rsidP="00E6670A">
      <w:pPr>
        <w:bidi w:val="0"/>
        <w:rPr>
          <w:lang w:bidi="ar-EG"/>
        </w:rPr>
      </w:pPr>
      <w:r>
        <w:rPr>
          <w:rFonts w:cs="Arial"/>
          <w:rtl/>
          <w:lang w:bidi="ar-EG"/>
        </w:rPr>
        <w:tab/>
      </w:r>
      <w:r>
        <w:rPr>
          <w:lang w:bidi="ar-EG"/>
        </w:rPr>
        <w:t>in respect of COVID-19, it is important to ensure COVID-</w:t>
      </w:r>
      <w:r>
        <w:rPr>
          <w:rFonts w:cs="Arial"/>
          <w:rtl/>
          <w:lang w:bidi="ar-EG"/>
        </w:rPr>
        <w:tab/>
      </w:r>
      <w:r>
        <w:rPr>
          <w:rFonts w:cs="Arial"/>
          <w:rtl/>
          <w:lang w:bidi="ar-EG"/>
        </w:rPr>
        <w:tab/>
      </w:r>
      <w:r>
        <w:rPr>
          <w:lang w:bidi="ar-EG"/>
        </w:rPr>
        <w:t>financial statements bear in mind that an unusual or new</w:t>
      </w:r>
    </w:p>
    <w:p w14:paraId="02F75BDD" w14:textId="77777777" w:rsidR="00E6670A" w:rsidRDefault="00E6670A" w:rsidP="00E6670A">
      <w:pPr>
        <w:bidi w:val="0"/>
        <w:rPr>
          <w:lang w:bidi="ar-EG"/>
        </w:rPr>
      </w:pPr>
      <w:r>
        <w:rPr>
          <w:rFonts w:cs="Arial"/>
          <w:rtl/>
          <w:lang w:bidi="ar-EG"/>
        </w:rPr>
        <w:tab/>
        <w:t xml:space="preserve">19 </w:t>
      </w:r>
      <w:r>
        <w:rPr>
          <w:lang w:bidi="ar-EG"/>
        </w:rPr>
        <w:t>related matters are not given undue prominence and</w:t>
      </w:r>
      <w:r>
        <w:rPr>
          <w:rFonts w:cs="Arial"/>
          <w:rtl/>
          <w:lang w:bidi="ar-EG"/>
        </w:rPr>
        <w:tab/>
      </w:r>
      <w:r>
        <w:rPr>
          <w:rFonts w:cs="Arial"/>
          <w:rtl/>
          <w:lang w:bidi="ar-EG"/>
        </w:rPr>
        <w:tab/>
      </w:r>
      <w:r>
        <w:rPr>
          <w:lang w:bidi="ar-EG"/>
        </w:rPr>
        <w:t>type of transaction is more likely to be material than a</w:t>
      </w:r>
    </w:p>
    <w:p w14:paraId="668BE315" w14:textId="77777777" w:rsidR="00E6670A" w:rsidRDefault="00E6670A" w:rsidP="00E6670A">
      <w:pPr>
        <w:bidi w:val="0"/>
        <w:rPr>
          <w:lang w:bidi="ar-EG"/>
        </w:rPr>
      </w:pPr>
      <w:r>
        <w:rPr>
          <w:rFonts w:cs="Arial"/>
          <w:rtl/>
          <w:lang w:bidi="ar-EG"/>
        </w:rPr>
        <w:tab/>
      </w:r>
      <w:r>
        <w:rPr>
          <w:lang w:bidi="ar-EG"/>
        </w:rPr>
        <w:t>therefore we would discourage this approach. In our view, it</w:t>
      </w:r>
      <w:r>
        <w:rPr>
          <w:rFonts w:cs="Arial"/>
          <w:rtl/>
          <w:lang w:bidi="ar-EG"/>
        </w:rPr>
        <w:tab/>
      </w:r>
      <w:r>
        <w:rPr>
          <w:rFonts w:cs="Arial"/>
          <w:rtl/>
          <w:lang w:bidi="ar-EG"/>
        </w:rPr>
        <w:tab/>
      </w:r>
      <w:r>
        <w:rPr>
          <w:lang w:bidi="ar-EG"/>
        </w:rPr>
        <w:t>routine or regularly occurring transaction of the same size</w:t>
      </w:r>
      <w:r>
        <w:rPr>
          <w:rFonts w:cs="Arial"/>
          <w:rtl/>
          <w:lang w:bidi="ar-EG"/>
        </w:rPr>
        <w:t>.</w:t>
      </w:r>
    </w:p>
    <w:p w14:paraId="1F938682" w14:textId="77777777" w:rsidR="00E6670A" w:rsidRDefault="00E6670A" w:rsidP="00E6670A">
      <w:pPr>
        <w:bidi w:val="0"/>
        <w:rPr>
          <w:lang w:bidi="ar-EG"/>
        </w:rPr>
      </w:pPr>
      <w:r>
        <w:rPr>
          <w:rFonts w:cs="Arial"/>
          <w:rtl/>
          <w:lang w:bidi="ar-EG"/>
        </w:rPr>
        <w:tab/>
      </w:r>
      <w:r>
        <w:rPr>
          <w:lang w:bidi="ar-EG"/>
        </w:rPr>
        <w:t>would not be appropriate to add columns that exclude the</w:t>
      </w:r>
      <w:r>
        <w:rPr>
          <w:rFonts w:cs="Arial"/>
          <w:rtl/>
          <w:lang w:bidi="ar-EG"/>
        </w:rPr>
        <w:tab/>
      </w:r>
      <w:r>
        <w:rPr>
          <w:rFonts w:cs="Arial"/>
          <w:rtl/>
          <w:lang w:bidi="ar-EG"/>
        </w:rPr>
        <w:tab/>
      </w:r>
    </w:p>
    <w:p w14:paraId="799BE697" w14:textId="77777777" w:rsidR="00E6670A" w:rsidRDefault="00E6670A" w:rsidP="00E6670A">
      <w:pPr>
        <w:bidi w:val="0"/>
        <w:rPr>
          <w:lang w:bidi="ar-EG"/>
        </w:rPr>
      </w:pPr>
      <w:r>
        <w:rPr>
          <w:rFonts w:cs="Arial"/>
          <w:rtl/>
          <w:lang w:bidi="ar-EG"/>
        </w:rPr>
        <w:tab/>
      </w:r>
      <w:r>
        <w:rPr>
          <w:lang w:bidi="ar-EG"/>
        </w:rPr>
        <w:t>impact of COVID-19 in the financial statements.</w:t>
      </w:r>
      <w:r>
        <w:rPr>
          <w:rFonts w:cs="Arial"/>
          <w:rtl/>
          <w:lang w:bidi="ar-EG"/>
        </w:rPr>
        <w:tab/>
      </w:r>
      <w:r>
        <w:rPr>
          <w:rFonts w:cs="Arial"/>
          <w:rtl/>
          <w:lang w:bidi="ar-EG"/>
        </w:rPr>
        <w:tab/>
      </w:r>
      <w:r>
        <w:rPr>
          <w:lang w:bidi="ar-EG"/>
        </w:rPr>
        <w:t>IAS 1.98 provides some examples of items considered</w:t>
      </w:r>
    </w:p>
    <w:p w14:paraId="6CEA25FD" w14:textId="77777777" w:rsidR="00E6670A" w:rsidRDefault="00E6670A" w:rsidP="00E6670A">
      <w:pPr>
        <w:bidi w:val="0"/>
        <w:rPr>
          <w:lang w:bidi="ar-EG"/>
        </w:rPr>
      </w:pPr>
      <w:r>
        <w:rPr>
          <w:rFonts w:cs="Arial"/>
          <w:rtl/>
          <w:lang w:bidi="ar-EG"/>
        </w:rPr>
        <w:tab/>
      </w:r>
      <w:r>
        <w:rPr>
          <w:rFonts w:cs="Arial"/>
          <w:rtl/>
          <w:lang w:bidi="ar-EG"/>
        </w:rPr>
        <w:tab/>
      </w:r>
      <w:r>
        <w:rPr>
          <w:rFonts w:cs="Arial"/>
          <w:rtl/>
          <w:lang w:bidi="ar-EG"/>
        </w:rPr>
        <w:tab/>
        <w:t>‘</w:t>
      </w:r>
      <w:r>
        <w:rPr>
          <w:lang w:bidi="ar-EG"/>
        </w:rPr>
        <w:t>unusual’ that could warrant disclosure that may otherwise</w:t>
      </w:r>
    </w:p>
    <w:p w14:paraId="6DC053EB" w14:textId="77777777" w:rsidR="00E6670A" w:rsidRDefault="00E6670A" w:rsidP="00E6670A">
      <w:pPr>
        <w:bidi w:val="0"/>
        <w:rPr>
          <w:lang w:bidi="ar-EG"/>
        </w:rPr>
      </w:pPr>
      <w:r>
        <w:rPr>
          <w:rFonts w:cs="Arial"/>
          <w:rtl/>
          <w:lang w:bidi="ar-EG"/>
        </w:rPr>
        <w:tab/>
      </w:r>
      <w:r>
        <w:rPr>
          <w:lang w:bidi="ar-EG"/>
        </w:rPr>
        <w:t>In respect of the above view, IAS 1 requirements would not</w:t>
      </w:r>
      <w:r>
        <w:rPr>
          <w:rFonts w:cs="Arial"/>
          <w:rtl/>
          <w:lang w:bidi="ar-EG"/>
        </w:rPr>
        <w:tab/>
      </w:r>
      <w:r>
        <w:rPr>
          <w:rFonts w:cs="Arial"/>
          <w:rtl/>
          <w:lang w:bidi="ar-EG"/>
        </w:rPr>
        <w:tab/>
      </w:r>
      <w:r>
        <w:rPr>
          <w:lang w:bidi="ar-EG"/>
        </w:rPr>
        <w:t>fall below materiality thresholds, and some these could be</w:t>
      </w:r>
    </w:p>
    <w:p w14:paraId="066045B3" w14:textId="77777777" w:rsidR="00E6670A" w:rsidRDefault="00E6670A" w:rsidP="00E6670A">
      <w:pPr>
        <w:bidi w:val="0"/>
        <w:rPr>
          <w:lang w:bidi="ar-EG"/>
        </w:rPr>
      </w:pPr>
      <w:r>
        <w:rPr>
          <w:rFonts w:cs="Arial"/>
          <w:rtl/>
          <w:lang w:bidi="ar-EG"/>
        </w:rPr>
        <w:tab/>
      </w:r>
      <w:r>
        <w:rPr>
          <w:lang w:bidi="ar-EG"/>
        </w:rPr>
        <w:t>allow such a presentation. It states that total comprehensive</w:t>
      </w:r>
      <w:r>
        <w:rPr>
          <w:rFonts w:cs="Arial"/>
          <w:rtl/>
          <w:lang w:bidi="ar-EG"/>
        </w:rPr>
        <w:tab/>
      </w:r>
      <w:r>
        <w:rPr>
          <w:rFonts w:cs="Arial"/>
          <w:rtl/>
          <w:lang w:bidi="ar-EG"/>
        </w:rPr>
        <w:tab/>
      </w:r>
      <w:r>
        <w:rPr>
          <w:lang w:bidi="ar-EG"/>
        </w:rPr>
        <w:t>relevant when reporting on the consequences of COVID-19</w:t>
      </w:r>
      <w:r>
        <w:rPr>
          <w:rFonts w:cs="Arial"/>
          <w:rtl/>
          <w:lang w:bidi="ar-EG"/>
        </w:rPr>
        <w:t>:</w:t>
      </w:r>
    </w:p>
    <w:p w14:paraId="365EAA16" w14:textId="77777777" w:rsidR="00E6670A" w:rsidRDefault="00E6670A" w:rsidP="00E6670A">
      <w:pPr>
        <w:bidi w:val="0"/>
        <w:rPr>
          <w:lang w:bidi="ar-EG"/>
        </w:rPr>
      </w:pPr>
      <w:r>
        <w:rPr>
          <w:rFonts w:cs="Arial"/>
          <w:rtl/>
          <w:lang w:bidi="ar-EG"/>
        </w:rPr>
        <w:tab/>
      </w:r>
      <w:r>
        <w:rPr>
          <w:lang w:bidi="ar-EG"/>
        </w:rPr>
        <w:t>income comprises all of ‘profit or loss’ and of ‘other</w:t>
      </w:r>
      <w:r>
        <w:rPr>
          <w:rFonts w:cs="Arial"/>
          <w:rtl/>
          <w:lang w:bidi="ar-EG"/>
        </w:rPr>
        <w:tab/>
        <w:t>•</w:t>
      </w:r>
      <w:r>
        <w:rPr>
          <w:rFonts w:cs="Arial"/>
          <w:rtl/>
          <w:lang w:bidi="ar-EG"/>
        </w:rPr>
        <w:tab/>
      </w:r>
      <w:r>
        <w:rPr>
          <w:lang w:bidi="ar-EG"/>
        </w:rPr>
        <w:t xml:space="preserve">write-downs of inventories to net </w:t>
      </w:r>
      <w:proofErr w:type="spellStart"/>
      <w:r>
        <w:rPr>
          <w:lang w:bidi="ar-EG"/>
        </w:rPr>
        <w:t>realisable</w:t>
      </w:r>
      <w:proofErr w:type="spellEnd"/>
      <w:r>
        <w:rPr>
          <w:lang w:bidi="ar-EG"/>
        </w:rPr>
        <w:t xml:space="preserve"> value or of</w:t>
      </w:r>
    </w:p>
    <w:p w14:paraId="68AFE176" w14:textId="77777777" w:rsidR="00E6670A" w:rsidRDefault="00E6670A" w:rsidP="00E6670A">
      <w:pPr>
        <w:bidi w:val="0"/>
        <w:rPr>
          <w:lang w:bidi="ar-EG"/>
        </w:rPr>
      </w:pPr>
      <w:r>
        <w:rPr>
          <w:rFonts w:cs="Arial"/>
          <w:rtl/>
          <w:lang w:bidi="ar-EG"/>
        </w:rPr>
        <w:tab/>
      </w:r>
      <w:r>
        <w:rPr>
          <w:lang w:bidi="ar-EG"/>
        </w:rPr>
        <w:t>comprehensive income’. These are defined as:</w:t>
      </w:r>
      <w:r>
        <w:rPr>
          <w:rFonts w:cs="Arial"/>
          <w:rtl/>
          <w:lang w:bidi="ar-EG"/>
        </w:rPr>
        <w:tab/>
      </w:r>
      <w:r>
        <w:rPr>
          <w:rFonts w:cs="Arial"/>
          <w:rtl/>
          <w:lang w:bidi="ar-EG"/>
        </w:rPr>
        <w:tab/>
      </w:r>
      <w:r>
        <w:rPr>
          <w:lang w:bidi="ar-EG"/>
        </w:rPr>
        <w:t>property, plant and equipment to recoverable amount</w:t>
      </w:r>
      <w:r>
        <w:rPr>
          <w:rFonts w:cs="Arial"/>
          <w:rtl/>
          <w:lang w:bidi="ar-EG"/>
        </w:rPr>
        <w:t>,</w:t>
      </w:r>
    </w:p>
    <w:p w14:paraId="3E69530B" w14:textId="77777777" w:rsidR="00E6670A" w:rsidRDefault="00E6670A" w:rsidP="00E6670A">
      <w:pPr>
        <w:bidi w:val="0"/>
        <w:rPr>
          <w:lang w:bidi="ar-EG"/>
        </w:rPr>
      </w:pPr>
      <w:r>
        <w:rPr>
          <w:rFonts w:cs="Arial"/>
          <w:rtl/>
          <w:lang w:bidi="ar-EG"/>
        </w:rPr>
        <w:t>•</w:t>
      </w:r>
      <w:r>
        <w:rPr>
          <w:rFonts w:cs="Arial"/>
          <w:rtl/>
          <w:lang w:bidi="ar-EG"/>
        </w:rPr>
        <w:tab/>
        <w:t>‘</w:t>
      </w:r>
      <w:r>
        <w:rPr>
          <w:lang w:bidi="ar-EG"/>
        </w:rPr>
        <w:t>the total of income less expenses, excluding the</w:t>
      </w:r>
      <w:r>
        <w:rPr>
          <w:rFonts w:cs="Arial"/>
          <w:rtl/>
          <w:lang w:bidi="ar-EG"/>
        </w:rPr>
        <w:tab/>
      </w:r>
      <w:r>
        <w:rPr>
          <w:rFonts w:cs="Arial"/>
          <w:rtl/>
          <w:lang w:bidi="ar-EG"/>
        </w:rPr>
        <w:tab/>
      </w:r>
      <w:r>
        <w:rPr>
          <w:lang w:bidi="ar-EG"/>
        </w:rPr>
        <w:t>as well as reversals of such write-downs</w:t>
      </w:r>
    </w:p>
    <w:p w14:paraId="69A3AB67" w14:textId="77777777" w:rsidR="00E6670A" w:rsidRDefault="00E6670A" w:rsidP="00E6670A">
      <w:pPr>
        <w:bidi w:val="0"/>
        <w:rPr>
          <w:lang w:bidi="ar-EG"/>
        </w:rPr>
      </w:pPr>
      <w:r>
        <w:rPr>
          <w:rFonts w:cs="Arial"/>
          <w:rtl/>
          <w:lang w:bidi="ar-EG"/>
        </w:rPr>
        <w:tab/>
      </w:r>
      <w:r>
        <w:rPr>
          <w:lang w:bidi="ar-EG"/>
        </w:rPr>
        <w:t>components of other comprehensive income’ for profit</w:t>
      </w:r>
      <w:r>
        <w:rPr>
          <w:rFonts w:cs="Arial"/>
          <w:rtl/>
          <w:lang w:bidi="ar-EG"/>
        </w:rPr>
        <w:tab/>
        <w:t>•</w:t>
      </w:r>
      <w:r>
        <w:rPr>
          <w:rFonts w:cs="Arial"/>
          <w:rtl/>
          <w:lang w:bidi="ar-EG"/>
        </w:rPr>
        <w:tab/>
      </w:r>
      <w:r>
        <w:rPr>
          <w:lang w:bidi="ar-EG"/>
        </w:rPr>
        <w:t>restructurings of the activities of an entity and reversals</w:t>
      </w:r>
    </w:p>
    <w:p w14:paraId="46F38986" w14:textId="77777777" w:rsidR="00E6670A" w:rsidRDefault="00E6670A" w:rsidP="00E6670A">
      <w:pPr>
        <w:bidi w:val="0"/>
        <w:rPr>
          <w:lang w:bidi="ar-EG"/>
        </w:rPr>
      </w:pPr>
      <w:r>
        <w:rPr>
          <w:rFonts w:cs="Arial"/>
          <w:rtl/>
          <w:lang w:bidi="ar-EG"/>
        </w:rPr>
        <w:tab/>
      </w:r>
      <w:r>
        <w:rPr>
          <w:lang w:bidi="ar-EG"/>
        </w:rPr>
        <w:t>or loss, and</w:t>
      </w:r>
      <w:r>
        <w:rPr>
          <w:rFonts w:cs="Arial"/>
          <w:rtl/>
          <w:lang w:bidi="ar-EG"/>
        </w:rPr>
        <w:tab/>
      </w:r>
      <w:r>
        <w:rPr>
          <w:rFonts w:cs="Arial"/>
          <w:rtl/>
          <w:lang w:bidi="ar-EG"/>
        </w:rPr>
        <w:tab/>
      </w:r>
      <w:r>
        <w:rPr>
          <w:lang w:bidi="ar-EG"/>
        </w:rPr>
        <w:t>of any provisions for the costs of these restructurings</w:t>
      </w:r>
    </w:p>
    <w:p w14:paraId="07EFC43B" w14:textId="77777777" w:rsidR="00E6670A" w:rsidRDefault="00E6670A" w:rsidP="00E6670A">
      <w:pPr>
        <w:bidi w:val="0"/>
        <w:rPr>
          <w:lang w:bidi="ar-EG"/>
        </w:rPr>
      </w:pPr>
      <w:r>
        <w:rPr>
          <w:rFonts w:cs="Arial"/>
          <w:rtl/>
          <w:lang w:bidi="ar-EG"/>
        </w:rPr>
        <w:t>•</w:t>
      </w:r>
      <w:r>
        <w:rPr>
          <w:rFonts w:cs="Arial"/>
          <w:rtl/>
          <w:lang w:bidi="ar-EG"/>
        </w:rPr>
        <w:tab/>
        <w:t>‘</w:t>
      </w:r>
      <w:r>
        <w:rPr>
          <w:lang w:bidi="ar-EG"/>
        </w:rPr>
        <w:t>items of income and expense (including reclassification</w:t>
      </w:r>
      <w:r>
        <w:rPr>
          <w:rFonts w:cs="Arial"/>
          <w:rtl/>
          <w:lang w:bidi="ar-EG"/>
        </w:rPr>
        <w:tab/>
        <w:t>•</w:t>
      </w:r>
      <w:r>
        <w:rPr>
          <w:rFonts w:cs="Arial"/>
          <w:rtl/>
          <w:lang w:bidi="ar-EG"/>
        </w:rPr>
        <w:tab/>
      </w:r>
      <w:r>
        <w:rPr>
          <w:lang w:bidi="ar-EG"/>
        </w:rPr>
        <w:t>disposals of items of property, plant and equipment</w:t>
      </w:r>
    </w:p>
    <w:p w14:paraId="1447CA27" w14:textId="77777777" w:rsidR="00E6670A" w:rsidRDefault="00E6670A" w:rsidP="00E6670A">
      <w:pPr>
        <w:bidi w:val="0"/>
        <w:rPr>
          <w:lang w:bidi="ar-EG"/>
        </w:rPr>
      </w:pPr>
      <w:r>
        <w:rPr>
          <w:rFonts w:cs="Arial"/>
          <w:rtl/>
          <w:lang w:bidi="ar-EG"/>
        </w:rPr>
        <w:tab/>
      </w:r>
      <w:r>
        <w:rPr>
          <w:lang w:bidi="ar-EG"/>
        </w:rPr>
        <w:t xml:space="preserve">adjustments) that are not </w:t>
      </w:r>
      <w:proofErr w:type="spellStart"/>
      <w:r>
        <w:rPr>
          <w:lang w:bidi="ar-EG"/>
        </w:rPr>
        <w:t>recognised</w:t>
      </w:r>
      <w:proofErr w:type="spellEnd"/>
      <w:r>
        <w:rPr>
          <w:lang w:bidi="ar-EG"/>
        </w:rPr>
        <w:t xml:space="preserve"> in profit or</w:t>
      </w:r>
      <w:r>
        <w:rPr>
          <w:rFonts w:cs="Arial"/>
          <w:rtl/>
          <w:lang w:bidi="ar-EG"/>
        </w:rPr>
        <w:tab/>
        <w:t>•</w:t>
      </w:r>
      <w:r>
        <w:rPr>
          <w:rFonts w:cs="Arial"/>
          <w:rtl/>
          <w:lang w:bidi="ar-EG"/>
        </w:rPr>
        <w:tab/>
      </w:r>
      <w:r>
        <w:rPr>
          <w:lang w:bidi="ar-EG"/>
        </w:rPr>
        <w:t>disposals of investments</w:t>
      </w:r>
    </w:p>
    <w:p w14:paraId="2122EEEB" w14:textId="77777777" w:rsidR="00E6670A" w:rsidRDefault="00E6670A" w:rsidP="00E6670A">
      <w:pPr>
        <w:bidi w:val="0"/>
        <w:rPr>
          <w:lang w:bidi="ar-EG"/>
        </w:rPr>
      </w:pPr>
      <w:r>
        <w:rPr>
          <w:rFonts w:cs="Arial"/>
          <w:rtl/>
          <w:lang w:bidi="ar-EG"/>
        </w:rPr>
        <w:tab/>
      </w:r>
      <w:r>
        <w:rPr>
          <w:lang w:bidi="ar-EG"/>
        </w:rPr>
        <w:t>loss as required or permitted by other IFRS’ for other</w:t>
      </w:r>
      <w:r>
        <w:rPr>
          <w:rFonts w:cs="Arial"/>
          <w:rtl/>
          <w:lang w:bidi="ar-EG"/>
        </w:rPr>
        <w:tab/>
        <w:t>•</w:t>
      </w:r>
      <w:r>
        <w:rPr>
          <w:rFonts w:cs="Arial"/>
          <w:rtl/>
          <w:lang w:bidi="ar-EG"/>
        </w:rPr>
        <w:tab/>
      </w:r>
      <w:r>
        <w:rPr>
          <w:lang w:bidi="ar-EG"/>
        </w:rPr>
        <w:t>discontinued operations</w:t>
      </w:r>
    </w:p>
    <w:p w14:paraId="5434826A" w14:textId="77777777" w:rsidR="00E6670A" w:rsidRDefault="00E6670A" w:rsidP="00E6670A">
      <w:pPr>
        <w:bidi w:val="0"/>
        <w:rPr>
          <w:lang w:bidi="ar-EG"/>
        </w:rPr>
      </w:pPr>
      <w:r>
        <w:rPr>
          <w:rFonts w:cs="Arial"/>
          <w:rtl/>
          <w:lang w:bidi="ar-EG"/>
        </w:rPr>
        <w:tab/>
      </w:r>
      <w:r>
        <w:rPr>
          <w:lang w:bidi="ar-EG"/>
        </w:rPr>
        <w:t>comprehensive income.</w:t>
      </w:r>
      <w:r>
        <w:rPr>
          <w:rFonts w:cs="Arial"/>
          <w:rtl/>
          <w:lang w:bidi="ar-EG"/>
        </w:rPr>
        <w:tab/>
      </w:r>
      <w:r>
        <w:rPr>
          <w:lang w:bidi="ar-EG"/>
        </w:rPr>
        <w:t>•</w:t>
      </w:r>
      <w:r>
        <w:rPr>
          <w:rFonts w:cs="Arial"/>
          <w:rtl/>
          <w:lang w:bidi="ar-EG"/>
        </w:rPr>
        <w:tab/>
      </w:r>
      <w:r>
        <w:rPr>
          <w:lang w:bidi="ar-EG"/>
        </w:rPr>
        <w:t>litigation settlements, and</w:t>
      </w:r>
    </w:p>
    <w:p w14:paraId="7D7BFC90" w14:textId="77777777" w:rsidR="00E6670A" w:rsidRDefault="00E6670A" w:rsidP="00E6670A">
      <w:pPr>
        <w:bidi w:val="0"/>
        <w:rPr>
          <w:lang w:bidi="ar-EG"/>
        </w:rPr>
      </w:pPr>
      <w:r>
        <w:rPr>
          <w:rFonts w:cs="Arial"/>
          <w:rtl/>
          <w:lang w:bidi="ar-EG"/>
        </w:rPr>
        <w:tab/>
      </w:r>
      <w:r>
        <w:rPr>
          <w:rFonts w:cs="Arial"/>
          <w:rtl/>
          <w:lang w:bidi="ar-EG"/>
        </w:rPr>
        <w:tab/>
        <w:t>•</w:t>
      </w:r>
      <w:r>
        <w:rPr>
          <w:rFonts w:cs="Arial"/>
          <w:rtl/>
          <w:lang w:bidi="ar-EG"/>
        </w:rPr>
        <w:tab/>
      </w:r>
      <w:r>
        <w:rPr>
          <w:lang w:bidi="ar-EG"/>
        </w:rPr>
        <w:t>other reversals of provisions</w:t>
      </w:r>
      <w:r>
        <w:rPr>
          <w:rFonts w:cs="Arial"/>
          <w:rtl/>
          <w:lang w:bidi="ar-EG"/>
        </w:rPr>
        <w:t>.</w:t>
      </w:r>
    </w:p>
    <w:p w14:paraId="64CC7DE0" w14:textId="56B279E0" w:rsidR="00E6670A" w:rsidRDefault="00E6670A" w:rsidP="00E6670A">
      <w:pPr>
        <w:bidi w:val="0"/>
        <w:rPr>
          <w:lang w:bidi="ar-EG"/>
        </w:rPr>
      </w:pPr>
      <w:r>
        <w:rPr>
          <w:lang w:bidi="ar-EG"/>
        </w:rPr>
        <w:tab/>
      </w:r>
      <w:r>
        <w:rPr>
          <w:lang w:bidi="ar-EG"/>
        </w:rPr>
        <w:tab/>
      </w:r>
      <w:r>
        <w:rPr>
          <w:lang w:bidi="ar-EG"/>
        </w:rPr>
        <w:tab/>
        <w:t>Illustrative Corporation Group: IFRS Example Consolidated Financial Statements – 31 December 2021 5</w:t>
      </w:r>
      <w:r>
        <w:rPr>
          <w:lang w:bidi="ar-EG"/>
        </w:rPr>
        <w:tab/>
      </w:r>
    </w:p>
    <w:p w14:paraId="17FA62EA" w14:textId="77777777" w:rsidR="00E6670A" w:rsidRDefault="00E6670A" w:rsidP="004624A3">
      <w:pPr>
        <w:bidi w:val="0"/>
        <w:rPr>
          <w:lang w:bidi="ar-EG"/>
        </w:rPr>
      </w:pPr>
      <w:r>
        <w:rPr>
          <w:lang w:bidi="ar-EG"/>
        </w:rPr>
        <w:br w:type="page"/>
      </w:r>
    </w:p>
    <w:p w14:paraId="4A3A21A5" w14:textId="69AD07D3" w:rsidR="004624A3" w:rsidRDefault="004624A3" w:rsidP="004624A3">
      <w:pPr>
        <w:bidi w:val="0"/>
        <w:rPr>
          <w:lang w:bidi="ar-EG"/>
        </w:rPr>
      </w:pPr>
      <w:r>
        <w:rPr>
          <w:lang w:bidi="ar-EG"/>
        </w:rPr>
        <w:lastRenderedPageBreak/>
        <w:t>profit or loss</w:t>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p>
    <w:p w14:paraId="5D02F60F" w14:textId="49FFCD61" w:rsidR="004624A3" w:rsidRDefault="004624A3" w:rsidP="007A4B4E">
      <w:pPr>
        <w:bidi w:val="0"/>
        <w:rPr>
          <w:lang w:bidi="ar-EG"/>
        </w:rPr>
      </w:pPr>
      <w:r>
        <w:rPr>
          <w:lang w:bidi="ar-EG"/>
        </w:rPr>
        <w:t>For the year ended 31 December 2021</w:t>
      </w:r>
      <w:r w:rsidR="007A4B4E">
        <w:rPr>
          <w:rFonts w:cs="Arial"/>
          <w:lang w:bidi="ar-EG"/>
        </w:rPr>
        <w:t xml:space="preserve"> </w:t>
      </w:r>
      <w:r w:rsidR="007A4B4E">
        <w:rPr>
          <w:lang w:bidi="ar-EG"/>
        </w:rPr>
        <w:t>(</w:t>
      </w:r>
      <w:r>
        <w:rPr>
          <w:lang w:bidi="ar-EG"/>
        </w:rPr>
        <w:t>expressed in thousands of Euroland currency units, except per share amounts</w:t>
      </w:r>
      <w:r w:rsidR="007A4B4E">
        <w:rPr>
          <w:rFonts w:cs="Arial"/>
          <w:lang w:bidi="ar-EG"/>
        </w:rPr>
        <w:t>)</w:t>
      </w:r>
    </w:p>
    <w:p w14:paraId="07A61F38" w14:textId="77777777" w:rsidR="00855E3C" w:rsidRDefault="00855E3C" w:rsidP="00855E3C">
      <w:pPr>
        <w:bidi w:val="0"/>
        <w:rPr>
          <w:lang w:bidi="ar-EG"/>
        </w:rPr>
      </w:pPr>
    </w:p>
    <w:p w14:paraId="55A6884C" w14:textId="77777777" w:rsidR="004624A3" w:rsidRDefault="004624A3" w:rsidP="004624A3">
      <w:pPr>
        <w:bidi w:val="0"/>
        <w:rPr>
          <w:lang w:bidi="ar-EG"/>
        </w:rPr>
      </w:pPr>
      <w:r>
        <w:rPr>
          <w:lang w:bidi="ar-EG"/>
        </w:rPr>
        <w:t>IAS 1.51(c)</w:t>
      </w:r>
      <w:r>
        <w:rPr>
          <w:rFonts w:cs="Arial"/>
          <w:rtl/>
          <w:lang w:bidi="ar-EG"/>
        </w:rPr>
        <w:tab/>
      </w:r>
      <w:r>
        <w:rPr>
          <w:rFonts w:cs="Arial"/>
          <w:rtl/>
          <w:lang w:bidi="ar-EG"/>
        </w:rPr>
        <w:tab/>
      </w:r>
      <w:r>
        <w:rPr>
          <w:lang w:bidi="ar-EG"/>
        </w:rPr>
        <w:t>Notes</w:t>
      </w:r>
      <w:r>
        <w:rPr>
          <w:rFonts w:cs="Arial"/>
          <w:rtl/>
          <w:lang w:bidi="ar-EG"/>
        </w:rPr>
        <w:tab/>
        <w:t>2021</w:t>
      </w:r>
      <w:r>
        <w:rPr>
          <w:rFonts w:cs="Arial"/>
          <w:rtl/>
          <w:lang w:bidi="ar-EG"/>
        </w:rPr>
        <w:tab/>
        <w:t>2020</w:t>
      </w:r>
      <w:r>
        <w:rPr>
          <w:rFonts w:cs="Arial"/>
          <w:rtl/>
          <w:lang w:bidi="ar-EG"/>
        </w:rPr>
        <w:tab/>
      </w:r>
      <w:r>
        <w:rPr>
          <w:rFonts w:cs="Arial"/>
          <w:rtl/>
          <w:lang w:bidi="ar-EG"/>
        </w:rPr>
        <w:tab/>
      </w:r>
    </w:p>
    <w:p w14:paraId="70C7A632" w14:textId="77777777" w:rsidR="004624A3" w:rsidRDefault="004624A3" w:rsidP="004624A3">
      <w:pPr>
        <w:bidi w:val="0"/>
        <w:rPr>
          <w:lang w:bidi="ar-EG"/>
        </w:rPr>
      </w:pPr>
      <w:r>
        <w:rPr>
          <w:lang w:bidi="ar-EG"/>
        </w:rPr>
        <w:t>IAS 1.51(d-e)</w:t>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lang w:bidi="ar-EG"/>
        </w:rPr>
        <w:t>Guidance note</w:t>
      </w:r>
    </w:p>
    <w:p w14:paraId="363FBD28"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lang w:bidi="ar-EG"/>
        </w:rPr>
        <w:t>IAS 1 permits an entity to present a statement of profit</w:t>
      </w:r>
    </w:p>
    <w:p w14:paraId="46487E13" w14:textId="77777777" w:rsidR="004624A3" w:rsidRDefault="004624A3" w:rsidP="004624A3">
      <w:pPr>
        <w:bidi w:val="0"/>
        <w:rPr>
          <w:lang w:bidi="ar-EG"/>
        </w:rPr>
      </w:pPr>
      <w:r>
        <w:rPr>
          <w:lang w:bidi="ar-EG"/>
        </w:rPr>
        <w:t>IAS 1.82(a)</w:t>
      </w:r>
      <w:r>
        <w:rPr>
          <w:rFonts w:cs="Arial"/>
          <w:rtl/>
          <w:lang w:bidi="ar-EG"/>
        </w:rPr>
        <w:tab/>
      </w:r>
      <w:r>
        <w:rPr>
          <w:lang w:bidi="ar-EG"/>
        </w:rPr>
        <w:t>Revenue</w:t>
      </w:r>
      <w:r>
        <w:rPr>
          <w:rFonts w:cs="Arial"/>
          <w:rtl/>
          <w:lang w:bidi="ar-EG"/>
        </w:rPr>
        <w:tab/>
        <w:t>8, 9</w:t>
      </w:r>
      <w:r>
        <w:rPr>
          <w:rFonts w:cs="Arial"/>
          <w:rtl/>
          <w:lang w:bidi="ar-EG"/>
        </w:rPr>
        <w:tab/>
        <w:t>205,793</w:t>
      </w:r>
      <w:r>
        <w:rPr>
          <w:rFonts w:cs="Arial"/>
          <w:rtl/>
          <w:lang w:bidi="ar-EG"/>
        </w:rPr>
        <w:tab/>
        <w:t>191228</w:t>
      </w:r>
      <w:r>
        <w:rPr>
          <w:rFonts w:cs="Arial"/>
          <w:rtl/>
          <w:lang w:bidi="ar-EG"/>
        </w:rPr>
        <w:tab/>
      </w:r>
      <w:r>
        <w:rPr>
          <w:rFonts w:cs="Arial"/>
          <w:rtl/>
          <w:lang w:bidi="ar-EG"/>
        </w:rPr>
        <w:tab/>
      </w:r>
      <w:r>
        <w:rPr>
          <w:lang w:bidi="ar-EG"/>
        </w:rPr>
        <w:t>or loss and comprehensive income as</w:t>
      </w:r>
      <w:r>
        <w:rPr>
          <w:rFonts w:cs="Arial"/>
          <w:rtl/>
          <w:lang w:bidi="ar-EG"/>
        </w:rPr>
        <w:t>:</w:t>
      </w:r>
    </w:p>
    <w:p w14:paraId="661970DF"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t>•</w:t>
      </w:r>
      <w:r>
        <w:rPr>
          <w:rFonts w:cs="Arial"/>
          <w:rtl/>
          <w:lang w:bidi="ar-EG"/>
        </w:rPr>
        <w:tab/>
      </w:r>
      <w:r>
        <w:rPr>
          <w:lang w:bidi="ar-EG"/>
        </w:rPr>
        <w:t>a single statement with profit or loss and other</w:t>
      </w:r>
    </w:p>
    <w:p w14:paraId="790C1045" w14:textId="77777777" w:rsidR="004624A3" w:rsidRDefault="004624A3" w:rsidP="004624A3">
      <w:pPr>
        <w:bidi w:val="0"/>
        <w:rPr>
          <w:lang w:bidi="ar-EG"/>
        </w:rPr>
      </w:pPr>
      <w:r>
        <w:rPr>
          <w:lang w:bidi="ar-EG"/>
        </w:rPr>
        <w:t>IAS 1.85</w:t>
      </w:r>
      <w:r>
        <w:rPr>
          <w:rFonts w:cs="Arial"/>
          <w:rtl/>
          <w:lang w:bidi="ar-EG"/>
        </w:rPr>
        <w:tab/>
      </w:r>
      <w:r>
        <w:rPr>
          <w:lang w:bidi="ar-EG"/>
        </w:rPr>
        <w:t>Other income</w:t>
      </w:r>
      <w:r>
        <w:rPr>
          <w:rFonts w:cs="Arial"/>
          <w:rtl/>
          <w:lang w:bidi="ar-EG"/>
        </w:rPr>
        <w:tab/>
      </w:r>
      <w:r>
        <w:rPr>
          <w:rFonts w:cs="Arial"/>
          <w:rtl/>
          <w:lang w:bidi="ar-EG"/>
        </w:rPr>
        <w:tab/>
        <w:t>299</w:t>
      </w:r>
      <w:r>
        <w:rPr>
          <w:rFonts w:cs="Arial"/>
          <w:rtl/>
          <w:lang w:bidi="ar-EG"/>
        </w:rPr>
        <w:tab/>
        <w:t>708</w:t>
      </w:r>
      <w:r>
        <w:rPr>
          <w:rFonts w:cs="Arial"/>
          <w:rtl/>
          <w:lang w:bidi="ar-EG"/>
        </w:rPr>
        <w:tab/>
      </w:r>
      <w:r>
        <w:rPr>
          <w:rFonts w:cs="Arial"/>
          <w:rtl/>
          <w:lang w:bidi="ar-EG"/>
        </w:rPr>
        <w:tab/>
      </w:r>
      <w:r>
        <w:rPr>
          <w:lang w:bidi="ar-EG"/>
        </w:rPr>
        <w:t>comprehensive income presented in two sections, or</w:t>
      </w:r>
    </w:p>
    <w:p w14:paraId="5ED93188" w14:textId="77777777" w:rsidR="004624A3" w:rsidRDefault="004624A3" w:rsidP="004624A3">
      <w:pPr>
        <w:bidi w:val="0"/>
        <w:rPr>
          <w:lang w:bidi="ar-EG"/>
        </w:rPr>
      </w:pPr>
      <w:r>
        <w:rPr>
          <w:lang w:bidi="ar-EG"/>
        </w:rPr>
        <w:t>IAS 1.85</w:t>
      </w:r>
      <w:r>
        <w:rPr>
          <w:rFonts w:cs="Arial"/>
          <w:rtl/>
          <w:lang w:bidi="ar-EG"/>
        </w:rPr>
        <w:tab/>
      </w:r>
      <w:r>
        <w:rPr>
          <w:lang w:bidi="ar-EG"/>
        </w:rPr>
        <w:t>Changes in inventories</w:t>
      </w:r>
      <w:r>
        <w:rPr>
          <w:rFonts w:cs="Arial"/>
          <w:rtl/>
          <w:lang w:bidi="ar-EG"/>
        </w:rPr>
        <w:tab/>
      </w:r>
      <w:r>
        <w:rPr>
          <w:rFonts w:cs="Arial"/>
          <w:rtl/>
          <w:lang w:bidi="ar-EG"/>
        </w:rPr>
        <w:tab/>
        <w:t>(7,923)</w:t>
      </w:r>
      <w:r>
        <w:rPr>
          <w:rFonts w:cs="Arial"/>
          <w:rtl/>
          <w:lang w:bidi="ar-EG"/>
        </w:rPr>
        <w:tab/>
        <w:t>-6815</w:t>
      </w:r>
      <w:r>
        <w:rPr>
          <w:rFonts w:cs="Arial"/>
          <w:rtl/>
          <w:lang w:bidi="ar-EG"/>
        </w:rPr>
        <w:tab/>
        <w:t>•</w:t>
      </w:r>
      <w:r>
        <w:rPr>
          <w:rFonts w:cs="Arial"/>
          <w:rtl/>
          <w:lang w:bidi="ar-EG"/>
        </w:rPr>
        <w:tab/>
      </w:r>
      <w:r>
        <w:rPr>
          <w:lang w:bidi="ar-EG"/>
        </w:rPr>
        <w:t>two statements: a separate statement of profit</w:t>
      </w:r>
    </w:p>
    <w:p w14:paraId="4D4E2205"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lang w:bidi="ar-EG"/>
        </w:rPr>
        <w:t>or loss and a separate statement of other</w:t>
      </w:r>
    </w:p>
    <w:p w14:paraId="497BFE12" w14:textId="77777777" w:rsidR="004624A3" w:rsidRDefault="004624A3" w:rsidP="004624A3">
      <w:pPr>
        <w:bidi w:val="0"/>
        <w:rPr>
          <w:lang w:bidi="ar-EG"/>
        </w:rPr>
      </w:pPr>
      <w:r>
        <w:rPr>
          <w:lang w:bidi="ar-EG"/>
        </w:rPr>
        <w:t>IAS 1.85</w:t>
      </w:r>
      <w:r>
        <w:rPr>
          <w:rFonts w:cs="Arial"/>
          <w:rtl/>
          <w:lang w:bidi="ar-EG"/>
        </w:rPr>
        <w:tab/>
      </w:r>
      <w:r>
        <w:rPr>
          <w:lang w:bidi="ar-EG"/>
        </w:rPr>
        <w:t>Costs of material</w:t>
      </w:r>
      <w:r>
        <w:rPr>
          <w:rFonts w:cs="Arial"/>
          <w:rtl/>
          <w:lang w:bidi="ar-EG"/>
        </w:rPr>
        <w:tab/>
      </w:r>
      <w:r>
        <w:rPr>
          <w:rFonts w:cs="Arial"/>
          <w:rtl/>
          <w:lang w:bidi="ar-EG"/>
        </w:rPr>
        <w:tab/>
        <w:t>(42,535)</w:t>
      </w:r>
      <w:r>
        <w:rPr>
          <w:rFonts w:cs="Arial"/>
          <w:rtl/>
          <w:lang w:bidi="ar-EG"/>
        </w:rPr>
        <w:tab/>
        <w:t>-39420</w:t>
      </w:r>
      <w:r>
        <w:rPr>
          <w:rFonts w:cs="Arial"/>
          <w:rtl/>
          <w:lang w:bidi="ar-EG"/>
        </w:rPr>
        <w:tab/>
      </w:r>
      <w:r>
        <w:rPr>
          <w:rFonts w:cs="Arial"/>
          <w:rtl/>
          <w:lang w:bidi="ar-EG"/>
        </w:rPr>
        <w:tab/>
      </w:r>
      <w:r>
        <w:rPr>
          <w:lang w:bidi="ar-EG"/>
        </w:rPr>
        <w:t>comprehensive income. If so, the separate</w:t>
      </w:r>
    </w:p>
    <w:p w14:paraId="34CED3BA" w14:textId="77777777" w:rsidR="004624A3" w:rsidRDefault="004624A3" w:rsidP="004624A3">
      <w:pPr>
        <w:bidi w:val="0"/>
        <w:rPr>
          <w:lang w:bidi="ar-EG"/>
        </w:rPr>
      </w:pPr>
      <w:r>
        <w:rPr>
          <w:lang w:bidi="ar-EG"/>
        </w:rPr>
        <w:t>IAS 1.85</w:t>
      </w:r>
      <w:r>
        <w:rPr>
          <w:rFonts w:cs="Arial"/>
          <w:rtl/>
          <w:lang w:bidi="ar-EG"/>
        </w:rPr>
        <w:tab/>
      </w:r>
      <w:r>
        <w:rPr>
          <w:lang w:bidi="ar-EG"/>
        </w:rPr>
        <w:t>Employee benefits expense</w:t>
      </w:r>
      <w:r>
        <w:rPr>
          <w:rFonts w:cs="Arial"/>
          <w:rtl/>
          <w:lang w:bidi="ar-EG"/>
        </w:rPr>
        <w:tab/>
        <w:t>22</w:t>
      </w:r>
      <w:r>
        <w:rPr>
          <w:rFonts w:cs="Arial"/>
          <w:rtl/>
          <w:lang w:bidi="ar-EG"/>
        </w:rPr>
        <w:tab/>
        <w:t>(113,809)</w:t>
      </w:r>
      <w:r>
        <w:rPr>
          <w:rFonts w:cs="Arial"/>
          <w:rtl/>
          <w:lang w:bidi="ar-EG"/>
        </w:rPr>
        <w:tab/>
        <w:t>-109515</w:t>
      </w:r>
      <w:r>
        <w:rPr>
          <w:rFonts w:cs="Arial"/>
          <w:rtl/>
          <w:lang w:bidi="ar-EG"/>
        </w:rPr>
        <w:tab/>
      </w:r>
      <w:r>
        <w:rPr>
          <w:rFonts w:cs="Arial"/>
          <w:rtl/>
          <w:lang w:bidi="ar-EG"/>
        </w:rPr>
        <w:tab/>
      </w:r>
      <w:r>
        <w:rPr>
          <w:lang w:bidi="ar-EG"/>
        </w:rPr>
        <w:t>statement of profit or loss shall immediately</w:t>
      </w:r>
    </w:p>
    <w:p w14:paraId="7D9D6294"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lang w:bidi="ar-EG"/>
        </w:rPr>
        <w:t>precede the statement presenting other</w:t>
      </w:r>
    </w:p>
    <w:p w14:paraId="19DBCA12" w14:textId="77777777" w:rsidR="004624A3" w:rsidRDefault="004624A3" w:rsidP="004624A3">
      <w:pPr>
        <w:bidi w:val="0"/>
        <w:rPr>
          <w:lang w:bidi="ar-EG"/>
        </w:rPr>
      </w:pPr>
      <w:r>
        <w:rPr>
          <w:lang w:bidi="ar-EG"/>
        </w:rPr>
        <w:t>IAS 1.85</w:t>
      </w:r>
      <w:r>
        <w:rPr>
          <w:rFonts w:cs="Arial"/>
          <w:rtl/>
          <w:lang w:bidi="ar-EG"/>
        </w:rPr>
        <w:tab/>
      </w:r>
      <w:r>
        <w:rPr>
          <w:lang w:bidi="ar-EG"/>
        </w:rPr>
        <w:t>Change in fair value of investment property</w:t>
      </w:r>
      <w:r>
        <w:rPr>
          <w:rFonts w:cs="Arial"/>
          <w:rtl/>
          <w:lang w:bidi="ar-EG"/>
        </w:rPr>
        <w:tab/>
        <w:t>14</w:t>
      </w:r>
      <w:r>
        <w:rPr>
          <w:rFonts w:cs="Arial"/>
          <w:rtl/>
          <w:lang w:bidi="ar-EG"/>
        </w:rPr>
        <w:tab/>
        <w:t>310</w:t>
      </w:r>
      <w:r>
        <w:rPr>
          <w:rFonts w:cs="Arial"/>
          <w:rtl/>
          <w:lang w:bidi="ar-EG"/>
        </w:rPr>
        <w:tab/>
        <w:t>175</w:t>
      </w:r>
      <w:r>
        <w:rPr>
          <w:rFonts w:cs="Arial"/>
          <w:rtl/>
          <w:lang w:bidi="ar-EG"/>
        </w:rPr>
        <w:tab/>
      </w:r>
      <w:r>
        <w:rPr>
          <w:rFonts w:cs="Arial"/>
          <w:rtl/>
          <w:lang w:bidi="ar-EG"/>
        </w:rPr>
        <w:tab/>
      </w:r>
      <w:r>
        <w:rPr>
          <w:lang w:bidi="ar-EG"/>
        </w:rPr>
        <w:t>comprehensive income, which shall begin with profit</w:t>
      </w:r>
    </w:p>
    <w:p w14:paraId="1FE3C339"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lang w:bidi="ar-EG"/>
        </w:rPr>
        <w:t>or loss (IAS 1.10A)</w:t>
      </w:r>
      <w:r>
        <w:rPr>
          <w:rFonts w:cs="Arial"/>
          <w:rtl/>
          <w:lang w:bidi="ar-EG"/>
        </w:rPr>
        <w:t>.</w:t>
      </w:r>
    </w:p>
    <w:p w14:paraId="7FC51B66" w14:textId="403F61DF" w:rsidR="004624A3" w:rsidRDefault="004624A3" w:rsidP="004624A3">
      <w:pPr>
        <w:bidi w:val="0"/>
        <w:rPr>
          <w:lang w:bidi="ar-EG"/>
        </w:rPr>
      </w:pPr>
      <w:r>
        <w:rPr>
          <w:lang w:bidi="ar-EG"/>
        </w:rPr>
        <w:t>IAS 1.85</w:t>
      </w:r>
      <w:r>
        <w:rPr>
          <w:rFonts w:cs="Arial"/>
          <w:rtl/>
          <w:lang w:bidi="ar-EG"/>
        </w:rPr>
        <w:tab/>
        <w:t>"</w:t>
      </w:r>
      <w:r>
        <w:rPr>
          <w:lang w:bidi="ar-EG"/>
        </w:rPr>
        <w:t xml:space="preserve">Depreciation, </w:t>
      </w:r>
      <w:r w:rsidR="00400C06">
        <w:rPr>
          <w:lang w:bidi="ar-EG"/>
        </w:rPr>
        <w:t>amortization</w:t>
      </w:r>
      <w:r>
        <w:rPr>
          <w:lang w:bidi="ar-EG"/>
        </w:rPr>
        <w:t xml:space="preserve"> and impairment</w:t>
      </w:r>
    </w:p>
    <w:p w14:paraId="47B91303" w14:textId="77777777" w:rsidR="004624A3" w:rsidRDefault="004624A3" w:rsidP="004624A3">
      <w:pPr>
        <w:bidi w:val="0"/>
        <w:rPr>
          <w:lang w:bidi="ar-EG"/>
        </w:rPr>
      </w:pPr>
      <w:r>
        <w:rPr>
          <w:lang w:bidi="ar-EG"/>
        </w:rPr>
        <w:t>of non-financial assets"</w:t>
      </w:r>
      <w:r>
        <w:rPr>
          <w:rFonts w:cs="Arial"/>
          <w:rtl/>
          <w:lang w:bidi="ar-EG"/>
        </w:rPr>
        <w:tab/>
      </w:r>
      <w:r>
        <w:rPr>
          <w:rFonts w:cs="Arial"/>
          <w:rtl/>
          <w:lang w:bidi="ar-EG"/>
        </w:rPr>
        <w:tab/>
      </w:r>
      <w:r>
        <w:rPr>
          <w:lang w:bidi="ar-EG"/>
        </w:rPr>
        <w:t>(10,093</w:t>
      </w:r>
      <w:r>
        <w:rPr>
          <w:rFonts w:cs="Arial"/>
          <w:rtl/>
          <w:lang w:bidi="ar-EG"/>
        </w:rPr>
        <w:t>)</w:t>
      </w:r>
      <w:r>
        <w:rPr>
          <w:rFonts w:cs="Arial"/>
          <w:rtl/>
          <w:lang w:bidi="ar-EG"/>
        </w:rPr>
        <w:tab/>
        <w:t>-8881</w:t>
      </w:r>
      <w:r>
        <w:rPr>
          <w:rFonts w:cs="Arial"/>
          <w:rtl/>
          <w:lang w:bidi="ar-EG"/>
        </w:rPr>
        <w:tab/>
      </w:r>
      <w:r>
        <w:rPr>
          <w:rFonts w:cs="Arial"/>
          <w:rtl/>
          <w:lang w:bidi="ar-EG"/>
        </w:rPr>
        <w:tab/>
      </w:r>
      <w:r>
        <w:rPr>
          <w:lang w:bidi="ar-EG"/>
        </w:rPr>
        <w:t>These Example Financial Statements illustrate a</w:t>
      </w:r>
    </w:p>
    <w:p w14:paraId="221B36C7"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lang w:bidi="ar-EG"/>
        </w:rPr>
        <w:t>statement of profit or loss and other comprehensive</w:t>
      </w:r>
    </w:p>
    <w:p w14:paraId="09113E39" w14:textId="77777777" w:rsidR="004624A3" w:rsidRDefault="004624A3" w:rsidP="004624A3">
      <w:pPr>
        <w:bidi w:val="0"/>
        <w:rPr>
          <w:lang w:bidi="ar-EG"/>
        </w:rPr>
      </w:pPr>
      <w:r>
        <w:rPr>
          <w:lang w:bidi="ar-EG"/>
        </w:rPr>
        <w:t>IAS 1.82(</w:t>
      </w:r>
      <w:proofErr w:type="spellStart"/>
      <w:r>
        <w:rPr>
          <w:lang w:bidi="ar-EG"/>
        </w:rPr>
        <w:t>ba</w:t>
      </w:r>
      <w:proofErr w:type="spellEnd"/>
      <w:r>
        <w:rPr>
          <w:lang w:bidi="ar-EG"/>
        </w:rPr>
        <w:t>)</w:t>
      </w:r>
      <w:r>
        <w:rPr>
          <w:rFonts w:cs="Arial"/>
          <w:rtl/>
          <w:lang w:bidi="ar-EG"/>
        </w:rPr>
        <w:tab/>
      </w:r>
      <w:r>
        <w:rPr>
          <w:lang w:bidi="ar-EG"/>
        </w:rPr>
        <w:t>Impairment losses of financial assets</w:t>
      </w:r>
      <w:r>
        <w:rPr>
          <w:rFonts w:cs="Arial"/>
          <w:rtl/>
          <w:lang w:bidi="ar-EG"/>
        </w:rPr>
        <w:tab/>
        <w:t>34.2</w:t>
      </w:r>
      <w:r>
        <w:rPr>
          <w:rFonts w:cs="Arial"/>
          <w:rtl/>
          <w:lang w:bidi="ar-EG"/>
        </w:rPr>
        <w:tab/>
        <w:t>(212)</w:t>
      </w:r>
      <w:r>
        <w:rPr>
          <w:rFonts w:cs="Arial"/>
          <w:rtl/>
          <w:lang w:bidi="ar-EG"/>
        </w:rPr>
        <w:tab/>
        <w:t>-228</w:t>
      </w:r>
      <w:r>
        <w:rPr>
          <w:rFonts w:cs="Arial"/>
          <w:rtl/>
          <w:lang w:bidi="ar-EG"/>
        </w:rPr>
        <w:tab/>
      </w:r>
      <w:r>
        <w:rPr>
          <w:rFonts w:cs="Arial"/>
          <w:rtl/>
          <w:lang w:bidi="ar-EG"/>
        </w:rPr>
        <w:tab/>
      </w:r>
      <w:r>
        <w:rPr>
          <w:lang w:bidi="ar-EG"/>
        </w:rPr>
        <w:t>income in two statements. A single statement</w:t>
      </w:r>
    </w:p>
    <w:p w14:paraId="758CC095" w14:textId="77777777" w:rsidR="004624A3" w:rsidRDefault="004624A3" w:rsidP="004624A3">
      <w:pPr>
        <w:bidi w:val="0"/>
        <w:rPr>
          <w:lang w:bidi="ar-EG"/>
        </w:rPr>
      </w:pPr>
      <w:r>
        <w:rPr>
          <w:lang w:bidi="ar-EG"/>
        </w:rPr>
        <w:t>IAS 1.85</w:t>
      </w:r>
      <w:r>
        <w:rPr>
          <w:rFonts w:cs="Arial"/>
          <w:rtl/>
          <w:lang w:bidi="ar-EG"/>
        </w:rPr>
        <w:tab/>
      </w:r>
      <w:r>
        <w:rPr>
          <w:lang w:bidi="ar-EG"/>
        </w:rPr>
        <w:t>Other expenses</w:t>
      </w:r>
      <w:r>
        <w:rPr>
          <w:rFonts w:cs="Arial"/>
          <w:rtl/>
          <w:lang w:bidi="ar-EG"/>
        </w:rPr>
        <w:tab/>
      </w:r>
      <w:r>
        <w:rPr>
          <w:rFonts w:cs="Arial"/>
          <w:rtl/>
          <w:lang w:bidi="ar-EG"/>
        </w:rPr>
        <w:tab/>
        <w:t>(8,598)</w:t>
      </w:r>
      <w:r>
        <w:rPr>
          <w:rFonts w:cs="Arial"/>
          <w:rtl/>
          <w:lang w:bidi="ar-EG"/>
        </w:rPr>
        <w:tab/>
        <w:t>-8943</w:t>
      </w:r>
      <w:r>
        <w:rPr>
          <w:rFonts w:cs="Arial"/>
          <w:rtl/>
          <w:lang w:bidi="ar-EG"/>
        </w:rPr>
        <w:tab/>
      </w:r>
      <w:r>
        <w:rPr>
          <w:rFonts w:cs="Arial"/>
          <w:rtl/>
          <w:lang w:bidi="ar-EG"/>
        </w:rPr>
        <w:tab/>
      </w:r>
      <w:r>
        <w:rPr>
          <w:lang w:bidi="ar-EG"/>
        </w:rPr>
        <w:t>presentation is shown in Appendix B</w:t>
      </w:r>
      <w:r>
        <w:rPr>
          <w:rFonts w:cs="Arial"/>
          <w:rtl/>
          <w:lang w:bidi="ar-EG"/>
        </w:rPr>
        <w:t>.</w:t>
      </w:r>
    </w:p>
    <w:p w14:paraId="33C516F4"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lang w:bidi="ar-EG"/>
        </w:rPr>
        <w:t>This statement of profit or loss illustrates an example</w:t>
      </w:r>
    </w:p>
    <w:p w14:paraId="2B0E6E2D" w14:textId="77777777" w:rsidR="004624A3" w:rsidRDefault="004624A3" w:rsidP="004624A3">
      <w:pPr>
        <w:bidi w:val="0"/>
        <w:rPr>
          <w:lang w:bidi="ar-EG"/>
        </w:rPr>
      </w:pPr>
      <w:r>
        <w:rPr>
          <w:rFonts w:cs="Arial"/>
          <w:rtl/>
          <w:lang w:bidi="ar-EG"/>
        </w:rPr>
        <w:tab/>
      </w:r>
      <w:r>
        <w:rPr>
          <w:lang w:bidi="ar-EG"/>
        </w:rPr>
        <w:t>Operating profit</w:t>
      </w:r>
      <w:r>
        <w:rPr>
          <w:rFonts w:cs="Arial"/>
          <w:rtl/>
          <w:lang w:bidi="ar-EG"/>
        </w:rPr>
        <w:tab/>
      </w:r>
      <w:r>
        <w:rPr>
          <w:rFonts w:cs="Arial"/>
          <w:rtl/>
          <w:lang w:bidi="ar-EG"/>
        </w:rPr>
        <w:tab/>
        <w:t>23,232</w:t>
      </w:r>
      <w:r>
        <w:rPr>
          <w:rFonts w:cs="Arial"/>
          <w:rtl/>
          <w:lang w:bidi="ar-EG"/>
        </w:rPr>
        <w:tab/>
        <w:t>18309</w:t>
      </w:r>
      <w:r>
        <w:rPr>
          <w:rFonts w:cs="Arial"/>
          <w:rtl/>
          <w:lang w:bidi="ar-EG"/>
        </w:rPr>
        <w:tab/>
      </w:r>
      <w:r>
        <w:rPr>
          <w:rFonts w:cs="Arial"/>
          <w:rtl/>
          <w:lang w:bidi="ar-EG"/>
        </w:rPr>
        <w:tab/>
      </w:r>
      <w:r>
        <w:rPr>
          <w:lang w:bidi="ar-EG"/>
        </w:rPr>
        <w:t>of the ‘nature of expense’ method. See Appendix A for</w:t>
      </w:r>
    </w:p>
    <w:p w14:paraId="63A57E86"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lang w:bidi="ar-EG"/>
        </w:rPr>
        <w:t>a format illustrating the ‘function of expense’ or ‘cost</w:t>
      </w:r>
    </w:p>
    <w:p w14:paraId="5EF3D423"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lang w:bidi="ar-EG"/>
        </w:rPr>
        <w:t>of sales’ method</w:t>
      </w:r>
      <w:r>
        <w:rPr>
          <w:rFonts w:cs="Arial"/>
          <w:rtl/>
          <w:lang w:bidi="ar-EG"/>
        </w:rPr>
        <w:t>.</w:t>
      </w:r>
    </w:p>
    <w:p w14:paraId="4B1E2D6A" w14:textId="77777777" w:rsidR="004624A3" w:rsidRDefault="004624A3" w:rsidP="004624A3">
      <w:pPr>
        <w:bidi w:val="0"/>
        <w:rPr>
          <w:lang w:bidi="ar-EG"/>
        </w:rPr>
      </w:pPr>
      <w:r>
        <w:rPr>
          <w:lang w:bidi="ar-EG"/>
        </w:rPr>
        <w:t>IAS 1.82(c)</w:t>
      </w:r>
      <w:r>
        <w:rPr>
          <w:rFonts w:cs="Arial"/>
          <w:rtl/>
          <w:lang w:bidi="ar-EG"/>
        </w:rPr>
        <w:tab/>
        <w:t>"</w:t>
      </w:r>
      <w:r>
        <w:rPr>
          <w:lang w:bidi="ar-EG"/>
        </w:rPr>
        <w:t>Share of profit from equity accounted</w:t>
      </w:r>
    </w:p>
    <w:p w14:paraId="5FC10828" w14:textId="77777777" w:rsidR="004624A3" w:rsidRDefault="004624A3" w:rsidP="004624A3">
      <w:pPr>
        <w:bidi w:val="0"/>
        <w:rPr>
          <w:lang w:bidi="ar-EG"/>
        </w:rPr>
      </w:pPr>
      <w:r>
        <w:rPr>
          <w:lang w:bidi="ar-EG"/>
        </w:rPr>
        <w:t>investments"</w:t>
      </w:r>
      <w:r>
        <w:rPr>
          <w:rFonts w:cs="Arial"/>
          <w:rtl/>
          <w:lang w:bidi="ar-EG"/>
        </w:rPr>
        <w:tab/>
        <w:t>7</w:t>
      </w:r>
      <w:r>
        <w:rPr>
          <w:rFonts w:cs="Arial"/>
          <w:rtl/>
          <w:lang w:bidi="ar-EG"/>
        </w:rPr>
        <w:tab/>
        <w:t>391</w:t>
      </w:r>
      <w:r>
        <w:rPr>
          <w:rFonts w:cs="Arial"/>
          <w:rtl/>
          <w:lang w:bidi="ar-EG"/>
        </w:rPr>
        <w:tab/>
        <w:t>141</w:t>
      </w:r>
      <w:r>
        <w:rPr>
          <w:rFonts w:cs="Arial"/>
          <w:rtl/>
          <w:lang w:bidi="ar-EG"/>
        </w:rPr>
        <w:tab/>
      </w:r>
      <w:r>
        <w:rPr>
          <w:rFonts w:cs="Arial"/>
          <w:rtl/>
          <w:lang w:bidi="ar-EG"/>
        </w:rPr>
        <w:tab/>
      </w:r>
      <w:r>
        <w:rPr>
          <w:lang w:bidi="ar-EG"/>
        </w:rPr>
        <w:t>There may be situations where additional line items</w:t>
      </w:r>
      <w:r>
        <w:rPr>
          <w:rFonts w:cs="Arial"/>
          <w:rtl/>
          <w:lang w:bidi="ar-EG"/>
        </w:rPr>
        <w:t>,</w:t>
      </w:r>
    </w:p>
    <w:p w14:paraId="0B62DFC5"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lang w:bidi="ar-EG"/>
        </w:rPr>
        <w:t>headings and subtotals need to be included. IAS 1.85</w:t>
      </w:r>
    </w:p>
    <w:p w14:paraId="6B2F37FE" w14:textId="77777777" w:rsidR="004624A3" w:rsidRDefault="004624A3" w:rsidP="004624A3">
      <w:pPr>
        <w:bidi w:val="0"/>
        <w:rPr>
          <w:lang w:bidi="ar-EG"/>
        </w:rPr>
      </w:pPr>
      <w:r>
        <w:rPr>
          <w:lang w:bidi="ar-EG"/>
        </w:rPr>
        <w:t>IAS 1.82(b)</w:t>
      </w:r>
      <w:r>
        <w:rPr>
          <w:rFonts w:cs="Arial"/>
          <w:rtl/>
          <w:lang w:bidi="ar-EG"/>
        </w:rPr>
        <w:tab/>
      </w:r>
      <w:r>
        <w:rPr>
          <w:lang w:bidi="ar-EG"/>
        </w:rPr>
        <w:t>Finance costs</w:t>
      </w:r>
      <w:r>
        <w:rPr>
          <w:rFonts w:cs="Arial"/>
          <w:rtl/>
          <w:lang w:bidi="ar-EG"/>
        </w:rPr>
        <w:tab/>
        <w:t>27</w:t>
      </w:r>
      <w:r>
        <w:rPr>
          <w:rFonts w:cs="Arial"/>
          <w:rtl/>
          <w:lang w:bidi="ar-EG"/>
        </w:rPr>
        <w:tab/>
        <w:t>(3,869)</w:t>
      </w:r>
      <w:r>
        <w:rPr>
          <w:rFonts w:cs="Arial"/>
          <w:rtl/>
          <w:lang w:bidi="ar-EG"/>
        </w:rPr>
        <w:tab/>
        <w:t>-3993</w:t>
      </w:r>
      <w:r>
        <w:rPr>
          <w:rFonts w:cs="Arial"/>
          <w:rtl/>
          <w:lang w:bidi="ar-EG"/>
        </w:rPr>
        <w:tab/>
      </w:r>
      <w:r>
        <w:rPr>
          <w:rFonts w:cs="Arial"/>
          <w:rtl/>
          <w:lang w:bidi="ar-EG"/>
        </w:rPr>
        <w:tab/>
      </w:r>
      <w:r>
        <w:rPr>
          <w:lang w:bidi="ar-EG"/>
        </w:rPr>
        <w:t>requires an entity to present such additional items</w:t>
      </w:r>
    </w:p>
    <w:p w14:paraId="0D840AA8"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t>(</w:t>
      </w:r>
      <w:r>
        <w:rPr>
          <w:lang w:bidi="ar-EG"/>
        </w:rPr>
        <w:t>including the disaggregation of the line items listed</w:t>
      </w:r>
    </w:p>
    <w:p w14:paraId="1D997A6B" w14:textId="77777777" w:rsidR="004624A3" w:rsidRDefault="004624A3" w:rsidP="004624A3">
      <w:pPr>
        <w:bidi w:val="0"/>
        <w:rPr>
          <w:lang w:bidi="ar-EG"/>
        </w:rPr>
      </w:pPr>
      <w:r>
        <w:rPr>
          <w:lang w:bidi="ar-EG"/>
        </w:rPr>
        <w:t>IAS 1.85</w:t>
      </w:r>
      <w:r>
        <w:rPr>
          <w:rFonts w:cs="Arial"/>
          <w:rtl/>
          <w:lang w:bidi="ar-EG"/>
        </w:rPr>
        <w:tab/>
      </w:r>
      <w:r>
        <w:rPr>
          <w:lang w:bidi="ar-EG"/>
        </w:rPr>
        <w:t>Finance income</w:t>
      </w:r>
      <w:r>
        <w:rPr>
          <w:rFonts w:cs="Arial"/>
          <w:rtl/>
          <w:lang w:bidi="ar-EG"/>
        </w:rPr>
        <w:tab/>
        <w:t>27</w:t>
      </w:r>
      <w:r>
        <w:rPr>
          <w:rFonts w:cs="Arial"/>
          <w:rtl/>
          <w:lang w:bidi="ar-EG"/>
        </w:rPr>
        <w:tab/>
        <w:t>964</w:t>
      </w:r>
      <w:r>
        <w:rPr>
          <w:rFonts w:cs="Arial"/>
          <w:rtl/>
          <w:lang w:bidi="ar-EG"/>
        </w:rPr>
        <w:tab/>
        <w:t>885</w:t>
      </w:r>
      <w:r>
        <w:rPr>
          <w:rFonts w:cs="Arial"/>
          <w:rtl/>
          <w:lang w:bidi="ar-EG"/>
        </w:rPr>
        <w:tab/>
      </w:r>
      <w:r>
        <w:rPr>
          <w:rFonts w:cs="Arial"/>
          <w:rtl/>
          <w:lang w:bidi="ar-EG"/>
        </w:rPr>
        <w:tab/>
      </w:r>
      <w:r>
        <w:rPr>
          <w:lang w:bidi="ar-EG"/>
        </w:rPr>
        <w:t>in IAS 1.82) in the statements of profit or loss and other</w:t>
      </w:r>
    </w:p>
    <w:p w14:paraId="23FA14DE" w14:textId="77777777" w:rsidR="004624A3" w:rsidRDefault="004624A3" w:rsidP="004624A3">
      <w:pPr>
        <w:bidi w:val="0"/>
        <w:rPr>
          <w:lang w:bidi="ar-EG"/>
        </w:rPr>
      </w:pPr>
      <w:r>
        <w:rPr>
          <w:lang w:bidi="ar-EG"/>
        </w:rPr>
        <w:t>IAS 1.85</w:t>
      </w:r>
      <w:r>
        <w:rPr>
          <w:rFonts w:cs="Arial"/>
          <w:rtl/>
          <w:lang w:bidi="ar-EG"/>
        </w:rPr>
        <w:tab/>
      </w:r>
      <w:r>
        <w:rPr>
          <w:lang w:bidi="ar-EG"/>
        </w:rPr>
        <w:t>Other financial items</w:t>
      </w:r>
      <w:r>
        <w:rPr>
          <w:rFonts w:cs="Arial"/>
          <w:rtl/>
          <w:lang w:bidi="ar-EG"/>
        </w:rPr>
        <w:tab/>
        <w:t>28</w:t>
      </w:r>
      <w:r>
        <w:rPr>
          <w:rFonts w:cs="Arial"/>
          <w:rtl/>
          <w:lang w:bidi="ar-EG"/>
        </w:rPr>
        <w:tab/>
        <w:t>,943</w:t>
      </w:r>
      <w:r>
        <w:rPr>
          <w:rFonts w:cs="Arial"/>
          <w:rtl/>
          <w:lang w:bidi="ar-EG"/>
        </w:rPr>
        <w:tab/>
        <w:t>1182</w:t>
      </w:r>
      <w:r>
        <w:rPr>
          <w:rFonts w:cs="Arial"/>
          <w:rtl/>
          <w:lang w:bidi="ar-EG"/>
        </w:rPr>
        <w:tab/>
      </w:r>
      <w:r>
        <w:rPr>
          <w:rFonts w:cs="Arial"/>
          <w:rtl/>
          <w:lang w:bidi="ar-EG"/>
        </w:rPr>
        <w:tab/>
      </w:r>
      <w:r>
        <w:rPr>
          <w:lang w:bidi="ar-EG"/>
        </w:rPr>
        <w:t>comprehensive income when such presentation is</w:t>
      </w:r>
    </w:p>
    <w:p w14:paraId="4BFF52C1"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lang w:bidi="ar-EG"/>
        </w:rPr>
        <w:t>relevant to an understanding of the entity’s financial</w:t>
      </w:r>
    </w:p>
    <w:p w14:paraId="1D16823E" w14:textId="77777777" w:rsidR="004624A3" w:rsidRDefault="004624A3" w:rsidP="004624A3">
      <w:pPr>
        <w:bidi w:val="0"/>
        <w:rPr>
          <w:lang w:bidi="ar-EG"/>
        </w:rPr>
      </w:pPr>
      <w:r>
        <w:rPr>
          <w:rFonts w:cs="Arial"/>
          <w:rtl/>
          <w:lang w:bidi="ar-EG"/>
        </w:rPr>
        <w:tab/>
      </w:r>
      <w:r>
        <w:rPr>
          <w:lang w:bidi="ar-EG"/>
        </w:rPr>
        <w:t>Profit before tax</w:t>
      </w:r>
      <w:r>
        <w:rPr>
          <w:rFonts w:cs="Arial"/>
          <w:rtl/>
          <w:lang w:bidi="ar-EG"/>
        </w:rPr>
        <w:tab/>
      </w:r>
      <w:r>
        <w:rPr>
          <w:rFonts w:cs="Arial"/>
          <w:rtl/>
          <w:lang w:bidi="ar-EG"/>
        </w:rPr>
        <w:tab/>
        <w:t>21,661</w:t>
      </w:r>
      <w:r>
        <w:rPr>
          <w:rFonts w:cs="Arial"/>
          <w:rtl/>
          <w:lang w:bidi="ar-EG"/>
        </w:rPr>
        <w:tab/>
        <w:t>16524</w:t>
      </w:r>
      <w:r>
        <w:rPr>
          <w:rFonts w:cs="Arial"/>
          <w:rtl/>
          <w:lang w:bidi="ar-EG"/>
        </w:rPr>
        <w:tab/>
      </w:r>
      <w:r>
        <w:rPr>
          <w:rFonts w:cs="Arial"/>
          <w:rtl/>
          <w:lang w:bidi="ar-EG"/>
        </w:rPr>
        <w:tab/>
      </w:r>
      <w:r>
        <w:rPr>
          <w:lang w:bidi="ar-EG"/>
        </w:rPr>
        <w:t>performance</w:t>
      </w:r>
      <w:r>
        <w:rPr>
          <w:rFonts w:cs="Arial"/>
          <w:rtl/>
          <w:lang w:bidi="ar-EG"/>
        </w:rPr>
        <w:t>.</w:t>
      </w:r>
    </w:p>
    <w:p w14:paraId="038F4CFC"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lang w:bidi="ar-EG"/>
        </w:rPr>
        <w:t>IAS 1.85A requires any additional subtotals presented</w:t>
      </w:r>
    </w:p>
    <w:p w14:paraId="2B890576"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lang w:bidi="ar-EG"/>
        </w:rPr>
        <w:t>to be</w:t>
      </w:r>
      <w:r>
        <w:rPr>
          <w:rFonts w:cs="Arial"/>
          <w:rtl/>
          <w:lang w:bidi="ar-EG"/>
        </w:rPr>
        <w:t>:</w:t>
      </w:r>
    </w:p>
    <w:p w14:paraId="42A35642" w14:textId="77777777" w:rsidR="004624A3" w:rsidRDefault="004624A3" w:rsidP="004624A3">
      <w:pPr>
        <w:bidi w:val="0"/>
        <w:rPr>
          <w:lang w:bidi="ar-EG"/>
        </w:rPr>
      </w:pPr>
      <w:r>
        <w:rPr>
          <w:lang w:bidi="ar-EG"/>
        </w:rPr>
        <w:t>IAS 1.82(d)</w:t>
      </w:r>
      <w:r>
        <w:rPr>
          <w:rFonts w:cs="Arial"/>
          <w:rtl/>
          <w:lang w:bidi="ar-EG"/>
        </w:rPr>
        <w:tab/>
      </w:r>
      <w:r>
        <w:rPr>
          <w:lang w:bidi="ar-EG"/>
        </w:rPr>
        <w:t>Tax expense</w:t>
      </w:r>
      <w:r>
        <w:rPr>
          <w:rFonts w:cs="Arial"/>
          <w:rtl/>
          <w:lang w:bidi="ar-EG"/>
        </w:rPr>
        <w:tab/>
        <w:t>29</w:t>
      </w:r>
      <w:r>
        <w:rPr>
          <w:rFonts w:cs="Arial"/>
          <w:rtl/>
          <w:lang w:bidi="ar-EG"/>
        </w:rPr>
        <w:tab/>
        <w:t>(6,794)</w:t>
      </w:r>
      <w:r>
        <w:rPr>
          <w:rFonts w:cs="Arial"/>
          <w:rtl/>
          <w:lang w:bidi="ar-EG"/>
        </w:rPr>
        <w:tab/>
        <w:t>-4888</w:t>
      </w:r>
      <w:r>
        <w:rPr>
          <w:rFonts w:cs="Arial"/>
          <w:rtl/>
          <w:lang w:bidi="ar-EG"/>
        </w:rPr>
        <w:tab/>
        <w:t>•</w:t>
      </w:r>
      <w:r>
        <w:rPr>
          <w:rFonts w:cs="Arial"/>
          <w:rtl/>
          <w:lang w:bidi="ar-EG"/>
        </w:rPr>
        <w:tab/>
      </w:r>
      <w:r>
        <w:rPr>
          <w:lang w:bidi="ar-EG"/>
        </w:rPr>
        <w:t>comprised of line items made up of amounts</w:t>
      </w:r>
    </w:p>
    <w:p w14:paraId="0F310C61"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proofErr w:type="spellStart"/>
      <w:r>
        <w:rPr>
          <w:lang w:bidi="ar-EG"/>
        </w:rPr>
        <w:t>recognised</w:t>
      </w:r>
      <w:proofErr w:type="spellEnd"/>
      <w:r>
        <w:rPr>
          <w:lang w:bidi="ar-EG"/>
        </w:rPr>
        <w:t xml:space="preserve"> and measured in accordance with IFRS</w:t>
      </w:r>
    </w:p>
    <w:p w14:paraId="67B49604" w14:textId="77777777" w:rsidR="004624A3" w:rsidRDefault="004624A3" w:rsidP="004624A3">
      <w:pPr>
        <w:bidi w:val="0"/>
        <w:rPr>
          <w:lang w:bidi="ar-EG"/>
        </w:rPr>
      </w:pPr>
      <w:r>
        <w:rPr>
          <w:rFonts w:cs="Arial"/>
          <w:rtl/>
          <w:lang w:bidi="ar-EG"/>
        </w:rPr>
        <w:tab/>
        <w:t>"</w:t>
      </w:r>
      <w:r>
        <w:rPr>
          <w:lang w:bidi="ar-EG"/>
        </w:rPr>
        <w:t>Profit for the year from continuing</w:t>
      </w:r>
    </w:p>
    <w:p w14:paraId="15EBFAD0" w14:textId="77777777" w:rsidR="004624A3" w:rsidRDefault="004624A3" w:rsidP="004624A3">
      <w:pPr>
        <w:bidi w:val="0"/>
        <w:rPr>
          <w:lang w:bidi="ar-EG"/>
        </w:rPr>
      </w:pPr>
      <w:r>
        <w:rPr>
          <w:lang w:bidi="ar-EG"/>
        </w:rPr>
        <w:t>operations"</w:t>
      </w:r>
      <w:r>
        <w:rPr>
          <w:rFonts w:cs="Arial"/>
          <w:rtl/>
          <w:lang w:bidi="ar-EG"/>
        </w:rPr>
        <w:tab/>
      </w:r>
      <w:r>
        <w:rPr>
          <w:rFonts w:cs="Arial"/>
          <w:rtl/>
          <w:lang w:bidi="ar-EG"/>
        </w:rPr>
        <w:tab/>
        <w:t>14,867</w:t>
      </w:r>
      <w:r>
        <w:rPr>
          <w:rFonts w:cs="Arial"/>
          <w:rtl/>
          <w:lang w:bidi="ar-EG"/>
        </w:rPr>
        <w:tab/>
        <w:t>11636</w:t>
      </w:r>
      <w:r>
        <w:rPr>
          <w:rFonts w:cs="Arial"/>
          <w:rtl/>
          <w:lang w:bidi="ar-EG"/>
        </w:rPr>
        <w:tab/>
        <w:t>•</w:t>
      </w:r>
      <w:r>
        <w:rPr>
          <w:rFonts w:cs="Arial"/>
          <w:rtl/>
          <w:lang w:bidi="ar-EG"/>
        </w:rPr>
        <w:tab/>
      </w:r>
      <w:r>
        <w:rPr>
          <w:lang w:bidi="ar-EG"/>
        </w:rPr>
        <w:t>presented and labelled in a manner that makes</w:t>
      </w:r>
    </w:p>
    <w:p w14:paraId="1901AB7F"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lang w:bidi="ar-EG"/>
        </w:rPr>
        <w:t>the line items that constitute the subtotal clear and</w:t>
      </w:r>
    </w:p>
    <w:p w14:paraId="701CE7DF" w14:textId="77777777" w:rsidR="004624A3" w:rsidRDefault="004624A3" w:rsidP="004624A3">
      <w:pPr>
        <w:bidi w:val="0"/>
        <w:rPr>
          <w:lang w:bidi="ar-EG"/>
        </w:rPr>
      </w:pPr>
      <w:r>
        <w:rPr>
          <w:lang w:bidi="ar-EG"/>
        </w:rPr>
        <w:t>IAS 1.82(</w:t>
      </w:r>
      <w:proofErr w:type="spellStart"/>
      <w:r>
        <w:rPr>
          <w:lang w:bidi="ar-EG"/>
        </w:rPr>
        <w:t>ea</w:t>
      </w:r>
      <w:proofErr w:type="spellEnd"/>
      <w:r>
        <w:rPr>
          <w:lang w:bidi="ar-EG"/>
        </w:rPr>
        <w:t>)</w:t>
      </w:r>
      <w:r>
        <w:rPr>
          <w:rFonts w:cs="Arial"/>
          <w:rtl/>
          <w:lang w:bidi="ar-EG"/>
        </w:rPr>
        <w:tab/>
      </w:r>
      <w:r>
        <w:rPr>
          <w:lang w:bidi="ar-EG"/>
        </w:rPr>
        <w:t>Loss for the year from discontinued operations</w:t>
      </w:r>
      <w:r>
        <w:rPr>
          <w:rFonts w:cs="Arial"/>
          <w:rtl/>
          <w:lang w:bidi="ar-EG"/>
        </w:rPr>
        <w:tab/>
        <w:t>20</w:t>
      </w:r>
      <w:r>
        <w:rPr>
          <w:rFonts w:cs="Arial"/>
          <w:rtl/>
          <w:lang w:bidi="ar-EG"/>
        </w:rPr>
        <w:tab/>
        <w:t>(9)</w:t>
      </w:r>
      <w:r>
        <w:rPr>
          <w:rFonts w:cs="Arial"/>
          <w:rtl/>
          <w:lang w:bidi="ar-EG"/>
        </w:rPr>
        <w:tab/>
        <w:t>-325</w:t>
      </w:r>
      <w:r>
        <w:rPr>
          <w:rFonts w:cs="Arial"/>
          <w:rtl/>
          <w:lang w:bidi="ar-EG"/>
        </w:rPr>
        <w:tab/>
      </w:r>
      <w:r>
        <w:rPr>
          <w:rFonts w:cs="Arial"/>
          <w:rtl/>
          <w:lang w:bidi="ar-EG"/>
        </w:rPr>
        <w:tab/>
      </w:r>
      <w:r>
        <w:rPr>
          <w:lang w:bidi="ar-EG"/>
        </w:rPr>
        <w:t>understandable</w:t>
      </w:r>
    </w:p>
    <w:p w14:paraId="1FF853D2"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t>•</w:t>
      </w:r>
      <w:r>
        <w:rPr>
          <w:rFonts w:cs="Arial"/>
          <w:rtl/>
          <w:lang w:bidi="ar-EG"/>
        </w:rPr>
        <w:tab/>
      </w:r>
      <w:r>
        <w:rPr>
          <w:lang w:bidi="ar-EG"/>
        </w:rPr>
        <w:t>consistent from period to period</w:t>
      </w:r>
    </w:p>
    <w:p w14:paraId="14B451DE"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t>•</w:t>
      </w:r>
      <w:r>
        <w:rPr>
          <w:rFonts w:cs="Arial"/>
          <w:rtl/>
          <w:lang w:bidi="ar-EG"/>
        </w:rPr>
        <w:tab/>
      </w:r>
      <w:r>
        <w:rPr>
          <w:lang w:bidi="ar-EG"/>
        </w:rPr>
        <w:t>no more prominent than the subtotals and totals</w:t>
      </w:r>
    </w:p>
    <w:p w14:paraId="64B57C6D" w14:textId="77777777" w:rsidR="004624A3" w:rsidRDefault="004624A3" w:rsidP="004624A3">
      <w:pPr>
        <w:bidi w:val="0"/>
        <w:rPr>
          <w:lang w:bidi="ar-EG"/>
        </w:rPr>
      </w:pPr>
      <w:r>
        <w:rPr>
          <w:lang w:bidi="ar-EG"/>
        </w:rPr>
        <w:t>IAS 1.81A(a)</w:t>
      </w:r>
      <w:r>
        <w:rPr>
          <w:rFonts w:cs="Arial"/>
          <w:rtl/>
          <w:lang w:bidi="ar-EG"/>
        </w:rPr>
        <w:tab/>
      </w:r>
      <w:r>
        <w:rPr>
          <w:lang w:bidi="ar-EG"/>
        </w:rPr>
        <w:t>Profit for the year</w:t>
      </w:r>
      <w:r>
        <w:rPr>
          <w:rFonts w:cs="Arial"/>
          <w:rtl/>
          <w:lang w:bidi="ar-EG"/>
        </w:rPr>
        <w:tab/>
      </w:r>
      <w:r>
        <w:rPr>
          <w:rFonts w:cs="Arial"/>
          <w:rtl/>
          <w:lang w:bidi="ar-EG"/>
        </w:rPr>
        <w:tab/>
        <w:t>14,858</w:t>
      </w:r>
      <w:r>
        <w:rPr>
          <w:rFonts w:cs="Arial"/>
          <w:rtl/>
          <w:lang w:bidi="ar-EG"/>
        </w:rPr>
        <w:tab/>
        <w:t>11311</w:t>
      </w:r>
      <w:r>
        <w:rPr>
          <w:rFonts w:cs="Arial"/>
          <w:rtl/>
          <w:lang w:bidi="ar-EG"/>
        </w:rPr>
        <w:tab/>
      </w:r>
      <w:r>
        <w:rPr>
          <w:rFonts w:cs="Arial"/>
          <w:rtl/>
          <w:lang w:bidi="ar-EG"/>
        </w:rPr>
        <w:tab/>
      </w:r>
      <w:r>
        <w:rPr>
          <w:lang w:bidi="ar-EG"/>
        </w:rPr>
        <w:t>required in IFRS for the statement(s) presenting</w:t>
      </w:r>
    </w:p>
    <w:p w14:paraId="21734614"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lang w:bidi="ar-EG"/>
        </w:rPr>
        <w:t>profit or loss and other comprehensive income</w:t>
      </w:r>
      <w:r>
        <w:rPr>
          <w:rFonts w:cs="Arial"/>
          <w:rtl/>
          <w:lang w:bidi="ar-EG"/>
        </w:rPr>
        <w:t>.</w:t>
      </w:r>
    </w:p>
    <w:p w14:paraId="5E5436FE"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lang w:bidi="ar-EG"/>
        </w:rPr>
        <w:t>This statement of profit or loss presents an operating</w:t>
      </w:r>
    </w:p>
    <w:p w14:paraId="5FCEA449" w14:textId="77777777" w:rsidR="004624A3" w:rsidRDefault="004624A3" w:rsidP="004624A3">
      <w:pPr>
        <w:bidi w:val="0"/>
        <w:rPr>
          <w:lang w:bidi="ar-EG"/>
        </w:rPr>
      </w:pPr>
      <w:r>
        <w:rPr>
          <w:rFonts w:cs="Arial"/>
          <w:rtl/>
          <w:lang w:bidi="ar-EG"/>
        </w:rPr>
        <w:tab/>
      </w:r>
      <w:r>
        <w:rPr>
          <w:lang w:bidi="ar-EG"/>
        </w:rPr>
        <w:t>Profit for the year attributable to:</w:t>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lang w:bidi="ar-EG"/>
        </w:rPr>
        <w:t>profit subtotal, which is commonly seen but is not</w:t>
      </w:r>
    </w:p>
    <w:p w14:paraId="15816195"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lang w:bidi="ar-EG"/>
        </w:rPr>
        <w:t>required or defined in IFRS. Where this subtotal is</w:t>
      </w:r>
    </w:p>
    <w:p w14:paraId="1F895B89" w14:textId="77777777" w:rsidR="004624A3" w:rsidRDefault="004624A3" w:rsidP="004624A3">
      <w:pPr>
        <w:bidi w:val="0"/>
        <w:rPr>
          <w:lang w:bidi="ar-EG"/>
        </w:rPr>
      </w:pPr>
      <w:r>
        <w:rPr>
          <w:lang w:bidi="ar-EG"/>
        </w:rPr>
        <w:t>IAS 1.81B(a)(</w:t>
      </w:r>
      <w:proofErr w:type="spellStart"/>
      <w:r>
        <w:rPr>
          <w:lang w:bidi="ar-EG"/>
        </w:rPr>
        <w:t>i</w:t>
      </w:r>
      <w:proofErr w:type="spellEnd"/>
      <w:r>
        <w:rPr>
          <w:lang w:bidi="ar-EG"/>
        </w:rPr>
        <w:t>)</w:t>
      </w:r>
      <w:r>
        <w:rPr>
          <w:rFonts w:cs="Arial"/>
          <w:rtl/>
          <w:lang w:bidi="ar-EG"/>
        </w:rPr>
        <w:tab/>
      </w:r>
      <w:r>
        <w:rPr>
          <w:lang w:bidi="ar-EG"/>
        </w:rPr>
        <w:t>Non-controlling interest</w:t>
      </w:r>
      <w:r>
        <w:rPr>
          <w:rFonts w:cs="Arial"/>
          <w:rtl/>
          <w:lang w:bidi="ar-EG"/>
        </w:rPr>
        <w:tab/>
      </w:r>
      <w:r>
        <w:rPr>
          <w:rFonts w:cs="Arial"/>
          <w:rtl/>
          <w:lang w:bidi="ar-EG"/>
        </w:rPr>
        <w:tab/>
        <w:t>121</w:t>
      </w:r>
      <w:r>
        <w:rPr>
          <w:rFonts w:cs="Arial"/>
          <w:rtl/>
          <w:lang w:bidi="ar-EG"/>
        </w:rPr>
        <w:tab/>
        <w:t>116</w:t>
      </w:r>
      <w:r>
        <w:rPr>
          <w:rFonts w:cs="Arial"/>
          <w:rtl/>
          <w:lang w:bidi="ar-EG"/>
        </w:rPr>
        <w:tab/>
      </w:r>
      <w:r>
        <w:rPr>
          <w:rFonts w:cs="Arial"/>
          <w:rtl/>
          <w:lang w:bidi="ar-EG"/>
        </w:rPr>
        <w:tab/>
      </w:r>
      <w:r>
        <w:rPr>
          <w:lang w:bidi="ar-EG"/>
        </w:rPr>
        <w:t>provided, the figure disclosed should include items</w:t>
      </w:r>
    </w:p>
    <w:p w14:paraId="73895867" w14:textId="77777777" w:rsidR="004624A3" w:rsidRDefault="004624A3" w:rsidP="004624A3">
      <w:pPr>
        <w:bidi w:val="0"/>
        <w:rPr>
          <w:lang w:bidi="ar-EG"/>
        </w:rPr>
      </w:pPr>
      <w:r>
        <w:rPr>
          <w:rFonts w:cs="Arial"/>
          <w:rtl/>
          <w:lang w:bidi="ar-EG"/>
        </w:rPr>
        <w:tab/>
      </w:r>
      <w:r>
        <w:rPr>
          <w:lang w:bidi="ar-EG"/>
        </w:rPr>
        <w:t>IAS 1.81B(a)(ii) Owners of the parent</w:t>
      </w:r>
      <w:r>
        <w:rPr>
          <w:rFonts w:cs="Arial"/>
          <w:rtl/>
          <w:lang w:bidi="ar-EG"/>
        </w:rPr>
        <w:tab/>
      </w:r>
      <w:r>
        <w:rPr>
          <w:rFonts w:cs="Arial"/>
          <w:rtl/>
          <w:lang w:bidi="ar-EG"/>
        </w:rPr>
        <w:tab/>
        <w:t>14,737</w:t>
      </w:r>
      <w:r>
        <w:rPr>
          <w:rFonts w:cs="Arial"/>
          <w:rtl/>
          <w:lang w:bidi="ar-EG"/>
        </w:rPr>
        <w:tab/>
        <w:t>11195</w:t>
      </w:r>
      <w:r>
        <w:rPr>
          <w:rFonts w:cs="Arial"/>
          <w:rtl/>
          <w:lang w:bidi="ar-EG"/>
        </w:rPr>
        <w:tab/>
      </w:r>
      <w:r>
        <w:rPr>
          <w:rFonts w:cs="Arial"/>
          <w:rtl/>
          <w:lang w:bidi="ar-EG"/>
        </w:rPr>
        <w:tab/>
      </w:r>
      <w:r>
        <w:rPr>
          <w:lang w:bidi="ar-EG"/>
        </w:rPr>
        <w:t>that would normally be considered to be operating</w:t>
      </w:r>
      <w:r>
        <w:rPr>
          <w:rFonts w:cs="Arial"/>
          <w:rtl/>
          <w:lang w:bidi="ar-EG"/>
        </w:rPr>
        <w:t>.</w:t>
      </w:r>
    </w:p>
    <w:p w14:paraId="77116C1D"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lang w:bidi="ar-EG"/>
        </w:rPr>
        <w:t>It is inappropriate to exclude items clearly related</w:t>
      </w:r>
    </w:p>
    <w:p w14:paraId="726D88BF"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t>14,858</w:t>
      </w:r>
      <w:r>
        <w:rPr>
          <w:rFonts w:cs="Arial"/>
          <w:rtl/>
          <w:lang w:bidi="ar-EG"/>
        </w:rPr>
        <w:tab/>
        <w:t>11311</w:t>
      </w:r>
      <w:r>
        <w:rPr>
          <w:rFonts w:cs="Arial"/>
          <w:rtl/>
          <w:lang w:bidi="ar-EG"/>
        </w:rPr>
        <w:tab/>
      </w:r>
      <w:r>
        <w:rPr>
          <w:rFonts w:cs="Arial"/>
          <w:rtl/>
          <w:lang w:bidi="ar-EG"/>
        </w:rPr>
        <w:tab/>
      </w:r>
      <w:r>
        <w:rPr>
          <w:lang w:bidi="ar-EG"/>
        </w:rPr>
        <w:t>to operations (</w:t>
      </w:r>
      <w:proofErr w:type="spellStart"/>
      <w:r>
        <w:rPr>
          <w:lang w:bidi="ar-EG"/>
        </w:rPr>
        <w:t>eg</w:t>
      </w:r>
      <w:proofErr w:type="spellEnd"/>
      <w:r>
        <w:rPr>
          <w:lang w:bidi="ar-EG"/>
        </w:rPr>
        <w:t xml:space="preserve"> inventory write-downs and</w:t>
      </w:r>
    </w:p>
    <w:p w14:paraId="6F23FD19"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lang w:bidi="ar-EG"/>
        </w:rPr>
        <w:t>restructuring and relocation expenses) on the basis</w:t>
      </w:r>
    </w:p>
    <w:p w14:paraId="52B18FB5" w14:textId="77777777" w:rsidR="004624A3" w:rsidRDefault="004624A3" w:rsidP="004624A3">
      <w:pPr>
        <w:bidi w:val="0"/>
        <w:rPr>
          <w:lang w:bidi="ar-EG"/>
        </w:rPr>
      </w:pPr>
      <w:r>
        <w:rPr>
          <w:rFonts w:cs="Arial"/>
          <w:rtl/>
          <w:lang w:bidi="ar-EG"/>
        </w:rPr>
        <w:lastRenderedPageBreak/>
        <w:tab/>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lang w:bidi="ar-EG"/>
        </w:rPr>
        <w:t>they do not occur regularly or are unusual in amount</w:t>
      </w:r>
    </w:p>
    <w:p w14:paraId="00E2F4B0" w14:textId="77777777" w:rsidR="004624A3" w:rsidRDefault="004624A3" w:rsidP="004624A3">
      <w:pPr>
        <w:bidi w:val="0"/>
        <w:rPr>
          <w:lang w:bidi="ar-EG"/>
        </w:rPr>
      </w:pPr>
      <w:r>
        <w:rPr>
          <w:rFonts w:cs="Arial"/>
          <w:rtl/>
          <w:lang w:bidi="ar-EG"/>
        </w:rPr>
        <w:tab/>
      </w:r>
      <w:r>
        <w:rPr>
          <w:rFonts w:cs="Arial"/>
          <w:rtl/>
          <w:lang w:bidi="ar-EG"/>
        </w:rPr>
        <w:tab/>
      </w:r>
      <w:r>
        <w:rPr>
          <w:lang w:bidi="ar-EG"/>
        </w:rPr>
        <w:t>Notes</w:t>
      </w:r>
      <w:r>
        <w:rPr>
          <w:rFonts w:cs="Arial"/>
          <w:rtl/>
          <w:lang w:bidi="ar-EG"/>
        </w:rPr>
        <w:tab/>
        <w:t>2021</w:t>
      </w:r>
      <w:r>
        <w:rPr>
          <w:rFonts w:cs="Arial"/>
          <w:rtl/>
          <w:lang w:bidi="ar-EG"/>
        </w:rPr>
        <w:tab/>
        <w:t>2020</w:t>
      </w:r>
      <w:r>
        <w:rPr>
          <w:rFonts w:cs="Arial"/>
          <w:rtl/>
          <w:lang w:bidi="ar-EG"/>
        </w:rPr>
        <w:tab/>
      </w:r>
      <w:r>
        <w:rPr>
          <w:rFonts w:cs="Arial"/>
          <w:rtl/>
          <w:lang w:bidi="ar-EG"/>
        </w:rPr>
        <w:tab/>
      </w:r>
      <w:r>
        <w:rPr>
          <w:lang w:bidi="ar-EG"/>
        </w:rPr>
        <w:t>(IAS 1.BC56)</w:t>
      </w:r>
      <w:r>
        <w:rPr>
          <w:rFonts w:cs="Arial"/>
          <w:rtl/>
          <w:lang w:bidi="ar-EG"/>
        </w:rPr>
        <w:t>.</w:t>
      </w:r>
    </w:p>
    <w:p w14:paraId="1DD1C6ED" w14:textId="77777777" w:rsidR="004624A3" w:rsidRDefault="004624A3" w:rsidP="004624A3">
      <w:pPr>
        <w:bidi w:val="0"/>
        <w:rPr>
          <w:lang w:bidi="ar-EG"/>
        </w:rPr>
      </w:pPr>
      <w:r>
        <w:rPr>
          <w:rFonts w:cs="Arial"/>
          <w:rtl/>
          <w:lang w:bidi="ar-EG"/>
        </w:rPr>
        <w:tab/>
      </w:r>
      <w:r>
        <w:rPr>
          <w:lang w:bidi="ar-EG"/>
        </w:rPr>
        <w:t>Earnings per share</w:t>
      </w:r>
      <w:r>
        <w:rPr>
          <w:rFonts w:cs="Arial"/>
          <w:rtl/>
          <w:lang w:bidi="ar-EG"/>
        </w:rPr>
        <w:tab/>
        <w:t>30</w:t>
      </w:r>
      <w:r>
        <w:rPr>
          <w:rFonts w:cs="Arial"/>
          <w:rtl/>
          <w:lang w:bidi="ar-EG"/>
        </w:rPr>
        <w:tab/>
      </w:r>
      <w:r>
        <w:rPr>
          <w:rFonts w:cs="Arial"/>
          <w:rtl/>
          <w:lang w:bidi="ar-EG"/>
        </w:rPr>
        <w:tab/>
      </w:r>
      <w:r>
        <w:rPr>
          <w:rFonts w:cs="Arial"/>
          <w:rtl/>
          <w:lang w:bidi="ar-EG"/>
        </w:rPr>
        <w:tab/>
      </w:r>
      <w:r>
        <w:rPr>
          <w:rFonts w:cs="Arial"/>
          <w:rtl/>
          <w:lang w:bidi="ar-EG"/>
        </w:rPr>
        <w:tab/>
      </w:r>
      <w:r>
        <w:rPr>
          <w:lang w:bidi="ar-EG"/>
        </w:rPr>
        <w:t>This statement of profit or loss includes an amount</w:t>
      </w:r>
    </w:p>
    <w:p w14:paraId="13C9346A"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lang w:bidi="ar-EG"/>
        </w:rPr>
        <w:t>representing the entity’s share of profit from equity</w:t>
      </w:r>
    </w:p>
    <w:p w14:paraId="28EC7BF9" w14:textId="77777777" w:rsidR="004624A3" w:rsidRDefault="004624A3" w:rsidP="004624A3">
      <w:pPr>
        <w:bidi w:val="0"/>
        <w:rPr>
          <w:lang w:bidi="ar-EG"/>
        </w:rPr>
      </w:pPr>
      <w:r>
        <w:rPr>
          <w:lang w:bidi="ar-EG"/>
        </w:rPr>
        <w:t>IAS 33.67A</w:t>
      </w:r>
      <w:r>
        <w:rPr>
          <w:rFonts w:cs="Arial"/>
          <w:rtl/>
          <w:lang w:bidi="ar-EG"/>
        </w:rPr>
        <w:tab/>
      </w:r>
      <w:r>
        <w:rPr>
          <w:lang w:bidi="ar-EG"/>
        </w:rPr>
        <w:t>Basic earnings (loss) per share</w:t>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lang w:bidi="ar-EG"/>
        </w:rPr>
        <w:t>accounted investments (after tax and, if applicable</w:t>
      </w:r>
      <w:r>
        <w:rPr>
          <w:rFonts w:cs="Arial"/>
          <w:rtl/>
          <w:lang w:bidi="ar-EG"/>
        </w:rPr>
        <w:t>,</w:t>
      </w:r>
    </w:p>
    <w:p w14:paraId="135CB6CB" w14:textId="77777777" w:rsidR="004624A3" w:rsidRDefault="004624A3" w:rsidP="004624A3">
      <w:pPr>
        <w:bidi w:val="0"/>
        <w:rPr>
          <w:lang w:bidi="ar-EG"/>
        </w:rPr>
      </w:pP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r>
        <w:rPr>
          <w:lang w:bidi="ar-EG"/>
        </w:rPr>
        <w:t>non-controlling interest</w:t>
      </w:r>
      <w:r>
        <w:rPr>
          <w:rFonts w:cs="Arial"/>
          <w:rtl/>
          <w:lang w:bidi="ar-EG"/>
        </w:rPr>
        <w:t>).</w:t>
      </w:r>
    </w:p>
    <w:p w14:paraId="66DD55D5" w14:textId="77777777" w:rsidR="004624A3" w:rsidRDefault="004624A3" w:rsidP="004624A3">
      <w:pPr>
        <w:bidi w:val="0"/>
        <w:rPr>
          <w:lang w:bidi="ar-EG"/>
        </w:rPr>
      </w:pPr>
      <w:r>
        <w:rPr>
          <w:lang w:bidi="ar-EG"/>
        </w:rPr>
        <w:t>IAS 33.66</w:t>
      </w:r>
      <w:r>
        <w:rPr>
          <w:rFonts w:cs="Arial"/>
          <w:rtl/>
          <w:lang w:bidi="ar-EG"/>
        </w:rPr>
        <w:tab/>
        <w:t xml:space="preserve">– </w:t>
      </w:r>
      <w:r>
        <w:rPr>
          <w:lang w:bidi="ar-EG"/>
        </w:rPr>
        <w:t>From continuing operations</w:t>
      </w:r>
      <w:r>
        <w:rPr>
          <w:rFonts w:cs="Arial"/>
          <w:rtl/>
          <w:lang w:bidi="ar-EG"/>
        </w:rPr>
        <w:tab/>
      </w:r>
      <w:r>
        <w:rPr>
          <w:rFonts w:cs="Arial"/>
          <w:rtl/>
          <w:lang w:bidi="ar-EG"/>
        </w:rPr>
        <w:tab/>
        <w:t>1.19</w:t>
      </w:r>
      <w:r>
        <w:rPr>
          <w:rFonts w:cs="Arial"/>
          <w:rtl/>
          <w:lang w:bidi="ar-EG"/>
        </w:rPr>
        <w:tab/>
        <w:t>0.93</w:t>
      </w:r>
      <w:r>
        <w:rPr>
          <w:rFonts w:cs="Arial"/>
          <w:rtl/>
          <w:lang w:bidi="ar-EG"/>
        </w:rPr>
        <w:tab/>
      </w:r>
      <w:r>
        <w:rPr>
          <w:rFonts w:cs="Arial"/>
          <w:rtl/>
          <w:lang w:bidi="ar-EG"/>
        </w:rPr>
        <w:tab/>
      </w:r>
    </w:p>
    <w:p w14:paraId="5432CAE5" w14:textId="77777777" w:rsidR="004624A3" w:rsidRDefault="004624A3" w:rsidP="004624A3">
      <w:pPr>
        <w:bidi w:val="0"/>
        <w:rPr>
          <w:lang w:bidi="ar-EG"/>
        </w:rPr>
      </w:pPr>
      <w:r>
        <w:rPr>
          <w:lang w:bidi="ar-EG"/>
        </w:rPr>
        <w:t>IAS 33.68A</w:t>
      </w:r>
      <w:r>
        <w:rPr>
          <w:rFonts w:cs="Arial"/>
          <w:rtl/>
          <w:lang w:bidi="ar-EG"/>
        </w:rPr>
        <w:tab/>
        <w:t xml:space="preserve">– </w:t>
      </w:r>
      <w:r>
        <w:rPr>
          <w:lang w:bidi="ar-EG"/>
        </w:rPr>
        <w:t>From discontinued operations</w:t>
      </w:r>
      <w:r>
        <w:rPr>
          <w:rFonts w:cs="Arial"/>
          <w:rtl/>
          <w:lang w:bidi="ar-EG"/>
        </w:rPr>
        <w:tab/>
      </w:r>
      <w:r>
        <w:rPr>
          <w:rFonts w:cs="Arial"/>
          <w:rtl/>
          <w:lang w:bidi="ar-EG"/>
        </w:rPr>
        <w:tab/>
        <w:t>(0.00)</w:t>
      </w:r>
      <w:r>
        <w:rPr>
          <w:rFonts w:cs="Arial"/>
          <w:rtl/>
          <w:lang w:bidi="ar-EG"/>
        </w:rPr>
        <w:tab/>
        <w:t>-0.03</w:t>
      </w:r>
      <w:r>
        <w:rPr>
          <w:rFonts w:cs="Arial"/>
          <w:rtl/>
          <w:lang w:bidi="ar-EG"/>
        </w:rPr>
        <w:tab/>
      </w:r>
      <w:r>
        <w:rPr>
          <w:rFonts w:cs="Arial"/>
          <w:rtl/>
          <w:lang w:bidi="ar-EG"/>
        </w:rPr>
        <w:tab/>
      </w:r>
    </w:p>
    <w:p w14:paraId="3B9E94C0" w14:textId="77777777" w:rsidR="004624A3" w:rsidRDefault="004624A3" w:rsidP="004624A3">
      <w:pPr>
        <w:bidi w:val="0"/>
        <w:rPr>
          <w:lang w:bidi="ar-EG"/>
        </w:rPr>
      </w:pPr>
      <w:r>
        <w:rPr>
          <w:lang w:bidi="ar-EG"/>
        </w:rPr>
        <w:t>IAS 33.66</w:t>
      </w:r>
      <w:r>
        <w:rPr>
          <w:rFonts w:cs="Arial"/>
          <w:rtl/>
          <w:lang w:bidi="ar-EG"/>
        </w:rPr>
        <w:tab/>
      </w:r>
      <w:r>
        <w:rPr>
          <w:lang w:bidi="ar-EG"/>
        </w:rPr>
        <w:t>Total</w:t>
      </w:r>
      <w:r>
        <w:rPr>
          <w:rFonts w:cs="Arial"/>
          <w:rtl/>
          <w:lang w:bidi="ar-EG"/>
        </w:rPr>
        <w:tab/>
      </w:r>
      <w:r>
        <w:rPr>
          <w:rFonts w:cs="Arial"/>
          <w:rtl/>
          <w:lang w:bidi="ar-EG"/>
        </w:rPr>
        <w:tab/>
        <w:t>1.19</w:t>
      </w:r>
      <w:r>
        <w:rPr>
          <w:rFonts w:cs="Arial"/>
          <w:rtl/>
          <w:lang w:bidi="ar-EG"/>
        </w:rPr>
        <w:tab/>
        <w:t>0.9</w:t>
      </w:r>
      <w:r>
        <w:rPr>
          <w:rFonts w:cs="Arial"/>
          <w:rtl/>
          <w:lang w:bidi="ar-EG"/>
        </w:rPr>
        <w:tab/>
      </w:r>
      <w:r>
        <w:rPr>
          <w:rFonts w:cs="Arial"/>
          <w:rtl/>
          <w:lang w:bidi="ar-EG"/>
        </w:rPr>
        <w:tab/>
      </w:r>
    </w:p>
    <w:p w14:paraId="4DBD5042" w14:textId="77777777" w:rsidR="004624A3" w:rsidRDefault="004624A3" w:rsidP="004624A3">
      <w:pPr>
        <w:bidi w:val="0"/>
        <w:rPr>
          <w:lang w:bidi="ar-EG"/>
        </w:rPr>
      </w:pPr>
      <w:r>
        <w:rPr>
          <w:lang w:bidi="ar-EG"/>
        </w:rPr>
        <w:t>IAS 33.67A</w:t>
      </w:r>
      <w:r>
        <w:rPr>
          <w:rFonts w:cs="Arial"/>
          <w:rtl/>
          <w:lang w:bidi="ar-EG"/>
        </w:rPr>
        <w:tab/>
      </w:r>
      <w:r>
        <w:rPr>
          <w:lang w:bidi="ar-EG"/>
        </w:rPr>
        <w:t>Diluted earnings (loss) per share</w:t>
      </w:r>
      <w:r>
        <w:rPr>
          <w:rFonts w:cs="Arial"/>
          <w:rtl/>
          <w:lang w:bidi="ar-EG"/>
        </w:rPr>
        <w:tab/>
      </w:r>
      <w:r>
        <w:rPr>
          <w:rFonts w:cs="Arial"/>
          <w:rtl/>
          <w:lang w:bidi="ar-EG"/>
        </w:rPr>
        <w:tab/>
      </w:r>
      <w:r>
        <w:rPr>
          <w:rFonts w:cs="Arial"/>
          <w:rtl/>
          <w:lang w:bidi="ar-EG"/>
        </w:rPr>
        <w:tab/>
      </w:r>
      <w:r>
        <w:rPr>
          <w:rFonts w:cs="Arial"/>
          <w:rtl/>
          <w:lang w:bidi="ar-EG"/>
        </w:rPr>
        <w:tab/>
      </w:r>
      <w:r>
        <w:rPr>
          <w:rFonts w:cs="Arial"/>
          <w:rtl/>
          <w:lang w:bidi="ar-EG"/>
        </w:rPr>
        <w:tab/>
      </w:r>
    </w:p>
    <w:p w14:paraId="72BCCAE4" w14:textId="77777777" w:rsidR="004624A3" w:rsidRDefault="004624A3" w:rsidP="004624A3">
      <w:pPr>
        <w:bidi w:val="0"/>
        <w:rPr>
          <w:lang w:bidi="ar-EG"/>
        </w:rPr>
      </w:pPr>
      <w:r>
        <w:rPr>
          <w:lang w:bidi="ar-EG"/>
        </w:rPr>
        <w:t>IAS 33.66</w:t>
      </w:r>
      <w:r>
        <w:rPr>
          <w:rFonts w:cs="Arial"/>
          <w:rtl/>
          <w:lang w:bidi="ar-EG"/>
        </w:rPr>
        <w:tab/>
        <w:t xml:space="preserve">– </w:t>
      </w:r>
      <w:r>
        <w:rPr>
          <w:lang w:bidi="ar-EG"/>
        </w:rPr>
        <w:t>From continuing operations</w:t>
      </w:r>
      <w:r>
        <w:rPr>
          <w:rFonts w:cs="Arial"/>
          <w:rtl/>
          <w:lang w:bidi="ar-EG"/>
        </w:rPr>
        <w:tab/>
      </w:r>
      <w:r>
        <w:rPr>
          <w:rFonts w:cs="Arial"/>
          <w:rtl/>
          <w:lang w:bidi="ar-EG"/>
        </w:rPr>
        <w:tab/>
        <w:t>1.19</w:t>
      </w:r>
      <w:r>
        <w:rPr>
          <w:rFonts w:cs="Arial"/>
          <w:rtl/>
          <w:lang w:bidi="ar-EG"/>
        </w:rPr>
        <w:tab/>
        <w:t>0.93</w:t>
      </w:r>
      <w:r>
        <w:rPr>
          <w:rFonts w:cs="Arial"/>
          <w:rtl/>
          <w:lang w:bidi="ar-EG"/>
        </w:rPr>
        <w:tab/>
      </w:r>
      <w:r>
        <w:rPr>
          <w:rFonts w:cs="Arial"/>
          <w:rtl/>
          <w:lang w:bidi="ar-EG"/>
        </w:rPr>
        <w:tab/>
      </w:r>
    </w:p>
    <w:p w14:paraId="4FC081A4" w14:textId="77777777" w:rsidR="004624A3" w:rsidRDefault="004624A3" w:rsidP="004624A3">
      <w:pPr>
        <w:bidi w:val="0"/>
        <w:rPr>
          <w:lang w:bidi="ar-EG"/>
        </w:rPr>
      </w:pPr>
      <w:r>
        <w:rPr>
          <w:lang w:bidi="ar-EG"/>
        </w:rPr>
        <w:t>IAS 33.68A</w:t>
      </w:r>
      <w:r>
        <w:rPr>
          <w:rFonts w:cs="Arial"/>
          <w:rtl/>
          <w:lang w:bidi="ar-EG"/>
        </w:rPr>
        <w:tab/>
        <w:t xml:space="preserve">– </w:t>
      </w:r>
      <w:r>
        <w:rPr>
          <w:lang w:bidi="ar-EG"/>
        </w:rPr>
        <w:t>From discontinued operations</w:t>
      </w:r>
      <w:r>
        <w:rPr>
          <w:rFonts w:cs="Arial"/>
          <w:rtl/>
          <w:lang w:bidi="ar-EG"/>
        </w:rPr>
        <w:tab/>
      </w:r>
      <w:r>
        <w:rPr>
          <w:rFonts w:cs="Arial"/>
          <w:rtl/>
          <w:lang w:bidi="ar-EG"/>
        </w:rPr>
        <w:tab/>
        <w:t>(0.00)</w:t>
      </w:r>
      <w:r>
        <w:rPr>
          <w:rFonts w:cs="Arial"/>
          <w:rtl/>
          <w:lang w:bidi="ar-EG"/>
        </w:rPr>
        <w:tab/>
        <w:t>-0.03</w:t>
      </w:r>
      <w:r>
        <w:rPr>
          <w:rFonts w:cs="Arial"/>
          <w:rtl/>
          <w:lang w:bidi="ar-EG"/>
        </w:rPr>
        <w:tab/>
      </w:r>
      <w:r>
        <w:rPr>
          <w:rFonts w:cs="Arial"/>
          <w:rtl/>
          <w:lang w:bidi="ar-EG"/>
        </w:rPr>
        <w:tab/>
      </w:r>
    </w:p>
    <w:p w14:paraId="273A5150" w14:textId="77777777" w:rsidR="004624A3" w:rsidRDefault="004624A3" w:rsidP="004624A3">
      <w:pPr>
        <w:bidi w:val="0"/>
        <w:rPr>
          <w:lang w:bidi="ar-EG"/>
        </w:rPr>
      </w:pPr>
      <w:r>
        <w:rPr>
          <w:lang w:bidi="ar-EG"/>
        </w:rPr>
        <w:t>IAS 33.66</w:t>
      </w:r>
      <w:r>
        <w:rPr>
          <w:rFonts w:cs="Arial"/>
          <w:rtl/>
          <w:lang w:bidi="ar-EG"/>
        </w:rPr>
        <w:tab/>
      </w:r>
      <w:r>
        <w:rPr>
          <w:lang w:bidi="ar-EG"/>
        </w:rPr>
        <w:t>Total</w:t>
      </w:r>
      <w:r>
        <w:rPr>
          <w:rFonts w:cs="Arial"/>
          <w:rtl/>
          <w:lang w:bidi="ar-EG"/>
        </w:rPr>
        <w:tab/>
      </w:r>
      <w:r>
        <w:rPr>
          <w:rFonts w:cs="Arial"/>
          <w:rtl/>
          <w:lang w:bidi="ar-EG"/>
        </w:rPr>
        <w:tab/>
        <w:t>1.19</w:t>
      </w:r>
      <w:r>
        <w:rPr>
          <w:rFonts w:cs="Arial"/>
          <w:rtl/>
          <w:lang w:bidi="ar-EG"/>
        </w:rPr>
        <w:tab/>
        <w:t>0.9</w:t>
      </w:r>
      <w:r>
        <w:rPr>
          <w:rFonts w:cs="Arial"/>
          <w:rtl/>
          <w:lang w:bidi="ar-EG"/>
        </w:rPr>
        <w:tab/>
      </w:r>
      <w:r>
        <w:rPr>
          <w:rFonts w:cs="Arial"/>
          <w:rtl/>
          <w:lang w:bidi="ar-EG"/>
        </w:rPr>
        <w:tab/>
      </w:r>
    </w:p>
    <w:p w14:paraId="04106E3D" w14:textId="77777777" w:rsidR="00855E3C" w:rsidRDefault="004624A3" w:rsidP="004624A3">
      <w:pPr>
        <w:bidi w:val="0"/>
        <w:rPr>
          <w:lang w:bidi="ar-EG"/>
        </w:rPr>
      </w:pPr>
      <w:r>
        <w:rPr>
          <w:lang w:bidi="ar-EG"/>
        </w:rPr>
        <w:tab/>
        <w:t>6 Illustrative Corporation Group: IFRS Example Consolidated Financial Statements – 31 December 2021</w:t>
      </w:r>
    </w:p>
    <w:p w14:paraId="6D03A015" w14:textId="61F16083" w:rsidR="00855E3C" w:rsidRDefault="004624A3" w:rsidP="00855E3C">
      <w:pPr>
        <w:bidi w:val="0"/>
        <w:rPr>
          <w:lang w:bidi="ar-EG"/>
        </w:rPr>
      </w:pPr>
      <w:r>
        <w:rPr>
          <w:lang w:bidi="ar-EG"/>
        </w:rPr>
        <w:tab/>
      </w:r>
      <w:r>
        <w:rPr>
          <w:lang w:bidi="ar-EG"/>
        </w:rPr>
        <w:tab/>
      </w:r>
    </w:p>
    <w:tbl>
      <w:tblPr>
        <w:tblStyle w:val="TableGrid"/>
        <w:tblW w:w="0" w:type="auto"/>
        <w:tblLook w:val="04A0" w:firstRow="1" w:lastRow="0" w:firstColumn="1" w:lastColumn="0" w:noHBand="0" w:noVBand="1"/>
      </w:tblPr>
      <w:tblGrid>
        <w:gridCol w:w="1120"/>
        <w:gridCol w:w="3641"/>
        <w:gridCol w:w="724"/>
        <w:gridCol w:w="1047"/>
        <w:gridCol w:w="865"/>
        <w:gridCol w:w="599"/>
        <w:gridCol w:w="3051"/>
      </w:tblGrid>
      <w:tr w:rsidR="00B44D0F" w:rsidRPr="00855E3C" w14:paraId="79AFDE4E" w14:textId="77777777" w:rsidTr="00B44D0F">
        <w:trPr>
          <w:trHeight w:val="285"/>
        </w:trPr>
        <w:tc>
          <w:tcPr>
            <w:tcW w:w="1052" w:type="dxa"/>
            <w:noWrap/>
            <w:hideMark/>
          </w:tcPr>
          <w:p w14:paraId="3F213918" w14:textId="77777777" w:rsidR="00855E3C" w:rsidRPr="00855E3C" w:rsidRDefault="00855E3C" w:rsidP="00855E3C">
            <w:pPr>
              <w:bidi w:val="0"/>
              <w:rPr>
                <w:lang w:bidi="ar-EG"/>
              </w:rPr>
            </w:pPr>
          </w:p>
        </w:tc>
        <w:tc>
          <w:tcPr>
            <w:tcW w:w="3753" w:type="dxa"/>
            <w:noWrap/>
            <w:hideMark/>
          </w:tcPr>
          <w:p w14:paraId="7898241C" w14:textId="77777777" w:rsidR="00855E3C" w:rsidRPr="00855E3C" w:rsidRDefault="00855E3C" w:rsidP="00855E3C">
            <w:pPr>
              <w:bidi w:val="0"/>
              <w:rPr>
                <w:lang w:bidi="ar-EG"/>
              </w:rPr>
            </w:pPr>
            <w:r w:rsidRPr="00855E3C">
              <w:rPr>
                <w:lang w:bidi="ar-EG"/>
              </w:rPr>
              <w:t>profit or loss</w:t>
            </w:r>
          </w:p>
        </w:tc>
        <w:tc>
          <w:tcPr>
            <w:tcW w:w="686" w:type="dxa"/>
            <w:noWrap/>
            <w:hideMark/>
          </w:tcPr>
          <w:p w14:paraId="7FAE3091" w14:textId="77777777" w:rsidR="00855E3C" w:rsidRPr="00855E3C" w:rsidRDefault="00855E3C" w:rsidP="00855E3C">
            <w:pPr>
              <w:bidi w:val="0"/>
              <w:rPr>
                <w:lang w:bidi="ar-EG"/>
              </w:rPr>
            </w:pPr>
          </w:p>
        </w:tc>
        <w:tc>
          <w:tcPr>
            <w:tcW w:w="985" w:type="dxa"/>
            <w:noWrap/>
            <w:hideMark/>
          </w:tcPr>
          <w:p w14:paraId="588A282E" w14:textId="77777777" w:rsidR="00855E3C" w:rsidRPr="00855E3C" w:rsidRDefault="00855E3C" w:rsidP="00855E3C">
            <w:pPr>
              <w:bidi w:val="0"/>
              <w:rPr>
                <w:lang w:bidi="ar-EG"/>
              </w:rPr>
            </w:pPr>
          </w:p>
        </w:tc>
        <w:tc>
          <w:tcPr>
            <w:tcW w:w="816" w:type="dxa"/>
            <w:noWrap/>
            <w:hideMark/>
          </w:tcPr>
          <w:p w14:paraId="47345024" w14:textId="77777777" w:rsidR="00855E3C" w:rsidRPr="00855E3C" w:rsidRDefault="00855E3C" w:rsidP="00855E3C">
            <w:pPr>
              <w:bidi w:val="0"/>
              <w:rPr>
                <w:lang w:bidi="ar-EG"/>
              </w:rPr>
            </w:pPr>
          </w:p>
        </w:tc>
        <w:tc>
          <w:tcPr>
            <w:tcW w:w="612" w:type="dxa"/>
            <w:noWrap/>
            <w:hideMark/>
          </w:tcPr>
          <w:p w14:paraId="3CF35057" w14:textId="77777777" w:rsidR="00855E3C" w:rsidRPr="00855E3C" w:rsidRDefault="00855E3C" w:rsidP="00855E3C">
            <w:pPr>
              <w:bidi w:val="0"/>
              <w:rPr>
                <w:lang w:bidi="ar-EG"/>
              </w:rPr>
            </w:pPr>
          </w:p>
        </w:tc>
        <w:tc>
          <w:tcPr>
            <w:tcW w:w="3143" w:type="dxa"/>
            <w:noWrap/>
            <w:hideMark/>
          </w:tcPr>
          <w:p w14:paraId="5D5DFC96" w14:textId="77777777" w:rsidR="00855E3C" w:rsidRPr="00855E3C" w:rsidRDefault="00855E3C" w:rsidP="00855E3C">
            <w:pPr>
              <w:bidi w:val="0"/>
              <w:rPr>
                <w:lang w:bidi="ar-EG"/>
              </w:rPr>
            </w:pPr>
          </w:p>
        </w:tc>
      </w:tr>
      <w:tr w:rsidR="00855E3C" w:rsidRPr="00855E3C" w14:paraId="552A5866" w14:textId="77777777" w:rsidTr="00B44D0F">
        <w:trPr>
          <w:trHeight w:val="285"/>
        </w:trPr>
        <w:tc>
          <w:tcPr>
            <w:tcW w:w="1052" w:type="dxa"/>
            <w:noWrap/>
            <w:hideMark/>
          </w:tcPr>
          <w:p w14:paraId="6AF0520A" w14:textId="77777777" w:rsidR="00855E3C" w:rsidRPr="00855E3C" w:rsidRDefault="00855E3C" w:rsidP="00855E3C">
            <w:pPr>
              <w:bidi w:val="0"/>
              <w:rPr>
                <w:lang w:bidi="ar-EG"/>
              </w:rPr>
            </w:pPr>
          </w:p>
        </w:tc>
        <w:tc>
          <w:tcPr>
            <w:tcW w:w="3753" w:type="dxa"/>
            <w:noWrap/>
            <w:hideMark/>
          </w:tcPr>
          <w:p w14:paraId="208845A4" w14:textId="77777777" w:rsidR="00855E3C" w:rsidRPr="00855E3C" w:rsidRDefault="00855E3C" w:rsidP="00855E3C">
            <w:pPr>
              <w:bidi w:val="0"/>
              <w:rPr>
                <w:lang w:bidi="ar-EG"/>
              </w:rPr>
            </w:pPr>
            <w:r w:rsidRPr="00855E3C">
              <w:rPr>
                <w:lang w:bidi="ar-EG"/>
              </w:rPr>
              <w:t>For the year ended 31 December 2021</w:t>
            </w:r>
          </w:p>
        </w:tc>
        <w:tc>
          <w:tcPr>
            <w:tcW w:w="686" w:type="dxa"/>
            <w:noWrap/>
            <w:hideMark/>
          </w:tcPr>
          <w:p w14:paraId="26E46FBC" w14:textId="77777777" w:rsidR="00855E3C" w:rsidRPr="00855E3C" w:rsidRDefault="00855E3C" w:rsidP="00855E3C">
            <w:pPr>
              <w:bidi w:val="0"/>
              <w:rPr>
                <w:lang w:bidi="ar-EG"/>
              </w:rPr>
            </w:pPr>
          </w:p>
        </w:tc>
        <w:tc>
          <w:tcPr>
            <w:tcW w:w="985" w:type="dxa"/>
            <w:noWrap/>
            <w:hideMark/>
          </w:tcPr>
          <w:p w14:paraId="249F39E5" w14:textId="77777777" w:rsidR="00855E3C" w:rsidRPr="00855E3C" w:rsidRDefault="00855E3C" w:rsidP="00855E3C">
            <w:pPr>
              <w:bidi w:val="0"/>
              <w:rPr>
                <w:lang w:bidi="ar-EG"/>
              </w:rPr>
            </w:pPr>
          </w:p>
        </w:tc>
        <w:tc>
          <w:tcPr>
            <w:tcW w:w="816" w:type="dxa"/>
            <w:noWrap/>
            <w:hideMark/>
          </w:tcPr>
          <w:p w14:paraId="0B7CBB52" w14:textId="77777777" w:rsidR="00855E3C" w:rsidRPr="00855E3C" w:rsidRDefault="00855E3C" w:rsidP="00855E3C">
            <w:pPr>
              <w:bidi w:val="0"/>
              <w:rPr>
                <w:lang w:bidi="ar-EG"/>
              </w:rPr>
            </w:pPr>
          </w:p>
        </w:tc>
        <w:tc>
          <w:tcPr>
            <w:tcW w:w="612" w:type="dxa"/>
            <w:noWrap/>
            <w:hideMark/>
          </w:tcPr>
          <w:p w14:paraId="4B2AE3F3" w14:textId="77777777" w:rsidR="00855E3C" w:rsidRPr="00855E3C" w:rsidRDefault="00855E3C" w:rsidP="00855E3C">
            <w:pPr>
              <w:bidi w:val="0"/>
              <w:rPr>
                <w:lang w:bidi="ar-EG"/>
              </w:rPr>
            </w:pPr>
          </w:p>
        </w:tc>
        <w:tc>
          <w:tcPr>
            <w:tcW w:w="3143" w:type="dxa"/>
            <w:noWrap/>
            <w:hideMark/>
          </w:tcPr>
          <w:p w14:paraId="4777ACBB" w14:textId="77777777" w:rsidR="00855E3C" w:rsidRPr="00855E3C" w:rsidRDefault="00855E3C" w:rsidP="00855E3C">
            <w:pPr>
              <w:bidi w:val="0"/>
              <w:rPr>
                <w:lang w:bidi="ar-EG"/>
              </w:rPr>
            </w:pPr>
          </w:p>
        </w:tc>
      </w:tr>
      <w:tr w:rsidR="00B44D0F" w:rsidRPr="00855E3C" w14:paraId="4CD2B882" w14:textId="77777777" w:rsidTr="00B44D0F">
        <w:trPr>
          <w:trHeight w:val="285"/>
        </w:trPr>
        <w:tc>
          <w:tcPr>
            <w:tcW w:w="1052" w:type="dxa"/>
            <w:noWrap/>
            <w:hideMark/>
          </w:tcPr>
          <w:p w14:paraId="548E326C" w14:textId="77777777" w:rsidR="00855E3C" w:rsidRPr="00855E3C" w:rsidRDefault="00855E3C" w:rsidP="00855E3C">
            <w:pPr>
              <w:bidi w:val="0"/>
              <w:rPr>
                <w:lang w:bidi="ar-EG"/>
              </w:rPr>
            </w:pPr>
          </w:p>
        </w:tc>
        <w:tc>
          <w:tcPr>
            <w:tcW w:w="3753" w:type="dxa"/>
            <w:noWrap/>
            <w:hideMark/>
          </w:tcPr>
          <w:p w14:paraId="6E312C41" w14:textId="77777777" w:rsidR="00855E3C" w:rsidRPr="00855E3C" w:rsidRDefault="00855E3C" w:rsidP="00855E3C">
            <w:pPr>
              <w:bidi w:val="0"/>
              <w:rPr>
                <w:lang w:bidi="ar-EG"/>
              </w:rPr>
            </w:pPr>
          </w:p>
        </w:tc>
        <w:tc>
          <w:tcPr>
            <w:tcW w:w="686" w:type="dxa"/>
            <w:noWrap/>
            <w:hideMark/>
          </w:tcPr>
          <w:p w14:paraId="6F7B9D57" w14:textId="77777777" w:rsidR="00855E3C" w:rsidRPr="00855E3C" w:rsidRDefault="00855E3C" w:rsidP="00855E3C">
            <w:pPr>
              <w:bidi w:val="0"/>
              <w:rPr>
                <w:lang w:bidi="ar-EG"/>
              </w:rPr>
            </w:pPr>
          </w:p>
        </w:tc>
        <w:tc>
          <w:tcPr>
            <w:tcW w:w="985" w:type="dxa"/>
            <w:noWrap/>
            <w:hideMark/>
          </w:tcPr>
          <w:p w14:paraId="745009D0" w14:textId="77777777" w:rsidR="00855E3C" w:rsidRPr="00855E3C" w:rsidRDefault="00855E3C" w:rsidP="00855E3C">
            <w:pPr>
              <w:bidi w:val="0"/>
              <w:rPr>
                <w:lang w:bidi="ar-EG"/>
              </w:rPr>
            </w:pPr>
          </w:p>
        </w:tc>
        <w:tc>
          <w:tcPr>
            <w:tcW w:w="816" w:type="dxa"/>
            <w:noWrap/>
            <w:hideMark/>
          </w:tcPr>
          <w:p w14:paraId="3D957077" w14:textId="77777777" w:rsidR="00855E3C" w:rsidRPr="00855E3C" w:rsidRDefault="00855E3C" w:rsidP="00855E3C">
            <w:pPr>
              <w:bidi w:val="0"/>
              <w:rPr>
                <w:lang w:bidi="ar-EG"/>
              </w:rPr>
            </w:pPr>
          </w:p>
        </w:tc>
        <w:tc>
          <w:tcPr>
            <w:tcW w:w="612" w:type="dxa"/>
            <w:noWrap/>
            <w:hideMark/>
          </w:tcPr>
          <w:p w14:paraId="29086178" w14:textId="77777777" w:rsidR="00855E3C" w:rsidRPr="00855E3C" w:rsidRDefault="00855E3C" w:rsidP="00855E3C">
            <w:pPr>
              <w:bidi w:val="0"/>
              <w:rPr>
                <w:lang w:bidi="ar-EG"/>
              </w:rPr>
            </w:pPr>
          </w:p>
        </w:tc>
        <w:tc>
          <w:tcPr>
            <w:tcW w:w="3143" w:type="dxa"/>
            <w:noWrap/>
            <w:hideMark/>
          </w:tcPr>
          <w:p w14:paraId="41900313" w14:textId="77777777" w:rsidR="00855E3C" w:rsidRPr="00855E3C" w:rsidRDefault="00855E3C" w:rsidP="00855E3C">
            <w:pPr>
              <w:bidi w:val="0"/>
              <w:rPr>
                <w:lang w:bidi="ar-EG"/>
              </w:rPr>
            </w:pPr>
            <w:r w:rsidRPr="00855E3C">
              <w:rPr>
                <w:lang w:bidi="ar-EG"/>
              </w:rPr>
              <w:t>(expressed in thousands of Euroland currency units, except per share amounts)</w:t>
            </w:r>
          </w:p>
        </w:tc>
      </w:tr>
      <w:tr w:rsidR="00855E3C" w:rsidRPr="00855E3C" w14:paraId="67AD2E27" w14:textId="77777777" w:rsidTr="00B44D0F">
        <w:trPr>
          <w:trHeight w:val="285"/>
        </w:trPr>
        <w:tc>
          <w:tcPr>
            <w:tcW w:w="1052" w:type="dxa"/>
            <w:noWrap/>
            <w:hideMark/>
          </w:tcPr>
          <w:p w14:paraId="4AFD2D71" w14:textId="77777777" w:rsidR="00855E3C" w:rsidRPr="00855E3C" w:rsidRDefault="00855E3C" w:rsidP="00855E3C">
            <w:pPr>
              <w:bidi w:val="0"/>
              <w:rPr>
                <w:lang w:bidi="ar-EG"/>
              </w:rPr>
            </w:pPr>
            <w:r w:rsidRPr="00855E3C">
              <w:rPr>
                <w:lang w:bidi="ar-EG"/>
              </w:rPr>
              <w:t>IAS 1.51(c)</w:t>
            </w:r>
          </w:p>
        </w:tc>
        <w:tc>
          <w:tcPr>
            <w:tcW w:w="3753" w:type="dxa"/>
            <w:noWrap/>
            <w:hideMark/>
          </w:tcPr>
          <w:p w14:paraId="6DC51633" w14:textId="77777777" w:rsidR="00855E3C" w:rsidRPr="00855E3C" w:rsidRDefault="00855E3C" w:rsidP="00855E3C">
            <w:pPr>
              <w:bidi w:val="0"/>
              <w:rPr>
                <w:lang w:bidi="ar-EG"/>
              </w:rPr>
            </w:pPr>
          </w:p>
        </w:tc>
        <w:tc>
          <w:tcPr>
            <w:tcW w:w="686" w:type="dxa"/>
            <w:noWrap/>
            <w:hideMark/>
          </w:tcPr>
          <w:p w14:paraId="3CF18DAD" w14:textId="77777777" w:rsidR="00855E3C" w:rsidRPr="00855E3C" w:rsidRDefault="00855E3C" w:rsidP="00855E3C">
            <w:pPr>
              <w:bidi w:val="0"/>
              <w:rPr>
                <w:lang w:bidi="ar-EG"/>
              </w:rPr>
            </w:pPr>
            <w:r w:rsidRPr="00855E3C">
              <w:rPr>
                <w:lang w:bidi="ar-EG"/>
              </w:rPr>
              <w:t>Notes</w:t>
            </w:r>
          </w:p>
        </w:tc>
        <w:tc>
          <w:tcPr>
            <w:tcW w:w="985" w:type="dxa"/>
            <w:noWrap/>
            <w:hideMark/>
          </w:tcPr>
          <w:p w14:paraId="19D4F619" w14:textId="77777777" w:rsidR="00855E3C" w:rsidRPr="00855E3C" w:rsidRDefault="00855E3C" w:rsidP="00855E3C">
            <w:pPr>
              <w:bidi w:val="0"/>
              <w:rPr>
                <w:lang w:bidi="ar-EG"/>
              </w:rPr>
            </w:pPr>
            <w:r w:rsidRPr="00855E3C">
              <w:rPr>
                <w:lang w:bidi="ar-EG"/>
              </w:rPr>
              <w:t>2021</w:t>
            </w:r>
          </w:p>
        </w:tc>
        <w:tc>
          <w:tcPr>
            <w:tcW w:w="816" w:type="dxa"/>
            <w:noWrap/>
            <w:hideMark/>
          </w:tcPr>
          <w:p w14:paraId="19F1E52A" w14:textId="77777777" w:rsidR="00855E3C" w:rsidRPr="00855E3C" w:rsidRDefault="00855E3C" w:rsidP="00855E3C">
            <w:pPr>
              <w:bidi w:val="0"/>
              <w:rPr>
                <w:lang w:bidi="ar-EG"/>
              </w:rPr>
            </w:pPr>
            <w:r w:rsidRPr="00855E3C">
              <w:rPr>
                <w:lang w:bidi="ar-EG"/>
              </w:rPr>
              <w:t>2020</w:t>
            </w:r>
          </w:p>
        </w:tc>
        <w:tc>
          <w:tcPr>
            <w:tcW w:w="612" w:type="dxa"/>
            <w:noWrap/>
            <w:hideMark/>
          </w:tcPr>
          <w:p w14:paraId="6FF14C0E" w14:textId="77777777" w:rsidR="00855E3C" w:rsidRPr="00855E3C" w:rsidRDefault="00855E3C" w:rsidP="00855E3C">
            <w:pPr>
              <w:bidi w:val="0"/>
              <w:rPr>
                <w:lang w:bidi="ar-EG"/>
              </w:rPr>
            </w:pPr>
          </w:p>
        </w:tc>
        <w:tc>
          <w:tcPr>
            <w:tcW w:w="3143" w:type="dxa"/>
            <w:noWrap/>
            <w:hideMark/>
          </w:tcPr>
          <w:p w14:paraId="16FFA016" w14:textId="77777777" w:rsidR="00855E3C" w:rsidRPr="00855E3C" w:rsidRDefault="00855E3C" w:rsidP="00855E3C">
            <w:pPr>
              <w:bidi w:val="0"/>
              <w:rPr>
                <w:lang w:bidi="ar-EG"/>
              </w:rPr>
            </w:pPr>
          </w:p>
        </w:tc>
      </w:tr>
      <w:tr w:rsidR="00B44D0F" w:rsidRPr="00855E3C" w14:paraId="1CB7022D" w14:textId="77777777" w:rsidTr="00B44D0F">
        <w:trPr>
          <w:trHeight w:val="285"/>
        </w:trPr>
        <w:tc>
          <w:tcPr>
            <w:tcW w:w="1052" w:type="dxa"/>
            <w:noWrap/>
            <w:hideMark/>
          </w:tcPr>
          <w:p w14:paraId="79D076EA" w14:textId="77777777" w:rsidR="00855E3C" w:rsidRPr="00855E3C" w:rsidRDefault="00855E3C" w:rsidP="00855E3C">
            <w:pPr>
              <w:bidi w:val="0"/>
              <w:rPr>
                <w:lang w:bidi="ar-EG"/>
              </w:rPr>
            </w:pPr>
            <w:r w:rsidRPr="00855E3C">
              <w:rPr>
                <w:lang w:bidi="ar-EG"/>
              </w:rPr>
              <w:t>IAS 1.51(d-e)</w:t>
            </w:r>
          </w:p>
        </w:tc>
        <w:tc>
          <w:tcPr>
            <w:tcW w:w="3753" w:type="dxa"/>
            <w:noWrap/>
            <w:hideMark/>
          </w:tcPr>
          <w:p w14:paraId="4D6EECA9" w14:textId="77777777" w:rsidR="00855E3C" w:rsidRPr="00855E3C" w:rsidRDefault="00855E3C" w:rsidP="00855E3C">
            <w:pPr>
              <w:bidi w:val="0"/>
              <w:rPr>
                <w:lang w:bidi="ar-EG"/>
              </w:rPr>
            </w:pPr>
          </w:p>
        </w:tc>
        <w:tc>
          <w:tcPr>
            <w:tcW w:w="686" w:type="dxa"/>
            <w:noWrap/>
            <w:hideMark/>
          </w:tcPr>
          <w:p w14:paraId="337A00C3" w14:textId="77777777" w:rsidR="00855E3C" w:rsidRPr="00855E3C" w:rsidRDefault="00855E3C" w:rsidP="00855E3C">
            <w:pPr>
              <w:bidi w:val="0"/>
              <w:rPr>
                <w:lang w:bidi="ar-EG"/>
              </w:rPr>
            </w:pPr>
          </w:p>
        </w:tc>
        <w:tc>
          <w:tcPr>
            <w:tcW w:w="985" w:type="dxa"/>
            <w:noWrap/>
            <w:hideMark/>
          </w:tcPr>
          <w:p w14:paraId="6A7C0BDC" w14:textId="77777777" w:rsidR="00855E3C" w:rsidRPr="00855E3C" w:rsidRDefault="00855E3C" w:rsidP="00855E3C">
            <w:pPr>
              <w:bidi w:val="0"/>
              <w:rPr>
                <w:lang w:bidi="ar-EG"/>
              </w:rPr>
            </w:pPr>
          </w:p>
        </w:tc>
        <w:tc>
          <w:tcPr>
            <w:tcW w:w="816" w:type="dxa"/>
            <w:noWrap/>
            <w:hideMark/>
          </w:tcPr>
          <w:p w14:paraId="33DFDAA7" w14:textId="77777777" w:rsidR="00855E3C" w:rsidRPr="00855E3C" w:rsidRDefault="00855E3C" w:rsidP="00855E3C">
            <w:pPr>
              <w:bidi w:val="0"/>
              <w:rPr>
                <w:lang w:bidi="ar-EG"/>
              </w:rPr>
            </w:pPr>
          </w:p>
        </w:tc>
        <w:tc>
          <w:tcPr>
            <w:tcW w:w="612" w:type="dxa"/>
            <w:noWrap/>
            <w:hideMark/>
          </w:tcPr>
          <w:p w14:paraId="2DD40971" w14:textId="77777777" w:rsidR="00855E3C" w:rsidRPr="00855E3C" w:rsidRDefault="00855E3C" w:rsidP="00855E3C">
            <w:pPr>
              <w:bidi w:val="0"/>
              <w:rPr>
                <w:lang w:bidi="ar-EG"/>
              </w:rPr>
            </w:pPr>
          </w:p>
        </w:tc>
        <w:tc>
          <w:tcPr>
            <w:tcW w:w="3143" w:type="dxa"/>
            <w:noWrap/>
            <w:hideMark/>
          </w:tcPr>
          <w:p w14:paraId="3A7B068C" w14:textId="77777777" w:rsidR="00855E3C" w:rsidRPr="00855E3C" w:rsidRDefault="00855E3C" w:rsidP="00855E3C">
            <w:pPr>
              <w:bidi w:val="0"/>
              <w:rPr>
                <w:lang w:bidi="ar-EG"/>
              </w:rPr>
            </w:pPr>
            <w:r w:rsidRPr="00855E3C">
              <w:rPr>
                <w:lang w:bidi="ar-EG"/>
              </w:rPr>
              <w:t>Guidance note</w:t>
            </w:r>
          </w:p>
        </w:tc>
      </w:tr>
      <w:tr w:rsidR="00855E3C" w:rsidRPr="00855E3C" w14:paraId="60BC0DC8" w14:textId="77777777" w:rsidTr="00B44D0F">
        <w:trPr>
          <w:trHeight w:val="285"/>
        </w:trPr>
        <w:tc>
          <w:tcPr>
            <w:tcW w:w="1052" w:type="dxa"/>
            <w:noWrap/>
            <w:hideMark/>
          </w:tcPr>
          <w:p w14:paraId="33DB3F9B" w14:textId="77777777" w:rsidR="00855E3C" w:rsidRPr="00855E3C" w:rsidRDefault="00855E3C" w:rsidP="00855E3C">
            <w:pPr>
              <w:bidi w:val="0"/>
              <w:rPr>
                <w:lang w:bidi="ar-EG"/>
              </w:rPr>
            </w:pPr>
          </w:p>
        </w:tc>
        <w:tc>
          <w:tcPr>
            <w:tcW w:w="3753" w:type="dxa"/>
            <w:noWrap/>
            <w:hideMark/>
          </w:tcPr>
          <w:p w14:paraId="7D23ED2E" w14:textId="77777777" w:rsidR="00855E3C" w:rsidRPr="00855E3C" w:rsidRDefault="00855E3C" w:rsidP="00855E3C">
            <w:pPr>
              <w:bidi w:val="0"/>
              <w:rPr>
                <w:lang w:bidi="ar-EG"/>
              </w:rPr>
            </w:pPr>
          </w:p>
        </w:tc>
        <w:tc>
          <w:tcPr>
            <w:tcW w:w="686" w:type="dxa"/>
            <w:noWrap/>
            <w:hideMark/>
          </w:tcPr>
          <w:p w14:paraId="664EEFAD" w14:textId="77777777" w:rsidR="00855E3C" w:rsidRPr="00855E3C" w:rsidRDefault="00855E3C" w:rsidP="00855E3C">
            <w:pPr>
              <w:bidi w:val="0"/>
              <w:rPr>
                <w:lang w:bidi="ar-EG"/>
              </w:rPr>
            </w:pPr>
          </w:p>
        </w:tc>
        <w:tc>
          <w:tcPr>
            <w:tcW w:w="985" w:type="dxa"/>
            <w:noWrap/>
            <w:hideMark/>
          </w:tcPr>
          <w:p w14:paraId="7D4DA453" w14:textId="77777777" w:rsidR="00855E3C" w:rsidRPr="00855E3C" w:rsidRDefault="00855E3C" w:rsidP="00855E3C">
            <w:pPr>
              <w:bidi w:val="0"/>
              <w:rPr>
                <w:lang w:bidi="ar-EG"/>
              </w:rPr>
            </w:pPr>
          </w:p>
        </w:tc>
        <w:tc>
          <w:tcPr>
            <w:tcW w:w="816" w:type="dxa"/>
            <w:noWrap/>
            <w:hideMark/>
          </w:tcPr>
          <w:p w14:paraId="26A5F43F" w14:textId="77777777" w:rsidR="00855E3C" w:rsidRPr="00855E3C" w:rsidRDefault="00855E3C" w:rsidP="00855E3C">
            <w:pPr>
              <w:bidi w:val="0"/>
              <w:rPr>
                <w:lang w:bidi="ar-EG"/>
              </w:rPr>
            </w:pPr>
          </w:p>
        </w:tc>
        <w:tc>
          <w:tcPr>
            <w:tcW w:w="612" w:type="dxa"/>
            <w:noWrap/>
            <w:hideMark/>
          </w:tcPr>
          <w:p w14:paraId="4797E489" w14:textId="77777777" w:rsidR="00855E3C" w:rsidRPr="00855E3C" w:rsidRDefault="00855E3C" w:rsidP="00855E3C">
            <w:pPr>
              <w:bidi w:val="0"/>
              <w:rPr>
                <w:lang w:bidi="ar-EG"/>
              </w:rPr>
            </w:pPr>
          </w:p>
        </w:tc>
        <w:tc>
          <w:tcPr>
            <w:tcW w:w="3143" w:type="dxa"/>
            <w:noWrap/>
            <w:hideMark/>
          </w:tcPr>
          <w:p w14:paraId="292738D5" w14:textId="77777777" w:rsidR="00855E3C" w:rsidRPr="00855E3C" w:rsidRDefault="00855E3C" w:rsidP="00855E3C">
            <w:pPr>
              <w:bidi w:val="0"/>
              <w:rPr>
                <w:lang w:bidi="ar-EG"/>
              </w:rPr>
            </w:pPr>
            <w:r w:rsidRPr="00855E3C">
              <w:rPr>
                <w:lang w:bidi="ar-EG"/>
              </w:rPr>
              <w:t>IAS 1 permits an entity to present a statement of profit</w:t>
            </w:r>
          </w:p>
        </w:tc>
      </w:tr>
      <w:tr w:rsidR="00B44D0F" w:rsidRPr="00855E3C" w14:paraId="52B77A4A" w14:textId="77777777" w:rsidTr="00B44D0F">
        <w:trPr>
          <w:trHeight w:val="285"/>
        </w:trPr>
        <w:tc>
          <w:tcPr>
            <w:tcW w:w="1052" w:type="dxa"/>
            <w:noWrap/>
            <w:hideMark/>
          </w:tcPr>
          <w:p w14:paraId="296999A9" w14:textId="77777777" w:rsidR="00855E3C" w:rsidRPr="00855E3C" w:rsidRDefault="00855E3C" w:rsidP="00855E3C">
            <w:pPr>
              <w:bidi w:val="0"/>
              <w:rPr>
                <w:lang w:bidi="ar-EG"/>
              </w:rPr>
            </w:pPr>
            <w:r w:rsidRPr="00855E3C">
              <w:rPr>
                <w:lang w:bidi="ar-EG"/>
              </w:rPr>
              <w:t>IAS 1.82(a)</w:t>
            </w:r>
          </w:p>
        </w:tc>
        <w:tc>
          <w:tcPr>
            <w:tcW w:w="3753" w:type="dxa"/>
            <w:noWrap/>
            <w:hideMark/>
          </w:tcPr>
          <w:p w14:paraId="5338A05D" w14:textId="77777777" w:rsidR="00855E3C" w:rsidRPr="00855E3C" w:rsidRDefault="00855E3C" w:rsidP="00855E3C">
            <w:pPr>
              <w:bidi w:val="0"/>
              <w:rPr>
                <w:lang w:bidi="ar-EG"/>
              </w:rPr>
            </w:pPr>
            <w:r w:rsidRPr="00855E3C">
              <w:rPr>
                <w:lang w:bidi="ar-EG"/>
              </w:rPr>
              <w:t>Revenue</w:t>
            </w:r>
          </w:p>
        </w:tc>
        <w:tc>
          <w:tcPr>
            <w:tcW w:w="686" w:type="dxa"/>
            <w:noWrap/>
            <w:hideMark/>
          </w:tcPr>
          <w:p w14:paraId="3E6D03ED" w14:textId="77777777" w:rsidR="00855E3C" w:rsidRPr="00855E3C" w:rsidRDefault="00855E3C" w:rsidP="00855E3C">
            <w:pPr>
              <w:bidi w:val="0"/>
              <w:rPr>
                <w:lang w:bidi="ar-EG"/>
              </w:rPr>
            </w:pPr>
            <w:r w:rsidRPr="00855E3C">
              <w:rPr>
                <w:lang w:bidi="ar-EG"/>
              </w:rPr>
              <w:t>8, 9</w:t>
            </w:r>
          </w:p>
        </w:tc>
        <w:tc>
          <w:tcPr>
            <w:tcW w:w="985" w:type="dxa"/>
            <w:noWrap/>
            <w:hideMark/>
          </w:tcPr>
          <w:p w14:paraId="773C6367" w14:textId="77777777" w:rsidR="00855E3C" w:rsidRPr="00855E3C" w:rsidRDefault="00855E3C" w:rsidP="00855E3C">
            <w:pPr>
              <w:bidi w:val="0"/>
              <w:rPr>
                <w:lang w:bidi="ar-EG"/>
              </w:rPr>
            </w:pPr>
            <w:r w:rsidRPr="00855E3C">
              <w:rPr>
                <w:lang w:bidi="ar-EG"/>
              </w:rPr>
              <w:t>205,793</w:t>
            </w:r>
          </w:p>
        </w:tc>
        <w:tc>
          <w:tcPr>
            <w:tcW w:w="816" w:type="dxa"/>
            <w:noWrap/>
            <w:hideMark/>
          </w:tcPr>
          <w:p w14:paraId="62BE4B1F" w14:textId="77777777" w:rsidR="00855E3C" w:rsidRPr="00855E3C" w:rsidRDefault="00855E3C" w:rsidP="00855E3C">
            <w:pPr>
              <w:bidi w:val="0"/>
              <w:rPr>
                <w:lang w:bidi="ar-EG"/>
              </w:rPr>
            </w:pPr>
            <w:r w:rsidRPr="00855E3C">
              <w:rPr>
                <w:lang w:bidi="ar-EG"/>
              </w:rPr>
              <w:t>191228</w:t>
            </w:r>
          </w:p>
        </w:tc>
        <w:tc>
          <w:tcPr>
            <w:tcW w:w="612" w:type="dxa"/>
            <w:noWrap/>
            <w:hideMark/>
          </w:tcPr>
          <w:p w14:paraId="3954C2E6" w14:textId="77777777" w:rsidR="00855E3C" w:rsidRPr="00855E3C" w:rsidRDefault="00855E3C" w:rsidP="00855E3C">
            <w:pPr>
              <w:bidi w:val="0"/>
              <w:rPr>
                <w:lang w:bidi="ar-EG"/>
              </w:rPr>
            </w:pPr>
          </w:p>
        </w:tc>
        <w:tc>
          <w:tcPr>
            <w:tcW w:w="3143" w:type="dxa"/>
            <w:noWrap/>
            <w:hideMark/>
          </w:tcPr>
          <w:p w14:paraId="03C5B4D8" w14:textId="77777777" w:rsidR="00855E3C" w:rsidRPr="00855E3C" w:rsidRDefault="00855E3C" w:rsidP="00855E3C">
            <w:pPr>
              <w:bidi w:val="0"/>
              <w:rPr>
                <w:lang w:bidi="ar-EG"/>
              </w:rPr>
            </w:pPr>
            <w:r w:rsidRPr="00855E3C">
              <w:rPr>
                <w:lang w:bidi="ar-EG"/>
              </w:rPr>
              <w:t>or loss and comprehensive income as:</w:t>
            </w:r>
          </w:p>
        </w:tc>
      </w:tr>
      <w:tr w:rsidR="00855E3C" w:rsidRPr="00855E3C" w14:paraId="205FE0A2" w14:textId="77777777" w:rsidTr="00B44D0F">
        <w:trPr>
          <w:trHeight w:val="285"/>
        </w:trPr>
        <w:tc>
          <w:tcPr>
            <w:tcW w:w="1052" w:type="dxa"/>
            <w:noWrap/>
            <w:hideMark/>
          </w:tcPr>
          <w:p w14:paraId="63DB4F15" w14:textId="77777777" w:rsidR="00855E3C" w:rsidRPr="00855E3C" w:rsidRDefault="00855E3C" w:rsidP="00855E3C">
            <w:pPr>
              <w:bidi w:val="0"/>
              <w:rPr>
                <w:lang w:bidi="ar-EG"/>
              </w:rPr>
            </w:pPr>
          </w:p>
        </w:tc>
        <w:tc>
          <w:tcPr>
            <w:tcW w:w="3753" w:type="dxa"/>
            <w:noWrap/>
            <w:hideMark/>
          </w:tcPr>
          <w:p w14:paraId="6F75CF8A" w14:textId="77777777" w:rsidR="00855E3C" w:rsidRPr="00855E3C" w:rsidRDefault="00855E3C" w:rsidP="00855E3C">
            <w:pPr>
              <w:bidi w:val="0"/>
              <w:rPr>
                <w:lang w:bidi="ar-EG"/>
              </w:rPr>
            </w:pPr>
          </w:p>
        </w:tc>
        <w:tc>
          <w:tcPr>
            <w:tcW w:w="686" w:type="dxa"/>
            <w:noWrap/>
            <w:hideMark/>
          </w:tcPr>
          <w:p w14:paraId="15A7C517" w14:textId="77777777" w:rsidR="00855E3C" w:rsidRPr="00855E3C" w:rsidRDefault="00855E3C" w:rsidP="00855E3C">
            <w:pPr>
              <w:bidi w:val="0"/>
              <w:rPr>
                <w:lang w:bidi="ar-EG"/>
              </w:rPr>
            </w:pPr>
          </w:p>
        </w:tc>
        <w:tc>
          <w:tcPr>
            <w:tcW w:w="985" w:type="dxa"/>
            <w:noWrap/>
            <w:hideMark/>
          </w:tcPr>
          <w:p w14:paraId="6040C2D1" w14:textId="77777777" w:rsidR="00855E3C" w:rsidRPr="00855E3C" w:rsidRDefault="00855E3C" w:rsidP="00855E3C">
            <w:pPr>
              <w:bidi w:val="0"/>
              <w:rPr>
                <w:lang w:bidi="ar-EG"/>
              </w:rPr>
            </w:pPr>
          </w:p>
        </w:tc>
        <w:tc>
          <w:tcPr>
            <w:tcW w:w="816" w:type="dxa"/>
            <w:noWrap/>
            <w:hideMark/>
          </w:tcPr>
          <w:p w14:paraId="2F7EC65C" w14:textId="77777777" w:rsidR="00855E3C" w:rsidRPr="00855E3C" w:rsidRDefault="00855E3C" w:rsidP="00855E3C">
            <w:pPr>
              <w:bidi w:val="0"/>
              <w:rPr>
                <w:lang w:bidi="ar-EG"/>
              </w:rPr>
            </w:pPr>
          </w:p>
        </w:tc>
        <w:tc>
          <w:tcPr>
            <w:tcW w:w="612" w:type="dxa"/>
            <w:noWrap/>
            <w:hideMark/>
          </w:tcPr>
          <w:p w14:paraId="2D8C899F" w14:textId="77777777" w:rsidR="00855E3C" w:rsidRPr="00855E3C" w:rsidRDefault="00855E3C" w:rsidP="00855E3C">
            <w:pPr>
              <w:bidi w:val="0"/>
              <w:rPr>
                <w:lang w:bidi="ar-EG"/>
              </w:rPr>
            </w:pPr>
            <w:r w:rsidRPr="00855E3C">
              <w:rPr>
                <w:lang w:bidi="ar-EG"/>
              </w:rPr>
              <w:t>•</w:t>
            </w:r>
          </w:p>
        </w:tc>
        <w:tc>
          <w:tcPr>
            <w:tcW w:w="3143" w:type="dxa"/>
            <w:noWrap/>
            <w:hideMark/>
          </w:tcPr>
          <w:p w14:paraId="03885635" w14:textId="77777777" w:rsidR="00855E3C" w:rsidRPr="00855E3C" w:rsidRDefault="00855E3C" w:rsidP="00855E3C">
            <w:pPr>
              <w:bidi w:val="0"/>
              <w:rPr>
                <w:lang w:bidi="ar-EG"/>
              </w:rPr>
            </w:pPr>
            <w:r w:rsidRPr="00855E3C">
              <w:rPr>
                <w:lang w:bidi="ar-EG"/>
              </w:rPr>
              <w:t>a single statement with profit or loss and other</w:t>
            </w:r>
          </w:p>
        </w:tc>
      </w:tr>
      <w:tr w:rsidR="00B44D0F" w:rsidRPr="00855E3C" w14:paraId="7F82E18F" w14:textId="77777777" w:rsidTr="00B44D0F">
        <w:trPr>
          <w:trHeight w:val="285"/>
        </w:trPr>
        <w:tc>
          <w:tcPr>
            <w:tcW w:w="1052" w:type="dxa"/>
            <w:noWrap/>
            <w:hideMark/>
          </w:tcPr>
          <w:p w14:paraId="1939753B" w14:textId="77777777" w:rsidR="00855E3C" w:rsidRPr="00855E3C" w:rsidRDefault="00855E3C" w:rsidP="00855E3C">
            <w:pPr>
              <w:bidi w:val="0"/>
              <w:rPr>
                <w:lang w:bidi="ar-EG"/>
              </w:rPr>
            </w:pPr>
            <w:r w:rsidRPr="00855E3C">
              <w:rPr>
                <w:lang w:bidi="ar-EG"/>
              </w:rPr>
              <w:t>IAS 1.85</w:t>
            </w:r>
          </w:p>
        </w:tc>
        <w:tc>
          <w:tcPr>
            <w:tcW w:w="3753" w:type="dxa"/>
            <w:noWrap/>
            <w:hideMark/>
          </w:tcPr>
          <w:p w14:paraId="4C530BC2" w14:textId="77777777" w:rsidR="00855E3C" w:rsidRPr="00855E3C" w:rsidRDefault="00855E3C" w:rsidP="00855E3C">
            <w:pPr>
              <w:bidi w:val="0"/>
              <w:rPr>
                <w:lang w:bidi="ar-EG"/>
              </w:rPr>
            </w:pPr>
            <w:r w:rsidRPr="00855E3C">
              <w:rPr>
                <w:lang w:bidi="ar-EG"/>
              </w:rPr>
              <w:t>Other income</w:t>
            </w:r>
          </w:p>
        </w:tc>
        <w:tc>
          <w:tcPr>
            <w:tcW w:w="686" w:type="dxa"/>
            <w:noWrap/>
            <w:hideMark/>
          </w:tcPr>
          <w:p w14:paraId="28F6FB94" w14:textId="77777777" w:rsidR="00855E3C" w:rsidRPr="00855E3C" w:rsidRDefault="00855E3C" w:rsidP="00855E3C">
            <w:pPr>
              <w:bidi w:val="0"/>
              <w:rPr>
                <w:lang w:bidi="ar-EG"/>
              </w:rPr>
            </w:pPr>
          </w:p>
        </w:tc>
        <w:tc>
          <w:tcPr>
            <w:tcW w:w="985" w:type="dxa"/>
            <w:noWrap/>
            <w:hideMark/>
          </w:tcPr>
          <w:p w14:paraId="261E1809" w14:textId="77777777" w:rsidR="00855E3C" w:rsidRPr="00855E3C" w:rsidRDefault="00855E3C" w:rsidP="00855E3C">
            <w:pPr>
              <w:bidi w:val="0"/>
              <w:rPr>
                <w:lang w:bidi="ar-EG"/>
              </w:rPr>
            </w:pPr>
            <w:r w:rsidRPr="00855E3C">
              <w:rPr>
                <w:lang w:bidi="ar-EG"/>
              </w:rPr>
              <w:t>299</w:t>
            </w:r>
          </w:p>
        </w:tc>
        <w:tc>
          <w:tcPr>
            <w:tcW w:w="816" w:type="dxa"/>
            <w:noWrap/>
            <w:hideMark/>
          </w:tcPr>
          <w:p w14:paraId="6B8CDEBE" w14:textId="77777777" w:rsidR="00855E3C" w:rsidRPr="00855E3C" w:rsidRDefault="00855E3C" w:rsidP="00855E3C">
            <w:pPr>
              <w:bidi w:val="0"/>
              <w:rPr>
                <w:lang w:bidi="ar-EG"/>
              </w:rPr>
            </w:pPr>
            <w:r w:rsidRPr="00855E3C">
              <w:rPr>
                <w:lang w:bidi="ar-EG"/>
              </w:rPr>
              <w:t>708</w:t>
            </w:r>
          </w:p>
        </w:tc>
        <w:tc>
          <w:tcPr>
            <w:tcW w:w="612" w:type="dxa"/>
            <w:noWrap/>
            <w:hideMark/>
          </w:tcPr>
          <w:p w14:paraId="164A182F" w14:textId="77777777" w:rsidR="00855E3C" w:rsidRPr="00855E3C" w:rsidRDefault="00855E3C" w:rsidP="00855E3C">
            <w:pPr>
              <w:bidi w:val="0"/>
              <w:rPr>
                <w:lang w:bidi="ar-EG"/>
              </w:rPr>
            </w:pPr>
          </w:p>
        </w:tc>
        <w:tc>
          <w:tcPr>
            <w:tcW w:w="3143" w:type="dxa"/>
            <w:noWrap/>
            <w:hideMark/>
          </w:tcPr>
          <w:p w14:paraId="338E91FA" w14:textId="77777777" w:rsidR="00855E3C" w:rsidRPr="00855E3C" w:rsidRDefault="00855E3C" w:rsidP="00855E3C">
            <w:pPr>
              <w:bidi w:val="0"/>
              <w:rPr>
                <w:lang w:bidi="ar-EG"/>
              </w:rPr>
            </w:pPr>
            <w:r w:rsidRPr="00855E3C">
              <w:rPr>
                <w:lang w:bidi="ar-EG"/>
              </w:rPr>
              <w:t>comprehensive income presented in two sections, or</w:t>
            </w:r>
          </w:p>
        </w:tc>
      </w:tr>
      <w:tr w:rsidR="00855E3C" w:rsidRPr="00855E3C" w14:paraId="173405AE" w14:textId="77777777" w:rsidTr="00B44D0F">
        <w:trPr>
          <w:trHeight w:val="285"/>
        </w:trPr>
        <w:tc>
          <w:tcPr>
            <w:tcW w:w="1052" w:type="dxa"/>
            <w:noWrap/>
            <w:hideMark/>
          </w:tcPr>
          <w:p w14:paraId="5B141E90" w14:textId="77777777" w:rsidR="00855E3C" w:rsidRPr="00855E3C" w:rsidRDefault="00855E3C" w:rsidP="00855E3C">
            <w:pPr>
              <w:bidi w:val="0"/>
              <w:rPr>
                <w:lang w:bidi="ar-EG"/>
              </w:rPr>
            </w:pPr>
            <w:r w:rsidRPr="00855E3C">
              <w:rPr>
                <w:lang w:bidi="ar-EG"/>
              </w:rPr>
              <w:t>IAS 1.85</w:t>
            </w:r>
          </w:p>
        </w:tc>
        <w:tc>
          <w:tcPr>
            <w:tcW w:w="3753" w:type="dxa"/>
            <w:noWrap/>
            <w:hideMark/>
          </w:tcPr>
          <w:p w14:paraId="2DE55EA5" w14:textId="77777777" w:rsidR="00855E3C" w:rsidRPr="00855E3C" w:rsidRDefault="00855E3C" w:rsidP="00855E3C">
            <w:pPr>
              <w:bidi w:val="0"/>
              <w:rPr>
                <w:lang w:bidi="ar-EG"/>
              </w:rPr>
            </w:pPr>
            <w:r w:rsidRPr="00855E3C">
              <w:rPr>
                <w:lang w:bidi="ar-EG"/>
              </w:rPr>
              <w:t>Changes in inventories</w:t>
            </w:r>
          </w:p>
        </w:tc>
        <w:tc>
          <w:tcPr>
            <w:tcW w:w="686" w:type="dxa"/>
            <w:noWrap/>
            <w:hideMark/>
          </w:tcPr>
          <w:p w14:paraId="536C9BBC" w14:textId="77777777" w:rsidR="00855E3C" w:rsidRPr="00855E3C" w:rsidRDefault="00855E3C" w:rsidP="00855E3C">
            <w:pPr>
              <w:bidi w:val="0"/>
              <w:rPr>
                <w:lang w:bidi="ar-EG"/>
              </w:rPr>
            </w:pPr>
          </w:p>
        </w:tc>
        <w:tc>
          <w:tcPr>
            <w:tcW w:w="985" w:type="dxa"/>
            <w:noWrap/>
            <w:hideMark/>
          </w:tcPr>
          <w:p w14:paraId="089F5331" w14:textId="77777777" w:rsidR="00855E3C" w:rsidRPr="00855E3C" w:rsidRDefault="00855E3C" w:rsidP="00855E3C">
            <w:pPr>
              <w:bidi w:val="0"/>
              <w:rPr>
                <w:lang w:bidi="ar-EG"/>
              </w:rPr>
            </w:pPr>
            <w:r w:rsidRPr="00855E3C">
              <w:rPr>
                <w:lang w:bidi="ar-EG"/>
              </w:rPr>
              <w:t>(7,923)</w:t>
            </w:r>
          </w:p>
        </w:tc>
        <w:tc>
          <w:tcPr>
            <w:tcW w:w="816" w:type="dxa"/>
            <w:noWrap/>
            <w:hideMark/>
          </w:tcPr>
          <w:p w14:paraId="634734BF" w14:textId="77777777" w:rsidR="00855E3C" w:rsidRPr="00855E3C" w:rsidRDefault="00855E3C" w:rsidP="00855E3C">
            <w:pPr>
              <w:bidi w:val="0"/>
              <w:rPr>
                <w:lang w:bidi="ar-EG"/>
              </w:rPr>
            </w:pPr>
            <w:r w:rsidRPr="00855E3C">
              <w:rPr>
                <w:lang w:bidi="ar-EG"/>
              </w:rPr>
              <w:t>-6815</w:t>
            </w:r>
          </w:p>
        </w:tc>
        <w:tc>
          <w:tcPr>
            <w:tcW w:w="612" w:type="dxa"/>
            <w:noWrap/>
            <w:hideMark/>
          </w:tcPr>
          <w:p w14:paraId="3DBF7B33" w14:textId="77777777" w:rsidR="00855E3C" w:rsidRPr="00855E3C" w:rsidRDefault="00855E3C" w:rsidP="00855E3C">
            <w:pPr>
              <w:bidi w:val="0"/>
              <w:rPr>
                <w:lang w:bidi="ar-EG"/>
              </w:rPr>
            </w:pPr>
            <w:r w:rsidRPr="00855E3C">
              <w:rPr>
                <w:lang w:bidi="ar-EG"/>
              </w:rPr>
              <w:t>•</w:t>
            </w:r>
          </w:p>
        </w:tc>
        <w:tc>
          <w:tcPr>
            <w:tcW w:w="3143" w:type="dxa"/>
            <w:noWrap/>
            <w:hideMark/>
          </w:tcPr>
          <w:p w14:paraId="75E61802" w14:textId="77777777" w:rsidR="00855E3C" w:rsidRPr="00855E3C" w:rsidRDefault="00855E3C" w:rsidP="00855E3C">
            <w:pPr>
              <w:bidi w:val="0"/>
              <w:rPr>
                <w:lang w:bidi="ar-EG"/>
              </w:rPr>
            </w:pPr>
            <w:r w:rsidRPr="00855E3C">
              <w:rPr>
                <w:lang w:bidi="ar-EG"/>
              </w:rPr>
              <w:t>two statements: a separate statement of profit</w:t>
            </w:r>
          </w:p>
        </w:tc>
      </w:tr>
      <w:tr w:rsidR="00B44D0F" w:rsidRPr="00855E3C" w14:paraId="31595502" w14:textId="77777777" w:rsidTr="00B44D0F">
        <w:trPr>
          <w:trHeight w:val="285"/>
        </w:trPr>
        <w:tc>
          <w:tcPr>
            <w:tcW w:w="1052" w:type="dxa"/>
            <w:noWrap/>
            <w:hideMark/>
          </w:tcPr>
          <w:p w14:paraId="41CAAEEA" w14:textId="77777777" w:rsidR="00855E3C" w:rsidRPr="00855E3C" w:rsidRDefault="00855E3C" w:rsidP="00855E3C">
            <w:pPr>
              <w:bidi w:val="0"/>
              <w:rPr>
                <w:lang w:bidi="ar-EG"/>
              </w:rPr>
            </w:pPr>
          </w:p>
        </w:tc>
        <w:tc>
          <w:tcPr>
            <w:tcW w:w="3753" w:type="dxa"/>
            <w:noWrap/>
            <w:hideMark/>
          </w:tcPr>
          <w:p w14:paraId="17A52485" w14:textId="77777777" w:rsidR="00855E3C" w:rsidRPr="00855E3C" w:rsidRDefault="00855E3C" w:rsidP="00855E3C">
            <w:pPr>
              <w:bidi w:val="0"/>
              <w:rPr>
                <w:lang w:bidi="ar-EG"/>
              </w:rPr>
            </w:pPr>
          </w:p>
        </w:tc>
        <w:tc>
          <w:tcPr>
            <w:tcW w:w="686" w:type="dxa"/>
            <w:noWrap/>
            <w:hideMark/>
          </w:tcPr>
          <w:p w14:paraId="3576D02B" w14:textId="77777777" w:rsidR="00855E3C" w:rsidRPr="00855E3C" w:rsidRDefault="00855E3C" w:rsidP="00855E3C">
            <w:pPr>
              <w:bidi w:val="0"/>
              <w:rPr>
                <w:lang w:bidi="ar-EG"/>
              </w:rPr>
            </w:pPr>
          </w:p>
        </w:tc>
        <w:tc>
          <w:tcPr>
            <w:tcW w:w="985" w:type="dxa"/>
            <w:noWrap/>
            <w:hideMark/>
          </w:tcPr>
          <w:p w14:paraId="2A1CD0E6" w14:textId="77777777" w:rsidR="00855E3C" w:rsidRPr="00855E3C" w:rsidRDefault="00855E3C" w:rsidP="00855E3C">
            <w:pPr>
              <w:bidi w:val="0"/>
              <w:rPr>
                <w:lang w:bidi="ar-EG"/>
              </w:rPr>
            </w:pPr>
          </w:p>
        </w:tc>
        <w:tc>
          <w:tcPr>
            <w:tcW w:w="816" w:type="dxa"/>
            <w:noWrap/>
            <w:hideMark/>
          </w:tcPr>
          <w:p w14:paraId="2E86C1C6" w14:textId="77777777" w:rsidR="00855E3C" w:rsidRPr="00855E3C" w:rsidRDefault="00855E3C" w:rsidP="00855E3C">
            <w:pPr>
              <w:bidi w:val="0"/>
              <w:rPr>
                <w:lang w:bidi="ar-EG"/>
              </w:rPr>
            </w:pPr>
          </w:p>
        </w:tc>
        <w:tc>
          <w:tcPr>
            <w:tcW w:w="612" w:type="dxa"/>
            <w:noWrap/>
            <w:hideMark/>
          </w:tcPr>
          <w:p w14:paraId="02C4A7F1" w14:textId="77777777" w:rsidR="00855E3C" w:rsidRPr="00855E3C" w:rsidRDefault="00855E3C" w:rsidP="00855E3C">
            <w:pPr>
              <w:bidi w:val="0"/>
              <w:rPr>
                <w:lang w:bidi="ar-EG"/>
              </w:rPr>
            </w:pPr>
          </w:p>
        </w:tc>
        <w:tc>
          <w:tcPr>
            <w:tcW w:w="3143" w:type="dxa"/>
            <w:noWrap/>
            <w:hideMark/>
          </w:tcPr>
          <w:p w14:paraId="4D6B8850" w14:textId="77777777" w:rsidR="00855E3C" w:rsidRPr="00855E3C" w:rsidRDefault="00855E3C" w:rsidP="00855E3C">
            <w:pPr>
              <w:bidi w:val="0"/>
              <w:rPr>
                <w:lang w:bidi="ar-EG"/>
              </w:rPr>
            </w:pPr>
            <w:r w:rsidRPr="00855E3C">
              <w:rPr>
                <w:lang w:bidi="ar-EG"/>
              </w:rPr>
              <w:t>or loss and a separate statement of other</w:t>
            </w:r>
          </w:p>
        </w:tc>
      </w:tr>
      <w:tr w:rsidR="00855E3C" w:rsidRPr="00855E3C" w14:paraId="2BA29089" w14:textId="77777777" w:rsidTr="00B44D0F">
        <w:trPr>
          <w:trHeight w:val="285"/>
        </w:trPr>
        <w:tc>
          <w:tcPr>
            <w:tcW w:w="1052" w:type="dxa"/>
            <w:noWrap/>
            <w:hideMark/>
          </w:tcPr>
          <w:p w14:paraId="4B1F0671" w14:textId="77777777" w:rsidR="00855E3C" w:rsidRPr="00855E3C" w:rsidRDefault="00855E3C" w:rsidP="00855E3C">
            <w:pPr>
              <w:bidi w:val="0"/>
              <w:rPr>
                <w:lang w:bidi="ar-EG"/>
              </w:rPr>
            </w:pPr>
            <w:r w:rsidRPr="00855E3C">
              <w:rPr>
                <w:lang w:bidi="ar-EG"/>
              </w:rPr>
              <w:t>IAS 1.85</w:t>
            </w:r>
          </w:p>
        </w:tc>
        <w:tc>
          <w:tcPr>
            <w:tcW w:w="3753" w:type="dxa"/>
            <w:noWrap/>
            <w:hideMark/>
          </w:tcPr>
          <w:p w14:paraId="0046F94B" w14:textId="77777777" w:rsidR="00855E3C" w:rsidRPr="00855E3C" w:rsidRDefault="00855E3C" w:rsidP="00855E3C">
            <w:pPr>
              <w:bidi w:val="0"/>
              <w:rPr>
                <w:lang w:bidi="ar-EG"/>
              </w:rPr>
            </w:pPr>
            <w:r w:rsidRPr="00855E3C">
              <w:rPr>
                <w:lang w:bidi="ar-EG"/>
              </w:rPr>
              <w:t>Costs of material</w:t>
            </w:r>
          </w:p>
        </w:tc>
        <w:tc>
          <w:tcPr>
            <w:tcW w:w="686" w:type="dxa"/>
            <w:noWrap/>
            <w:hideMark/>
          </w:tcPr>
          <w:p w14:paraId="3DD6565D" w14:textId="77777777" w:rsidR="00855E3C" w:rsidRPr="00855E3C" w:rsidRDefault="00855E3C" w:rsidP="00855E3C">
            <w:pPr>
              <w:bidi w:val="0"/>
              <w:rPr>
                <w:lang w:bidi="ar-EG"/>
              </w:rPr>
            </w:pPr>
          </w:p>
        </w:tc>
        <w:tc>
          <w:tcPr>
            <w:tcW w:w="985" w:type="dxa"/>
            <w:noWrap/>
            <w:hideMark/>
          </w:tcPr>
          <w:p w14:paraId="62BBF664" w14:textId="77777777" w:rsidR="00855E3C" w:rsidRPr="00855E3C" w:rsidRDefault="00855E3C" w:rsidP="00855E3C">
            <w:pPr>
              <w:bidi w:val="0"/>
              <w:rPr>
                <w:lang w:bidi="ar-EG"/>
              </w:rPr>
            </w:pPr>
            <w:r w:rsidRPr="00855E3C">
              <w:rPr>
                <w:lang w:bidi="ar-EG"/>
              </w:rPr>
              <w:t>(42,535)</w:t>
            </w:r>
          </w:p>
        </w:tc>
        <w:tc>
          <w:tcPr>
            <w:tcW w:w="816" w:type="dxa"/>
            <w:noWrap/>
            <w:hideMark/>
          </w:tcPr>
          <w:p w14:paraId="5FE842ED" w14:textId="77777777" w:rsidR="00855E3C" w:rsidRPr="00855E3C" w:rsidRDefault="00855E3C" w:rsidP="00855E3C">
            <w:pPr>
              <w:bidi w:val="0"/>
              <w:rPr>
                <w:lang w:bidi="ar-EG"/>
              </w:rPr>
            </w:pPr>
            <w:r w:rsidRPr="00855E3C">
              <w:rPr>
                <w:lang w:bidi="ar-EG"/>
              </w:rPr>
              <w:t>-39420</w:t>
            </w:r>
          </w:p>
        </w:tc>
        <w:tc>
          <w:tcPr>
            <w:tcW w:w="612" w:type="dxa"/>
            <w:noWrap/>
            <w:hideMark/>
          </w:tcPr>
          <w:p w14:paraId="6C5C6DD0" w14:textId="77777777" w:rsidR="00855E3C" w:rsidRPr="00855E3C" w:rsidRDefault="00855E3C" w:rsidP="00855E3C">
            <w:pPr>
              <w:bidi w:val="0"/>
              <w:rPr>
                <w:lang w:bidi="ar-EG"/>
              </w:rPr>
            </w:pPr>
          </w:p>
        </w:tc>
        <w:tc>
          <w:tcPr>
            <w:tcW w:w="3143" w:type="dxa"/>
            <w:noWrap/>
            <w:hideMark/>
          </w:tcPr>
          <w:p w14:paraId="30EDBE19" w14:textId="77777777" w:rsidR="00855E3C" w:rsidRPr="00855E3C" w:rsidRDefault="00855E3C" w:rsidP="00855E3C">
            <w:pPr>
              <w:bidi w:val="0"/>
              <w:rPr>
                <w:lang w:bidi="ar-EG"/>
              </w:rPr>
            </w:pPr>
            <w:r w:rsidRPr="00855E3C">
              <w:rPr>
                <w:lang w:bidi="ar-EG"/>
              </w:rPr>
              <w:t>comprehensive income. If so, the separate</w:t>
            </w:r>
          </w:p>
        </w:tc>
      </w:tr>
      <w:tr w:rsidR="00B44D0F" w:rsidRPr="00855E3C" w14:paraId="23C77DAA" w14:textId="77777777" w:rsidTr="00B44D0F">
        <w:trPr>
          <w:trHeight w:val="285"/>
        </w:trPr>
        <w:tc>
          <w:tcPr>
            <w:tcW w:w="1052" w:type="dxa"/>
            <w:noWrap/>
            <w:hideMark/>
          </w:tcPr>
          <w:p w14:paraId="168FAE3D" w14:textId="77777777" w:rsidR="00855E3C" w:rsidRPr="00855E3C" w:rsidRDefault="00855E3C" w:rsidP="00855E3C">
            <w:pPr>
              <w:bidi w:val="0"/>
              <w:rPr>
                <w:lang w:bidi="ar-EG"/>
              </w:rPr>
            </w:pPr>
            <w:r w:rsidRPr="00855E3C">
              <w:rPr>
                <w:lang w:bidi="ar-EG"/>
              </w:rPr>
              <w:t>IAS 1.85</w:t>
            </w:r>
          </w:p>
        </w:tc>
        <w:tc>
          <w:tcPr>
            <w:tcW w:w="3753" w:type="dxa"/>
            <w:noWrap/>
            <w:hideMark/>
          </w:tcPr>
          <w:p w14:paraId="211C252A" w14:textId="77777777" w:rsidR="00855E3C" w:rsidRPr="00855E3C" w:rsidRDefault="00855E3C" w:rsidP="00855E3C">
            <w:pPr>
              <w:bidi w:val="0"/>
              <w:rPr>
                <w:lang w:bidi="ar-EG"/>
              </w:rPr>
            </w:pPr>
            <w:r w:rsidRPr="00855E3C">
              <w:rPr>
                <w:lang w:bidi="ar-EG"/>
              </w:rPr>
              <w:t>Employee benefits expense</w:t>
            </w:r>
          </w:p>
        </w:tc>
        <w:tc>
          <w:tcPr>
            <w:tcW w:w="686" w:type="dxa"/>
            <w:noWrap/>
            <w:hideMark/>
          </w:tcPr>
          <w:p w14:paraId="4FCA8F47" w14:textId="77777777" w:rsidR="00855E3C" w:rsidRPr="00855E3C" w:rsidRDefault="00855E3C" w:rsidP="00855E3C">
            <w:pPr>
              <w:bidi w:val="0"/>
              <w:rPr>
                <w:lang w:bidi="ar-EG"/>
              </w:rPr>
            </w:pPr>
            <w:r w:rsidRPr="00855E3C">
              <w:rPr>
                <w:lang w:bidi="ar-EG"/>
              </w:rPr>
              <w:t>22</w:t>
            </w:r>
          </w:p>
        </w:tc>
        <w:tc>
          <w:tcPr>
            <w:tcW w:w="985" w:type="dxa"/>
            <w:noWrap/>
            <w:hideMark/>
          </w:tcPr>
          <w:p w14:paraId="28E77A86" w14:textId="77777777" w:rsidR="00855E3C" w:rsidRPr="00855E3C" w:rsidRDefault="00855E3C" w:rsidP="00855E3C">
            <w:pPr>
              <w:bidi w:val="0"/>
              <w:rPr>
                <w:lang w:bidi="ar-EG"/>
              </w:rPr>
            </w:pPr>
            <w:r w:rsidRPr="00855E3C">
              <w:rPr>
                <w:lang w:bidi="ar-EG"/>
              </w:rPr>
              <w:t>(113,809)</w:t>
            </w:r>
          </w:p>
        </w:tc>
        <w:tc>
          <w:tcPr>
            <w:tcW w:w="816" w:type="dxa"/>
            <w:noWrap/>
            <w:hideMark/>
          </w:tcPr>
          <w:p w14:paraId="53543774" w14:textId="77777777" w:rsidR="00855E3C" w:rsidRPr="00855E3C" w:rsidRDefault="00855E3C" w:rsidP="00855E3C">
            <w:pPr>
              <w:bidi w:val="0"/>
              <w:rPr>
                <w:lang w:bidi="ar-EG"/>
              </w:rPr>
            </w:pPr>
            <w:r w:rsidRPr="00855E3C">
              <w:rPr>
                <w:lang w:bidi="ar-EG"/>
              </w:rPr>
              <w:t>-109515</w:t>
            </w:r>
          </w:p>
        </w:tc>
        <w:tc>
          <w:tcPr>
            <w:tcW w:w="612" w:type="dxa"/>
            <w:noWrap/>
            <w:hideMark/>
          </w:tcPr>
          <w:p w14:paraId="60E02FA3" w14:textId="77777777" w:rsidR="00855E3C" w:rsidRPr="00855E3C" w:rsidRDefault="00855E3C" w:rsidP="00855E3C">
            <w:pPr>
              <w:bidi w:val="0"/>
              <w:rPr>
                <w:lang w:bidi="ar-EG"/>
              </w:rPr>
            </w:pPr>
          </w:p>
        </w:tc>
        <w:tc>
          <w:tcPr>
            <w:tcW w:w="3143" w:type="dxa"/>
            <w:noWrap/>
            <w:hideMark/>
          </w:tcPr>
          <w:p w14:paraId="13905988" w14:textId="77777777" w:rsidR="00855E3C" w:rsidRPr="00855E3C" w:rsidRDefault="00855E3C" w:rsidP="00855E3C">
            <w:pPr>
              <w:bidi w:val="0"/>
              <w:rPr>
                <w:lang w:bidi="ar-EG"/>
              </w:rPr>
            </w:pPr>
            <w:r w:rsidRPr="00855E3C">
              <w:rPr>
                <w:lang w:bidi="ar-EG"/>
              </w:rPr>
              <w:t>statement of profit or loss shall immediately</w:t>
            </w:r>
          </w:p>
        </w:tc>
      </w:tr>
      <w:tr w:rsidR="00855E3C" w:rsidRPr="00855E3C" w14:paraId="7D2CE60D" w14:textId="77777777" w:rsidTr="00B44D0F">
        <w:trPr>
          <w:trHeight w:val="285"/>
        </w:trPr>
        <w:tc>
          <w:tcPr>
            <w:tcW w:w="1052" w:type="dxa"/>
            <w:noWrap/>
            <w:hideMark/>
          </w:tcPr>
          <w:p w14:paraId="372CB2A2" w14:textId="77777777" w:rsidR="00855E3C" w:rsidRPr="00855E3C" w:rsidRDefault="00855E3C" w:rsidP="00855E3C">
            <w:pPr>
              <w:bidi w:val="0"/>
              <w:rPr>
                <w:lang w:bidi="ar-EG"/>
              </w:rPr>
            </w:pPr>
          </w:p>
        </w:tc>
        <w:tc>
          <w:tcPr>
            <w:tcW w:w="3753" w:type="dxa"/>
            <w:noWrap/>
            <w:hideMark/>
          </w:tcPr>
          <w:p w14:paraId="48CDBC74" w14:textId="77777777" w:rsidR="00855E3C" w:rsidRPr="00855E3C" w:rsidRDefault="00855E3C" w:rsidP="00855E3C">
            <w:pPr>
              <w:bidi w:val="0"/>
              <w:rPr>
                <w:lang w:bidi="ar-EG"/>
              </w:rPr>
            </w:pPr>
          </w:p>
        </w:tc>
        <w:tc>
          <w:tcPr>
            <w:tcW w:w="686" w:type="dxa"/>
            <w:noWrap/>
            <w:hideMark/>
          </w:tcPr>
          <w:p w14:paraId="17C3928C" w14:textId="77777777" w:rsidR="00855E3C" w:rsidRPr="00855E3C" w:rsidRDefault="00855E3C" w:rsidP="00855E3C">
            <w:pPr>
              <w:bidi w:val="0"/>
              <w:rPr>
                <w:lang w:bidi="ar-EG"/>
              </w:rPr>
            </w:pPr>
          </w:p>
        </w:tc>
        <w:tc>
          <w:tcPr>
            <w:tcW w:w="985" w:type="dxa"/>
            <w:noWrap/>
            <w:hideMark/>
          </w:tcPr>
          <w:p w14:paraId="44D9C79F" w14:textId="77777777" w:rsidR="00855E3C" w:rsidRPr="00855E3C" w:rsidRDefault="00855E3C" w:rsidP="00855E3C">
            <w:pPr>
              <w:bidi w:val="0"/>
              <w:rPr>
                <w:lang w:bidi="ar-EG"/>
              </w:rPr>
            </w:pPr>
          </w:p>
        </w:tc>
        <w:tc>
          <w:tcPr>
            <w:tcW w:w="816" w:type="dxa"/>
            <w:noWrap/>
            <w:hideMark/>
          </w:tcPr>
          <w:p w14:paraId="71CBF287" w14:textId="77777777" w:rsidR="00855E3C" w:rsidRPr="00855E3C" w:rsidRDefault="00855E3C" w:rsidP="00855E3C">
            <w:pPr>
              <w:bidi w:val="0"/>
              <w:rPr>
                <w:lang w:bidi="ar-EG"/>
              </w:rPr>
            </w:pPr>
          </w:p>
        </w:tc>
        <w:tc>
          <w:tcPr>
            <w:tcW w:w="612" w:type="dxa"/>
            <w:noWrap/>
            <w:hideMark/>
          </w:tcPr>
          <w:p w14:paraId="38242818" w14:textId="77777777" w:rsidR="00855E3C" w:rsidRPr="00855E3C" w:rsidRDefault="00855E3C" w:rsidP="00855E3C">
            <w:pPr>
              <w:bidi w:val="0"/>
              <w:rPr>
                <w:lang w:bidi="ar-EG"/>
              </w:rPr>
            </w:pPr>
          </w:p>
        </w:tc>
        <w:tc>
          <w:tcPr>
            <w:tcW w:w="3143" w:type="dxa"/>
            <w:noWrap/>
            <w:hideMark/>
          </w:tcPr>
          <w:p w14:paraId="5E22EEB8" w14:textId="77777777" w:rsidR="00855E3C" w:rsidRPr="00855E3C" w:rsidRDefault="00855E3C" w:rsidP="00855E3C">
            <w:pPr>
              <w:bidi w:val="0"/>
              <w:rPr>
                <w:lang w:bidi="ar-EG"/>
              </w:rPr>
            </w:pPr>
            <w:r w:rsidRPr="00855E3C">
              <w:rPr>
                <w:lang w:bidi="ar-EG"/>
              </w:rPr>
              <w:t>precede the statement presenting other</w:t>
            </w:r>
          </w:p>
        </w:tc>
      </w:tr>
      <w:tr w:rsidR="00B44D0F" w:rsidRPr="00855E3C" w14:paraId="4D1571BE" w14:textId="77777777" w:rsidTr="00B44D0F">
        <w:trPr>
          <w:trHeight w:val="285"/>
        </w:trPr>
        <w:tc>
          <w:tcPr>
            <w:tcW w:w="1052" w:type="dxa"/>
            <w:noWrap/>
            <w:hideMark/>
          </w:tcPr>
          <w:p w14:paraId="3E827F6D" w14:textId="77777777" w:rsidR="00855E3C" w:rsidRPr="00855E3C" w:rsidRDefault="00855E3C" w:rsidP="00855E3C">
            <w:pPr>
              <w:bidi w:val="0"/>
              <w:rPr>
                <w:lang w:bidi="ar-EG"/>
              </w:rPr>
            </w:pPr>
            <w:r w:rsidRPr="00855E3C">
              <w:rPr>
                <w:lang w:bidi="ar-EG"/>
              </w:rPr>
              <w:t>IAS 1.85</w:t>
            </w:r>
          </w:p>
        </w:tc>
        <w:tc>
          <w:tcPr>
            <w:tcW w:w="3753" w:type="dxa"/>
            <w:noWrap/>
            <w:hideMark/>
          </w:tcPr>
          <w:p w14:paraId="2F5F586F" w14:textId="77777777" w:rsidR="00855E3C" w:rsidRPr="00855E3C" w:rsidRDefault="00855E3C" w:rsidP="00855E3C">
            <w:pPr>
              <w:bidi w:val="0"/>
              <w:rPr>
                <w:lang w:bidi="ar-EG"/>
              </w:rPr>
            </w:pPr>
            <w:r w:rsidRPr="00855E3C">
              <w:rPr>
                <w:lang w:bidi="ar-EG"/>
              </w:rPr>
              <w:t>Change in fair value of investment property</w:t>
            </w:r>
          </w:p>
        </w:tc>
        <w:tc>
          <w:tcPr>
            <w:tcW w:w="686" w:type="dxa"/>
            <w:noWrap/>
            <w:hideMark/>
          </w:tcPr>
          <w:p w14:paraId="77D05A03" w14:textId="77777777" w:rsidR="00855E3C" w:rsidRPr="00855E3C" w:rsidRDefault="00855E3C" w:rsidP="00855E3C">
            <w:pPr>
              <w:bidi w:val="0"/>
              <w:rPr>
                <w:lang w:bidi="ar-EG"/>
              </w:rPr>
            </w:pPr>
            <w:r w:rsidRPr="00855E3C">
              <w:rPr>
                <w:lang w:bidi="ar-EG"/>
              </w:rPr>
              <w:t>14</w:t>
            </w:r>
          </w:p>
        </w:tc>
        <w:tc>
          <w:tcPr>
            <w:tcW w:w="985" w:type="dxa"/>
            <w:noWrap/>
            <w:hideMark/>
          </w:tcPr>
          <w:p w14:paraId="0F1A0E11" w14:textId="77777777" w:rsidR="00855E3C" w:rsidRPr="00855E3C" w:rsidRDefault="00855E3C" w:rsidP="00855E3C">
            <w:pPr>
              <w:bidi w:val="0"/>
              <w:rPr>
                <w:lang w:bidi="ar-EG"/>
              </w:rPr>
            </w:pPr>
            <w:r w:rsidRPr="00855E3C">
              <w:rPr>
                <w:lang w:bidi="ar-EG"/>
              </w:rPr>
              <w:t>310</w:t>
            </w:r>
          </w:p>
        </w:tc>
        <w:tc>
          <w:tcPr>
            <w:tcW w:w="816" w:type="dxa"/>
            <w:noWrap/>
            <w:hideMark/>
          </w:tcPr>
          <w:p w14:paraId="759A6815" w14:textId="77777777" w:rsidR="00855E3C" w:rsidRPr="00855E3C" w:rsidRDefault="00855E3C" w:rsidP="00855E3C">
            <w:pPr>
              <w:bidi w:val="0"/>
              <w:rPr>
                <w:lang w:bidi="ar-EG"/>
              </w:rPr>
            </w:pPr>
            <w:r w:rsidRPr="00855E3C">
              <w:rPr>
                <w:lang w:bidi="ar-EG"/>
              </w:rPr>
              <w:t>175</w:t>
            </w:r>
          </w:p>
        </w:tc>
        <w:tc>
          <w:tcPr>
            <w:tcW w:w="612" w:type="dxa"/>
            <w:noWrap/>
            <w:hideMark/>
          </w:tcPr>
          <w:p w14:paraId="3F97D987" w14:textId="77777777" w:rsidR="00855E3C" w:rsidRPr="00855E3C" w:rsidRDefault="00855E3C" w:rsidP="00855E3C">
            <w:pPr>
              <w:bidi w:val="0"/>
              <w:rPr>
                <w:lang w:bidi="ar-EG"/>
              </w:rPr>
            </w:pPr>
          </w:p>
        </w:tc>
        <w:tc>
          <w:tcPr>
            <w:tcW w:w="3143" w:type="dxa"/>
            <w:noWrap/>
            <w:hideMark/>
          </w:tcPr>
          <w:p w14:paraId="3F80D919" w14:textId="77777777" w:rsidR="00855E3C" w:rsidRPr="00855E3C" w:rsidRDefault="00855E3C" w:rsidP="00855E3C">
            <w:pPr>
              <w:bidi w:val="0"/>
              <w:rPr>
                <w:lang w:bidi="ar-EG"/>
              </w:rPr>
            </w:pPr>
            <w:r w:rsidRPr="00855E3C">
              <w:rPr>
                <w:lang w:bidi="ar-EG"/>
              </w:rPr>
              <w:t>comprehensive income, which shall begin with profit</w:t>
            </w:r>
          </w:p>
        </w:tc>
      </w:tr>
      <w:tr w:rsidR="00855E3C" w:rsidRPr="00855E3C" w14:paraId="22D1CD8A" w14:textId="77777777" w:rsidTr="00B44D0F">
        <w:trPr>
          <w:trHeight w:val="285"/>
        </w:trPr>
        <w:tc>
          <w:tcPr>
            <w:tcW w:w="1052" w:type="dxa"/>
            <w:noWrap/>
            <w:hideMark/>
          </w:tcPr>
          <w:p w14:paraId="4AB961CF" w14:textId="77777777" w:rsidR="00855E3C" w:rsidRPr="00855E3C" w:rsidRDefault="00855E3C" w:rsidP="00855E3C">
            <w:pPr>
              <w:bidi w:val="0"/>
              <w:rPr>
                <w:lang w:bidi="ar-EG"/>
              </w:rPr>
            </w:pPr>
          </w:p>
        </w:tc>
        <w:tc>
          <w:tcPr>
            <w:tcW w:w="3753" w:type="dxa"/>
            <w:noWrap/>
            <w:hideMark/>
          </w:tcPr>
          <w:p w14:paraId="44EA2F98" w14:textId="77777777" w:rsidR="00855E3C" w:rsidRPr="00855E3C" w:rsidRDefault="00855E3C" w:rsidP="00855E3C">
            <w:pPr>
              <w:bidi w:val="0"/>
              <w:rPr>
                <w:lang w:bidi="ar-EG"/>
              </w:rPr>
            </w:pPr>
          </w:p>
        </w:tc>
        <w:tc>
          <w:tcPr>
            <w:tcW w:w="686" w:type="dxa"/>
            <w:noWrap/>
            <w:hideMark/>
          </w:tcPr>
          <w:p w14:paraId="6730BB8C" w14:textId="77777777" w:rsidR="00855E3C" w:rsidRPr="00855E3C" w:rsidRDefault="00855E3C" w:rsidP="00855E3C">
            <w:pPr>
              <w:bidi w:val="0"/>
              <w:rPr>
                <w:lang w:bidi="ar-EG"/>
              </w:rPr>
            </w:pPr>
          </w:p>
        </w:tc>
        <w:tc>
          <w:tcPr>
            <w:tcW w:w="985" w:type="dxa"/>
            <w:noWrap/>
            <w:hideMark/>
          </w:tcPr>
          <w:p w14:paraId="5397E830" w14:textId="77777777" w:rsidR="00855E3C" w:rsidRPr="00855E3C" w:rsidRDefault="00855E3C" w:rsidP="00855E3C">
            <w:pPr>
              <w:bidi w:val="0"/>
              <w:rPr>
                <w:lang w:bidi="ar-EG"/>
              </w:rPr>
            </w:pPr>
          </w:p>
        </w:tc>
        <w:tc>
          <w:tcPr>
            <w:tcW w:w="816" w:type="dxa"/>
            <w:noWrap/>
            <w:hideMark/>
          </w:tcPr>
          <w:p w14:paraId="05B35CB9" w14:textId="77777777" w:rsidR="00855E3C" w:rsidRPr="00855E3C" w:rsidRDefault="00855E3C" w:rsidP="00855E3C">
            <w:pPr>
              <w:bidi w:val="0"/>
              <w:rPr>
                <w:lang w:bidi="ar-EG"/>
              </w:rPr>
            </w:pPr>
          </w:p>
        </w:tc>
        <w:tc>
          <w:tcPr>
            <w:tcW w:w="612" w:type="dxa"/>
            <w:noWrap/>
            <w:hideMark/>
          </w:tcPr>
          <w:p w14:paraId="4CF8CC2B" w14:textId="77777777" w:rsidR="00855E3C" w:rsidRPr="00855E3C" w:rsidRDefault="00855E3C" w:rsidP="00855E3C">
            <w:pPr>
              <w:bidi w:val="0"/>
              <w:rPr>
                <w:lang w:bidi="ar-EG"/>
              </w:rPr>
            </w:pPr>
          </w:p>
        </w:tc>
        <w:tc>
          <w:tcPr>
            <w:tcW w:w="3143" w:type="dxa"/>
            <w:noWrap/>
            <w:hideMark/>
          </w:tcPr>
          <w:p w14:paraId="7FBD78D7" w14:textId="77777777" w:rsidR="00855E3C" w:rsidRPr="00855E3C" w:rsidRDefault="00855E3C" w:rsidP="00855E3C">
            <w:pPr>
              <w:bidi w:val="0"/>
              <w:rPr>
                <w:lang w:bidi="ar-EG"/>
              </w:rPr>
            </w:pPr>
            <w:r w:rsidRPr="00855E3C">
              <w:rPr>
                <w:lang w:bidi="ar-EG"/>
              </w:rPr>
              <w:t>or loss (IAS 1.10A).</w:t>
            </w:r>
          </w:p>
        </w:tc>
      </w:tr>
      <w:tr w:rsidR="00B44D0F" w:rsidRPr="00855E3C" w14:paraId="68EA9182" w14:textId="77777777" w:rsidTr="00B44D0F">
        <w:trPr>
          <w:trHeight w:val="285"/>
        </w:trPr>
        <w:tc>
          <w:tcPr>
            <w:tcW w:w="1052" w:type="dxa"/>
            <w:noWrap/>
            <w:hideMark/>
          </w:tcPr>
          <w:p w14:paraId="65C6DD4E" w14:textId="77777777" w:rsidR="00855E3C" w:rsidRPr="00855E3C" w:rsidRDefault="00855E3C" w:rsidP="00855E3C">
            <w:pPr>
              <w:bidi w:val="0"/>
              <w:rPr>
                <w:lang w:bidi="ar-EG"/>
              </w:rPr>
            </w:pPr>
            <w:r w:rsidRPr="00855E3C">
              <w:rPr>
                <w:lang w:bidi="ar-EG"/>
              </w:rPr>
              <w:t>IAS 1.85</w:t>
            </w:r>
          </w:p>
        </w:tc>
        <w:tc>
          <w:tcPr>
            <w:tcW w:w="3753" w:type="dxa"/>
            <w:noWrap/>
            <w:hideMark/>
          </w:tcPr>
          <w:p w14:paraId="1924DFB1" w14:textId="77777777" w:rsidR="00855E3C" w:rsidRPr="00855E3C" w:rsidRDefault="00855E3C" w:rsidP="00855E3C">
            <w:pPr>
              <w:bidi w:val="0"/>
              <w:rPr>
                <w:lang w:bidi="ar-EG"/>
              </w:rPr>
            </w:pPr>
            <w:r w:rsidRPr="00855E3C">
              <w:rPr>
                <w:lang w:bidi="ar-EG"/>
              </w:rPr>
              <w:t xml:space="preserve">Depreciation, </w:t>
            </w:r>
            <w:proofErr w:type="spellStart"/>
            <w:r w:rsidRPr="00855E3C">
              <w:rPr>
                <w:lang w:bidi="ar-EG"/>
              </w:rPr>
              <w:t>amortisation</w:t>
            </w:r>
            <w:proofErr w:type="spellEnd"/>
            <w:r w:rsidRPr="00855E3C">
              <w:rPr>
                <w:lang w:bidi="ar-EG"/>
              </w:rPr>
              <w:t xml:space="preserve"> and impairment</w:t>
            </w:r>
            <w:r w:rsidRPr="00855E3C">
              <w:rPr>
                <w:lang w:bidi="ar-EG"/>
              </w:rPr>
              <w:br/>
              <w:t>of non-financial assets</w:t>
            </w:r>
          </w:p>
        </w:tc>
        <w:tc>
          <w:tcPr>
            <w:tcW w:w="686" w:type="dxa"/>
            <w:noWrap/>
            <w:hideMark/>
          </w:tcPr>
          <w:p w14:paraId="36A6416C" w14:textId="77777777" w:rsidR="00855E3C" w:rsidRPr="00855E3C" w:rsidRDefault="00855E3C" w:rsidP="00855E3C">
            <w:pPr>
              <w:bidi w:val="0"/>
              <w:rPr>
                <w:lang w:bidi="ar-EG"/>
              </w:rPr>
            </w:pPr>
          </w:p>
        </w:tc>
        <w:tc>
          <w:tcPr>
            <w:tcW w:w="985" w:type="dxa"/>
            <w:noWrap/>
            <w:hideMark/>
          </w:tcPr>
          <w:p w14:paraId="2328A7F3" w14:textId="77777777" w:rsidR="00855E3C" w:rsidRPr="00855E3C" w:rsidRDefault="00855E3C" w:rsidP="00855E3C">
            <w:pPr>
              <w:bidi w:val="0"/>
              <w:rPr>
                <w:lang w:bidi="ar-EG"/>
              </w:rPr>
            </w:pPr>
            <w:r w:rsidRPr="00855E3C">
              <w:rPr>
                <w:lang w:bidi="ar-EG"/>
              </w:rPr>
              <w:t>(10,093)</w:t>
            </w:r>
          </w:p>
        </w:tc>
        <w:tc>
          <w:tcPr>
            <w:tcW w:w="816" w:type="dxa"/>
            <w:noWrap/>
            <w:hideMark/>
          </w:tcPr>
          <w:p w14:paraId="69BFD557" w14:textId="77777777" w:rsidR="00855E3C" w:rsidRPr="00855E3C" w:rsidRDefault="00855E3C" w:rsidP="00855E3C">
            <w:pPr>
              <w:bidi w:val="0"/>
              <w:rPr>
                <w:lang w:bidi="ar-EG"/>
              </w:rPr>
            </w:pPr>
            <w:r w:rsidRPr="00855E3C">
              <w:rPr>
                <w:lang w:bidi="ar-EG"/>
              </w:rPr>
              <w:t>-8881</w:t>
            </w:r>
          </w:p>
        </w:tc>
        <w:tc>
          <w:tcPr>
            <w:tcW w:w="612" w:type="dxa"/>
            <w:noWrap/>
            <w:hideMark/>
          </w:tcPr>
          <w:p w14:paraId="7F68500E" w14:textId="77777777" w:rsidR="00855E3C" w:rsidRPr="00855E3C" w:rsidRDefault="00855E3C" w:rsidP="00855E3C">
            <w:pPr>
              <w:bidi w:val="0"/>
              <w:rPr>
                <w:lang w:bidi="ar-EG"/>
              </w:rPr>
            </w:pPr>
          </w:p>
        </w:tc>
        <w:tc>
          <w:tcPr>
            <w:tcW w:w="3143" w:type="dxa"/>
            <w:noWrap/>
            <w:hideMark/>
          </w:tcPr>
          <w:p w14:paraId="5FD4270A" w14:textId="77777777" w:rsidR="00855E3C" w:rsidRPr="00855E3C" w:rsidRDefault="00855E3C" w:rsidP="00855E3C">
            <w:pPr>
              <w:bidi w:val="0"/>
              <w:rPr>
                <w:lang w:bidi="ar-EG"/>
              </w:rPr>
            </w:pPr>
            <w:r w:rsidRPr="00855E3C">
              <w:rPr>
                <w:lang w:bidi="ar-EG"/>
              </w:rPr>
              <w:t>These Example Financial Statements illustrate a</w:t>
            </w:r>
          </w:p>
        </w:tc>
      </w:tr>
      <w:tr w:rsidR="00855E3C" w:rsidRPr="00855E3C" w14:paraId="10A23F87" w14:textId="77777777" w:rsidTr="00B44D0F">
        <w:trPr>
          <w:trHeight w:val="285"/>
        </w:trPr>
        <w:tc>
          <w:tcPr>
            <w:tcW w:w="1052" w:type="dxa"/>
            <w:noWrap/>
            <w:hideMark/>
          </w:tcPr>
          <w:p w14:paraId="09DD1121" w14:textId="77777777" w:rsidR="00855E3C" w:rsidRPr="00855E3C" w:rsidRDefault="00855E3C" w:rsidP="00855E3C">
            <w:pPr>
              <w:bidi w:val="0"/>
              <w:rPr>
                <w:lang w:bidi="ar-EG"/>
              </w:rPr>
            </w:pPr>
          </w:p>
        </w:tc>
        <w:tc>
          <w:tcPr>
            <w:tcW w:w="3753" w:type="dxa"/>
            <w:noWrap/>
            <w:hideMark/>
          </w:tcPr>
          <w:p w14:paraId="00E6DDDB" w14:textId="77777777" w:rsidR="00855E3C" w:rsidRPr="00855E3C" w:rsidRDefault="00855E3C" w:rsidP="00855E3C">
            <w:pPr>
              <w:bidi w:val="0"/>
              <w:rPr>
                <w:lang w:bidi="ar-EG"/>
              </w:rPr>
            </w:pPr>
          </w:p>
        </w:tc>
        <w:tc>
          <w:tcPr>
            <w:tcW w:w="686" w:type="dxa"/>
            <w:noWrap/>
            <w:hideMark/>
          </w:tcPr>
          <w:p w14:paraId="33D9DD3F" w14:textId="77777777" w:rsidR="00855E3C" w:rsidRPr="00855E3C" w:rsidRDefault="00855E3C" w:rsidP="00855E3C">
            <w:pPr>
              <w:bidi w:val="0"/>
              <w:rPr>
                <w:lang w:bidi="ar-EG"/>
              </w:rPr>
            </w:pPr>
          </w:p>
        </w:tc>
        <w:tc>
          <w:tcPr>
            <w:tcW w:w="985" w:type="dxa"/>
            <w:noWrap/>
            <w:hideMark/>
          </w:tcPr>
          <w:p w14:paraId="480986B0" w14:textId="77777777" w:rsidR="00855E3C" w:rsidRPr="00855E3C" w:rsidRDefault="00855E3C" w:rsidP="00855E3C">
            <w:pPr>
              <w:bidi w:val="0"/>
              <w:rPr>
                <w:lang w:bidi="ar-EG"/>
              </w:rPr>
            </w:pPr>
          </w:p>
        </w:tc>
        <w:tc>
          <w:tcPr>
            <w:tcW w:w="816" w:type="dxa"/>
            <w:noWrap/>
            <w:hideMark/>
          </w:tcPr>
          <w:p w14:paraId="3080FA3F" w14:textId="77777777" w:rsidR="00855E3C" w:rsidRPr="00855E3C" w:rsidRDefault="00855E3C" w:rsidP="00855E3C">
            <w:pPr>
              <w:bidi w:val="0"/>
              <w:rPr>
                <w:lang w:bidi="ar-EG"/>
              </w:rPr>
            </w:pPr>
          </w:p>
        </w:tc>
        <w:tc>
          <w:tcPr>
            <w:tcW w:w="612" w:type="dxa"/>
            <w:noWrap/>
            <w:hideMark/>
          </w:tcPr>
          <w:p w14:paraId="5F0D1F0C" w14:textId="77777777" w:rsidR="00855E3C" w:rsidRPr="00855E3C" w:rsidRDefault="00855E3C" w:rsidP="00855E3C">
            <w:pPr>
              <w:bidi w:val="0"/>
              <w:rPr>
                <w:lang w:bidi="ar-EG"/>
              </w:rPr>
            </w:pPr>
          </w:p>
        </w:tc>
        <w:tc>
          <w:tcPr>
            <w:tcW w:w="3143" w:type="dxa"/>
            <w:noWrap/>
            <w:hideMark/>
          </w:tcPr>
          <w:p w14:paraId="156CF93C" w14:textId="77777777" w:rsidR="00855E3C" w:rsidRPr="00855E3C" w:rsidRDefault="00855E3C" w:rsidP="00855E3C">
            <w:pPr>
              <w:bidi w:val="0"/>
              <w:rPr>
                <w:lang w:bidi="ar-EG"/>
              </w:rPr>
            </w:pPr>
            <w:r w:rsidRPr="00855E3C">
              <w:rPr>
                <w:lang w:bidi="ar-EG"/>
              </w:rPr>
              <w:t>statement of profit or loss and other comprehensive</w:t>
            </w:r>
          </w:p>
        </w:tc>
      </w:tr>
      <w:tr w:rsidR="00B44D0F" w:rsidRPr="00855E3C" w14:paraId="4D64449F" w14:textId="77777777" w:rsidTr="00B44D0F">
        <w:trPr>
          <w:trHeight w:val="285"/>
        </w:trPr>
        <w:tc>
          <w:tcPr>
            <w:tcW w:w="1052" w:type="dxa"/>
            <w:noWrap/>
            <w:hideMark/>
          </w:tcPr>
          <w:p w14:paraId="3B6BD185" w14:textId="77777777" w:rsidR="00855E3C" w:rsidRPr="00855E3C" w:rsidRDefault="00855E3C" w:rsidP="00855E3C">
            <w:pPr>
              <w:bidi w:val="0"/>
              <w:rPr>
                <w:lang w:bidi="ar-EG"/>
              </w:rPr>
            </w:pPr>
            <w:r w:rsidRPr="00855E3C">
              <w:rPr>
                <w:lang w:bidi="ar-EG"/>
              </w:rPr>
              <w:t>IAS 1.82(</w:t>
            </w:r>
            <w:proofErr w:type="spellStart"/>
            <w:r w:rsidRPr="00855E3C">
              <w:rPr>
                <w:lang w:bidi="ar-EG"/>
              </w:rPr>
              <w:t>ba</w:t>
            </w:r>
            <w:proofErr w:type="spellEnd"/>
            <w:r w:rsidRPr="00855E3C">
              <w:rPr>
                <w:lang w:bidi="ar-EG"/>
              </w:rPr>
              <w:t>)</w:t>
            </w:r>
          </w:p>
        </w:tc>
        <w:tc>
          <w:tcPr>
            <w:tcW w:w="3753" w:type="dxa"/>
            <w:noWrap/>
            <w:hideMark/>
          </w:tcPr>
          <w:p w14:paraId="3251ACFD" w14:textId="77777777" w:rsidR="00855E3C" w:rsidRPr="00855E3C" w:rsidRDefault="00855E3C" w:rsidP="00855E3C">
            <w:pPr>
              <w:bidi w:val="0"/>
              <w:rPr>
                <w:lang w:bidi="ar-EG"/>
              </w:rPr>
            </w:pPr>
            <w:r w:rsidRPr="00855E3C">
              <w:rPr>
                <w:lang w:bidi="ar-EG"/>
              </w:rPr>
              <w:t>Impairment losses of financial assets</w:t>
            </w:r>
          </w:p>
        </w:tc>
        <w:tc>
          <w:tcPr>
            <w:tcW w:w="686" w:type="dxa"/>
            <w:noWrap/>
            <w:hideMark/>
          </w:tcPr>
          <w:p w14:paraId="02663F4E" w14:textId="77777777" w:rsidR="00855E3C" w:rsidRPr="00855E3C" w:rsidRDefault="00855E3C" w:rsidP="00855E3C">
            <w:pPr>
              <w:bidi w:val="0"/>
              <w:rPr>
                <w:lang w:bidi="ar-EG"/>
              </w:rPr>
            </w:pPr>
            <w:r w:rsidRPr="00855E3C">
              <w:rPr>
                <w:lang w:bidi="ar-EG"/>
              </w:rPr>
              <w:t>34.2</w:t>
            </w:r>
          </w:p>
        </w:tc>
        <w:tc>
          <w:tcPr>
            <w:tcW w:w="985" w:type="dxa"/>
            <w:noWrap/>
            <w:hideMark/>
          </w:tcPr>
          <w:p w14:paraId="27973B33" w14:textId="77777777" w:rsidR="00855E3C" w:rsidRPr="00855E3C" w:rsidRDefault="00855E3C" w:rsidP="00855E3C">
            <w:pPr>
              <w:bidi w:val="0"/>
              <w:rPr>
                <w:lang w:bidi="ar-EG"/>
              </w:rPr>
            </w:pPr>
            <w:r w:rsidRPr="00855E3C">
              <w:rPr>
                <w:lang w:bidi="ar-EG"/>
              </w:rPr>
              <w:t>(212)</w:t>
            </w:r>
          </w:p>
        </w:tc>
        <w:tc>
          <w:tcPr>
            <w:tcW w:w="816" w:type="dxa"/>
            <w:noWrap/>
            <w:hideMark/>
          </w:tcPr>
          <w:p w14:paraId="6FC6DF48" w14:textId="77777777" w:rsidR="00855E3C" w:rsidRPr="00855E3C" w:rsidRDefault="00855E3C" w:rsidP="00855E3C">
            <w:pPr>
              <w:bidi w:val="0"/>
              <w:rPr>
                <w:lang w:bidi="ar-EG"/>
              </w:rPr>
            </w:pPr>
            <w:r w:rsidRPr="00855E3C">
              <w:rPr>
                <w:lang w:bidi="ar-EG"/>
              </w:rPr>
              <w:t>-228</w:t>
            </w:r>
          </w:p>
        </w:tc>
        <w:tc>
          <w:tcPr>
            <w:tcW w:w="612" w:type="dxa"/>
            <w:noWrap/>
            <w:hideMark/>
          </w:tcPr>
          <w:p w14:paraId="3B70B023" w14:textId="77777777" w:rsidR="00855E3C" w:rsidRPr="00855E3C" w:rsidRDefault="00855E3C" w:rsidP="00855E3C">
            <w:pPr>
              <w:bidi w:val="0"/>
              <w:rPr>
                <w:lang w:bidi="ar-EG"/>
              </w:rPr>
            </w:pPr>
          </w:p>
        </w:tc>
        <w:tc>
          <w:tcPr>
            <w:tcW w:w="3143" w:type="dxa"/>
            <w:noWrap/>
            <w:hideMark/>
          </w:tcPr>
          <w:p w14:paraId="6D22069A" w14:textId="77777777" w:rsidR="00855E3C" w:rsidRPr="00855E3C" w:rsidRDefault="00855E3C" w:rsidP="00855E3C">
            <w:pPr>
              <w:bidi w:val="0"/>
              <w:rPr>
                <w:lang w:bidi="ar-EG"/>
              </w:rPr>
            </w:pPr>
            <w:r w:rsidRPr="00855E3C">
              <w:rPr>
                <w:lang w:bidi="ar-EG"/>
              </w:rPr>
              <w:t>income in two statements. A single statement</w:t>
            </w:r>
          </w:p>
        </w:tc>
      </w:tr>
      <w:tr w:rsidR="00855E3C" w:rsidRPr="00855E3C" w14:paraId="75B8E504" w14:textId="77777777" w:rsidTr="00B44D0F">
        <w:trPr>
          <w:trHeight w:val="285"/>
        </w:trPr>
        <w:tc>
          <w:tcPr>
            <w:tcW w:w="1052" w:type="dxa"/>
            <w:noWrap/>
            <w:hideMark/>
          </w:tcPr>
          <w:p w14:paraId="1AA95936" w14:textId="77777777" w:rsidR="00855E3C" w:rsidRPr="00855E3C" w:rsidRDefault="00855E3C" w:rsidP="00855E3C">
            <w:pPr>
              <w:bidi w:val="0"/>
              <w:rPr>
                <w:lang w:bidi="ar-EG"/>
              </w:rPr>
            </w:pPr>
            <w:r w:rsidRPr="00855E3C">
              <w:rPr>
                <w:lang w:bidi="ar-EG"/>
              </w:rPr>
              <w:t>IAS 1.85</w:t>
            </w:r>
          </w:p>
        </w:tc>
        <w:tc>
          <w:tcPr>
            <w:tcW w:w="3753" w:type="dxa"/>
            <w:noWrap/>
            <w:hideMark/>
          </w:tcPr>
          <w:p w14:paraId="6DD03119" w14:textId="77777777" w:rsidR="00855E3C" w:rsidRPr="00855E3C" w:rsidRDefault="00855E3C" w:rsidP="00855E3C">
            <w:pPr>
              <w:bidi w:val="0"/>
              <w:rPr>
                <w:lang w:bidi="ar-EG"/>
              </w:rPr>
            </w:pPr>
            <w:r w:rsidRPr="00855E3C">
              <w:rPr>
                <w:lang w:bidi="ar-EG"/>
              </w:rPr>
              <w:t>Other expenses</w:t>
            </w:r>
          </w:p>
        </w:tc>
        <w:tc>
          <w:tcPr>
            <w:tcW w:w="686" w:type="dxa"/>
            <w:noWrap/>
            <w:hideMark/>
          </w:tcPr>
          <w:p w14:paraId="66F88D08" w14:textId="77777777" w:rsidR="00855E3C" w:rsidRPr="00855E3C" w:rsidRDefault="00855E3C" w:rsidP="00855E3C">
            <w:pPr>
              <w:bidi w:val="0"/>
              <w:rPr>
                <w:lang w:bidi="ar-EG"/>
              </w:rPr>
            </w:pPr>
          </w:p>
        </w:tc>
        <w:tc>
          <w:tcPr>
            <w:tcW w:w="985" w:type="dxa"/>
            <w:noWrap/>
            <w:hideMark/>
          </w:tcPr>
          <w:p w14:paraId="68475CF9" w14:textId="77777777" w:rsidR="00855E3C" w:rsidRPr="00855E3C" w:rsidRDefault="00855E3C" w:rsidP="00855E3C">
            <w:pPr>
              <w:bidi w:val="0"/>
              <w:rPr>
                <w:lang w:bidi="ar-EG"/>
              </w:rPr>
            </w:pPr>
            <w:r w:rsidRPr="00855E3C">
              <w:rPr>
                <w:lang w:bidi="ar-EG"/>
              </w:rPr>
              <w:t>(8,598)</w:t>
            </w:r>
          </w:p>
        </w:tc>
        <w:tc>
          <w:tcPr>
            <w:tcW w:w="816" w:type="dxa"/>
            <w:noWrap/>
            <w:hideMark/>
          </w:tcPr>
          <w:p w14:paraId="14C699F8" w14:textId="77777777" w:rsidR="00855E3C" w:rsidRPr="00855E3C" w:rsidRDefault="00855E3C" w:rsidP="00855E3C">
            <w:pPr>
              <w:bidi w:val="0"/>
              <w:rPr>
                <w:lang w:bidi="ar-EG"/>
              </w:rPr>
            </w:pPr>
            <w:r w:rsidRPr="00855E3C">
              <w:rPr>
                <w:lang w:bidi="ar-EG"/>
              </w:rPr>
              <w:t>-8943</w:t>
            </w:r>
          </w:p>
        </w:tc>
        <w:tc>
          <w:tcPr>
            <w:tcW w:w="612" w:type="dxa"/>
            <w:noWrap/>
            <w:hideMark/>
          </w:tcPr>
          <w:p w14:paraId="220D8CF2" w14:textId="77777777" w:rsidR="00855E3C" w:rsidRPr="00855E3C" w:rsidRDefault="00855E3C" w:rsidP="00855E3C">
            <w:pPr>
              <w:bidi w:val="0"/>
              <w:rPr>
                <w:lang w:bidi="ar-EG"/>
              </w:rPr>
            </w:pPr>
          </w:p>
        </w:tc>
        <w:tc>
          <w:tcPr>
            <w:tcW w:w="3143" w:type="dxa"/>
            <w:noWrap/>
            <w:hideMark/>
          </w:tcPr>
          <w:p w14:paraId="7CE4EF2F" w14:textId="77777777" w:rsidR="00855E3C" w:rsidRPr="00855E3C" w:rsidRDefault="00855E3C" w:rsidP="00855E3C">
            <w:pPr>
              <w:bidi w:val="0"/>
              <w:rPr>
                <w:lang w:bidi="ar-EG"/>
              </w:rPr>
            </w:pPr>
            <w:r w:rsidRPr="00855E3C">
              <w:rPr>
                <w:lang w:bidi="ar-EG"/>
              </w:rPr>
              <w:t>presentation is shown in Appendix B.</w:t>
            </w:r>
          </w:p>
        </w:tc>
      </w:tr>
      <w:tr w:rsidR="00B44D0F" w:rsidRPr="00855E3C" w14:paraId="05E381BF" w14:textId="77777777" w:rsidTr="00B44D0F">
        <w:trPr>
          <w:trHeight w:val="285"/>
        </w:trPr>
        <w:tc>
          <w:tcPr>
            <w:tcW w:w="1052" w:type="dxa"/>
            <w:noWrap/>
            <w:hideMark/>
          </w:tcPr>
          <w:p w14:paraId="5136CFE6" w14:textId="77777777" w:rsidR="00855E3C" w:rsidRPr="00855E3C" w:rsidRDefault="00855E3C" w:rsidP="00855E3C">
            <w:pPr>
              <w:bidi w:val="0"/>
              <w:rPr>
                <w:lang w:bidi="ar-EG"/>
              </w:rPr>
            </w:pPr>
          </w:p>
        </w:tc>
        <w:tc>
          <w:tcPr>
            <w:tcW w:w="3753" w:type="dxa"/>
            <w:noWrap/>
            <w:hideMark/>
          </w:tcPr>
          <w:p w14:paraId="3ED297BA" w14:textId="77777777" w:rsidR="00855E3C" w:rsidRPr="00855E3C" w:rsidRDefault="00855E3C" w:rsidP="00855E3C">
            <w:pPr>
              <w:bidi w:val="0"/>
              <w:rPr>
                <w:lang w:bidi="ar-EG"/>
              </w:rPr>
            </w:pPr>
          </w:p>
        </w:tc>
        <w:tc>
          <w:tcPr>
            <w:tcW w:w="686" w:type="dxa"/>
            <w:noWrap/>
            <w:hideMark/>
          </w:tcPr>
          <w:p w14:paraId="30138700" w14:textId="77777777" w:rsidR="00855E3C" w:rsidRPr="00855E3C" w:rsidRDefault="00855E3C" w:rsidP="00855E3C">
            <w:pPr>
              <w:bidi w:val="0"/>
              <w:rPr>
                <w:lang w:bidi="ar-EG"/>
              </w:rPr>
            </w:pPr>
          </w:p>
        </w:tc>
        <w:tc>
          <w:tcPr>
            <w:tcW w:w="985" w:type="dxa"/>
            <w:noWrap/>
            <w:hideMark/>
          </w:tcPr>
          <w:p w14:paraId="782EC8F6" w14:textId="77777777" w:rsidR="00855E3C" w:rsidRPr="00855E3C" w:rsidRDefault="00855E3C" w:rsidP="00855E3C">
            <w:pPr>
              <w:bidi w:val="0"/>
              <w:rPr>
                <w:lang w:bidi="ar-EG"/>
              </w:rPr>
            </w:pPr>
          </w:p>
        </w:tc>
        <w:tc>
          <w:tcPr>
            <w:tcW w:w="816" w:type="dxa"/>
            <w:noWrap/>
            <w:hideMark/>
          </w:tcPr>
          <w:p w14:paraId="35E08DE3" w14:textId="77777777" w:rsidR="00855E3C" w:rsidRPr="00855E3C" w:rsidRDefault="00855E3C" w:rsidP="00855E3C">
            <w:pPr>
              <w:bidi w:val="0"/>
              <w:rPr>
                <w:lang w:bidi="ar-EG"/>
              </w:rPr>
            </w:pPr>
          </w:p>
        </w:tc>
        <w:tc>
          <w:tcPr>
            <w:tcW w:w="612" w:type="dxa"/>
            <w:noWrap/>
            <w:hideMark/>
          </w:tcPr>
          <w:p w14:paraId="02B01582" w14:textId="77777777" w:rsidR="00855E3C" w:rsidRPr="00855E3C" w:rsidRDefault="00855E3C" w:rsidP="00855E3C">
            <w:pPr>
              <w:bidi w:val="0"/>
              <w:rPr>
                <w:lang w:bidi="ar-EG"/>
              </w:rPr>
            </w:pPr>
          </w:p>
        </w:tc>
        <w:tc>
          <w:tcPr>
            <w:tcW w:w="3143" w:type="dxa"/>
            <w:noWrap/>
            <w:hideMark/>
          </w:tcPr>
          <w:p w14:paraId="3835E01D" w14:textId="77777777" w:rsidR="00855E3C" w:rsidRPr="00855E3C" w:rsidRDefault="00855E3C" w:rsidP="00855E3C">
            <w:pPr>
              <w:bidi w:val="0"/>
              <w:rPr>
                <w:lang w:bidi="ar-EG"/>
              </w:rPr>
            </w:pPr>
            <w:r w:rsidRPr="00855E3C">
              <w:rPr>
                <w:lang w:bidi="ar-EG"/>
              </w:rPr>
              <w:t>This statement of profit or loss illustrates an example</w:t>
            </w:r>
          </w:p>
        </w:tc>
      </w:tr>
      <w:tr w:rsidR="00855E3C" w:rsidRPr="00855E3C" w14:paraId="12EBA251" w14:textId="77777777" w:rsidTr="00B44D0F">
        <w:trPr>
          <w:trHeight w:val="285"/>
        </w:trPr>
        <w:tc>
          <w:tcPr>
            <w:tcW w:w="1052" w:type="dxa"/>
            <w:noWrap/>
            <w:hideMark/>
          </w:tcPr>
          <w:p w14:paraId="03F53244" w14:textId="77777777" w:rsidR="00855E3C" w:rsidRPr="00855E3C" w:rsidRDefault="00855E3C" w:rsidP="00855E3C">
            <w:pPr>
              <w:bidi w:val="0"/>
              <w:rPr>
                <w:lang w:bidi="ar-EG"/>
              </w:rPr>
            </w:pPr>
          </w:p>
        </w:tc>
        <w:tc>
          <w:tcPr>
            <w:tcW w:w="3753" w:type="dxa"/>
            <w:noWrap/>
            <w:hideMark/>
          </w:tcPr>
          <w:p w14:paraId="7095FED1" w14:textId="77777777" w:rsidR="00855E3C" w:rsidRPr="00855E3C" w:rsidRDefault="00855E3C" w:rsidP="00855E3C">
            <w:pPr>
              <w:bidi w:val="0"/>
              <w:rPr>
                <w:lang w:bidi="ar-EG"/>
              </w:rPr>
            </w:pPr>
            <w:r w:rsidRPr="00855E3C">
              <w:rPr>
                <w:lang w:bidi="ar-EG"/>
              </w:rPr>
              <w:t>Operating profit</w:t>
            </w:r>
          </w:p>
        </w:tc>
        <w:tc>
          <w:tcPr>
            <w:tcW w:w="686" w:type="dxa"/>
            <w:noWrap/>
            <w:hideMark/>
          </w:tcPr>
          <w:p w14:paraId="455D86E5" w14:textId="77777777" w:rsidR="00855E3C" w:rsidRPr="00855E3C" w:rsidRDefault="00855E3C" w:rsidP="00855E3C">
            <w:pPr>
              <w:bidi w:val="0"/>
              <w:rPr>
                <w:lang w:bidi="ar-EG"/>
              </w:rPr>
            </w:pPr>
          </w:p>
        </w:tc>
        <w:tc>
          <w:tcPr>
            <w:tcW w:w="985" w:type="dxa"/>
            <w:noWrap/>
            <w:hideMark/>
          </w:tcPr>
          <w:p w14:paraId="300CD97B" w14:textId="77777777" w:rsidR="00855E3C" w:rsidRPr="00855E3C" w:rsidRDefault="00855E3C" w:rsidP="00855E3C">
            <w:pPr>
              <w:bidi w:val="0"/>
              <w:rPr>
                <w:lang w:bidi="ar-EG"/>
              </w:rPr>
            </w:pPr>
            <w:r w:rsidRPr="00855E3C">
              <w:rPr>
                <w:lang w:bidi="ar-EG"/>
              </w:rPr>
              <w:t>23,232</w:t>
            </w:r>
          </w:p>
        </w:tc>
        <w:tc>
          <w:tcPr>
            <w:tcW w:w="816" w:type="dxa"/>
            <w:noWrap/>
            <w:hideMark/>
          </w:tcPr>
          <w:p w14:paraId="780018CD" w14:textId="77777777" w:rsidR="00855E3C" w:rsidRPr="00855E3C" w:rsidRDefault="00855E3C" w:rsidP="00855E3C">
            <w:pPr>
              <w:bidi w:val="0"/>
              <w:rPr>
                <w:lang w:bidi="ar-EG"/>
              </w:rPr>
            </w:pPr>
            <w:r w:rsidRPr="00855E3C">
              <w:rPr>
                <w:lang w:bidi="ar-EG"/>
              </w:rPr>
              <w:t>18309</w:t>
            </w:r>
          </w:p>
        </w:tc>
        <w:tc>
          <w:tcPr>
            <w:tcW w:w="612" w:type="dxa"/>
            <w:noWrap/>
            <w:hideMark/>
          </w:tcPr>
          <w:p w14:paraId="36C45780" w14:textId="77777777" w:rsidR="00855E3C" w:rsidRPr="00855E3C" w:rsidRDefault="00855E3C" w:rsidP="00855E3C">
            <w:pPr>
              <w:bidi w:val="0"/>
              <w:rPr>
                <w:lang w:bidi="ar-EG"/>
              </w:rPr>
            </w:pPr>
          </w:p>
        </w:tc>
        <w:tc>
          <w:tcPr>
            <w:tcW w:w="3143" w:type="dxa"/>
            <w:noWrap/>
            <w:hideMark/>
          </w:tcPr>
          <w:p w14:paraId="255D9A0D" w14:textId="77777777" w:rsidR="00855E3C" w:rsidRPr="00855E3C" w:rsidRDefault="00855E3C" w:rsidP="00855E3C">
            <w:pPr>
              <w:bidi w:val="0"/>
              <w:rPr>
                <w:lang w:bidi="ar-EG"/>
              </w:rPr>
            </w:pPr>
            <w:r w:rsidRPr="00855E3C">
              <w:rPr>
                <w:lang w:bidi="ar-EG"/>
              </w:rPr>
              <w:t>of the ‘nature of expense’ method. See Appendix A for</w:t>
            </w:r>
          </w:p>
        </w:tc>
      </w:tr>
      <w:tr w:rsidR="00B44D0F" w:rsidRPr="00855E3C" w14:paraId="0C58B335" w14:textId="77777777" w:rsidTr="00B44D0F">
        <w:trPr>
          <w:trHeight w:val="285"/>
        </w:trPr>
        <w:tc>
          <w:tcPr>
            <w:tcW w:w="1052" w:type="dxa"/>
            <w:noWrap/>
            <w:hideMark/>
          </w:tcPr>
          <w:p w14:paraId="74BEBCBD" w14:textId="77777777" w:rsidR="00855E3C" w:rsidRPr="00855E3C" w:rsidRDefault="00855E3C" w:rsidP="00855E3C">
            <w:pPr>
              <w:bidi w:val="0"/>
              <w:rPr>
                <w:lang w:bidi="ar-EG"/>
              </w:rPr>
            </w:pPr>
          </w:p>
        </w:tc>
        <w:tc>
          <w:tcPr>
            <w:tcW w:w="3753" w:type="dxa"/>
            <w:noWrap/>
            <w:hideMark/>
          </w:tcPr>
          <w:p w14:paraId="545B8B28" w14:textId="77777777" w:rsidR="00855E3C" w:rsidRPr="00855E3C" w:rsidRDefault="00855E3C" w:rsidP="00855E3C">
            <w:pPr>
              <w:bidi w:val="0"/>
              <w:rPr>
                <w:lang w:bidi="ar-EG"/>
              </w:rPr>
            </w:pPr>
          </w:p>
        </w:tc>
        <w:tc>
          <w:tcPr>
            <w:tcW w:w="686" w:type="dxa"/>
            <w:noWrap/>
            <w:hideMark/>
          </w:tcPr>
          <w:p w14:paraId="56F657F8" w14:textId="77777777" w:rsidR="00855E3C" w:rsidRPr="00855E3C" w:rsidRDefault="00855E3C" w:rsidP="00855E3C">
            <w:pPr>
              <w:bidi w:val="0"/>
              <w:rPr>
                <w:lang w:bidi="ar-EG"/>
              </w:rPr>
            </w:pPr>
          </w:p>
        </w:tc>
        <w:tc>
          <w:tcPr>
            <w:tcW w:w="985" w:type="dxa"/>
            <w:noWrap/>
            <w:hideMark/>
          </w:tcPr>
          <w:p w14:paraId="4399A826" w14:textId="77777777" w:rsidR="00855E3C" w:rsidRPr="00855E3C" w:rsidRDefault="00855E3C" w:rsidP="00855E3C">
            <w:pPr>
              <w:bidi w:val="0"/>
              <w:rPr>
                <w:lang w:bidi="ar-EG"/>
              </w:rPr>
            </w:pPr>
          </w:p>
        </w:tc>
        <w:tc>
          <w:tcPr>
            <w:tcW w:w="816" w:type="dxa"/>
            <w:noWrap/>
            <w:hideMark/>
          </w:tcPr>
          <w:p w14:paraId="78D49896" w14:textId="77777777" w:rsidR="00855E3C" w:rsidRPr="00855E3C" w:rsidRDefault="00855E3C" w:rsidP="00855E3C">
            <w:pPr>
              <w:bidi w:val="0"/>
              <w:rPr>
                <w:lang w:bidi="ar-EG"/>
              </w:rPr>
            </w:pPr>
          </w:p>
        </w:tc>
        <w:tc>
          <w:tcPr>
            <w:tcW w:w="612" w:type="dxa"/>
            <w:noWrap/>
            <w:hideMark/>
          </w:tcPr>
          <w:p w14:paraId="0EEEAA15" w14:textId="77777777" w:rsidR="00855E3C" w:rsidRPr="00855E3C" w:rsidRDefault="00855E3C" w:rsidP="00855E3C">
            <w:pPr>
              <w:bidi w:val="0"/>
              <w:rPr>
                <w:lang w:bidi="ar-EG"/>
              </w:rPr>
            </w:pPr>
          </w:p>
        </w:tc>
        <w:tc>
          <w:tcPr>
            <w:tcW w:w="3143" w:type="dxa"/>
            <w:noWrap/>
            <w:hideMark/>
          </w:tcPr>
          <w:p w14:paraId="74FF9735" w14:textId="77777777" w:rsidR="00855E3C" w:rsidRPr="00855E3C" w:rsidRDefault="00855E3C" w:rsidP="00855E3C">
            <w:pPr>
              <w:bidi w:val="0"/>
              <w:rPr>
                <w:lang w:bidi="ar-EG"/>
              </w:rPr>
            </w:pPr>
            <w:r w:rsidRPr="00855E3C">
              <w:rPr>
                <w:lang w:bidi="ar-EG"/>
              </w:rPr>
              <w:t>a format illustrating the ‘function of expense’ or ‘cost</w:t>
            </w:r>
          </w:p>
        </w:tc>
      </w:tr>
      <w:tr w:rsidR="00855E3C" w:rsidRPr="00855E3C" w14:paraId="503133BF" w14:textId="77777777" w:rsidTr="00B44D0F">
        <w:trPr>
          <w:trHeight w:val="285"/>
        </w:trPr>
        <w:tc>
          <w:tcPr>
            <w:tcW w:w="1052" w:type="dxa"/>
            <w:noWrap/>
            <w:hideMark/>
          </w:tcPr>
          <w:p w14:paraId="41DFC1E9" w14:textId="77777777" w:rsidR="00855E3C" w:rsidRPr="00855E3C" w:rsidRDefault="00855E3C" w:rsidP="00855E3C">
            <w:pPr>
              <w:bidi w:val="0"/>
              <w:rPr>
                <w:lang w:bidi="ar-EG"/>
              </w:rPr>
            </w:pPr>
          </w:p>
        </w:tc>
        <w:tc>
          <w:tcPr>
            <w:tcW w:w="3753" w:type="dxa"/>
            <w:noWrap/>
            <w:hideMark/>
          </w:tcPr>
          <w:p w14:paraId="401ED053" w14:textId="77777777" w:rsidR="00855E3C" w:rsidRPr="00855E3C" w:rsidRDefault="00855E3C" w:rsidP="00855E3C">
            <w:pPr>
              <w:bidi w:val="0"/>
              <w:rPr>
                <w:lang w:bidi="ar-EG"/>
              </w:rPr>
            </w:pPr>
          </w:p>
        </w:tc>
        <w:tc>
          <w:tcPr>
            <w:tcW w:w="686" w:type="dxa"/>
            <w:noWrap/>
            <w:hideMark/>
          </w:tcPr>
          <w:p w14:paraId="792AE155" w14:textId="77777777" w:rsidR="00855E3C" w:rsidRPr="00855E3C" w:rsidRDefault="00855E3C" w:rsidP="00855E3C">
            <w:pPr>
              <w:bidi w:val="0"/>
              <w:rPr>
                <w:lang w:bidi="ar-EG"/>
              </w:rPr>
            </w:pPr>
          </w:p>
        </w:tc>
        <w:tc>
          <w:tcPr>
            <w:tcW w:w="985" w:type="dxa"/>
            <w:noWrap/>
            <w:hideMark/>
          </w:tcPr>
          <w:p w14:paraId="7D136A45" w14:textId="77777777" w:rsidR="00855E3C" w:rsidRPr="00855E3C" w:rsidRDefault="00855E3C" w:rsidP="00855E3C">
            <w:pPr>
              <w:bidi w:val="0"/>
              <w:rPr>
                <w:lang w:bidi="ar-EG"/>
              </w:rPr>
            </w:pPr>
          </w:p>
        </w:tc>
        <w:tc>
          <w:tcPr>
            <w:tcW w:w="816" w:type="dxa"/>
            <w:noWrap/>
            <w:hideMark/>
          </w:tcPr>
          <w:p w14:paraId="6CE0C496" w14:textId="77777777" w:rsidR="00855E3C" w:rsidRPr="00855E3C" w:rsidRDefault="00855E3C" w:rsidP="00855E3C">
            <w:pPr>
              <w:bidi w:val="0"/>
              <w:rPr>
                <w:lang w:bidi="ar-EG"/>
              </w:rPr>
            </w:pPr>
          </w:p>
        </w:tc>
        <w:tc>
          <w:tcPr>
            <w:tcW w:w="612" w:type="dxa"/>
            <w:noWrap/>
            <w:hideMark/>
          </w:tcPr>
          <w:p w14:paraId="05E2A183" w14:textId="77777777" w:rsidR="00855E3C" w:rsidRPr="00855E3C" w:rsidRDefault="00855E3C" w:rsidP="00855E3C">
            <w:pPr>
              <w:bidi w:val="0"/>
              <w:rPr>
                <w:lang w:bidi="ar-EG"/>
              </w:rPr>
            </w:pPr>
          </w:p>
        </w:tc>
        <w:tc>
          <w:tcPr>
            <w:tcW w:w="3143" w:type="dxa"/>
            <w:noWrap/>
            <w:hideMark/>
          </w:tcPr>
          <w:p w14:paraId="625ACB2C" w14:textId="77777777" w:rsidR="00855E3C" w:rsidRPr="00855E3C" w:rsidRDefault="00855E3C" w:rsidP="00855E3C">
            <w:pPr>
              <w:bidi w:val="0"/>
              <w:rPr>
                <w:lang w:bidi="ar-EG"/>
              </w:rPr>
            </w:pPr>
            <w:r w:rsidRPr="00855E3C">
              <w:rPr>
                <w:lang w:bidi="ar-EG"/>
              </w:rPr>
              <w:t>of sales’ method.</w:t>
            </w:r>
          </w:p>
        </w:tc>
      </w:tr>
      <w:tr w:rsidR="00B44D0F" w:rsidRPr="00855E3C" w14:paraId="249BAAD0" w14:textId="77777777" w:rsidTr="00B44D0F">
        <w:trPr>
          <w:trHeight w:val="285"/>
        </w:trPr>
        <w:tc>
          <w:tcPr>
            <w:tcW w:w="1052" w:type="dxa"/>
            <w:noWrap/>
            <w:hideMark/>
          </w:tcPr>
          <w:p w14:paraId="0A9AFB49" w14:textId="77777777" w:rsidR="00855E3C" w:rsidRPr="00855E3C" w:rsidRDefault="00855E3C" w:rsidP="00855E3C">
            <w:pPr>
              <w:bidi w:val="0"/>
              <w:rPr>
                <w:lang w:bidi="ar-EG"/>
              </w:rPr>
            </w:pPr>
            <w:r w:rsidRPr="00855E3C">
              <w:rPr>
                <w:lang w:bidi="ar-EG"/>
              </w:rPr>
              <w:t>IAS 1.82(c)</w:t>
            </w:r>
          </w:p>
        </w:tc>
        <w:tc>
          <w:tcPr>
            <w:tcW w:w="3753" w:type="dxa"/>
            <w:noWrap/>
            <w:hideMark/>
          </w:tcPr>
          <w:p w14:paraId="76A6CB46" w14:textId="77777777" w:rsidR="00855E3C" w:rsidRPr="00855E3C" w:rsidRDefault="00855E3C" w:rsidP="00855E3C">
            <w:pPr>
              <w:bidi w:val="0"/>
              <w:rPr>
                <w:lang w:bidi="ar-EG"/>
              </w:rPr>
            </w:pPr>
            <w:r w:rsidRPr="00855E3C">
              <w:rPr>
                <w:lang w:bidi="ar-EG"/>
              </w:rPr>
              <w:t>Share of profit from equity accounted</w:t>
            </w:r>
            <w:r w:rsidRPr="00855E3C">
              <w:rPr>
                <w:lang w:bidi="ar-EG"/>
              </w:rPr>
              <w:br/>
              <w:t>investments</w:t>
            </w:r>
          </w:p>
        </w:tc>
        <w:tc>
          <w:tcPr>
            <w:tcW w:w="686" w:type="dxa"/>
            <w:noWrap/>
            <w:hideMark/>
          </w:tcPr>
          <w:p w14:paraId="77D13FA0" w14:textId="77777777" w:rsidR="00855E3C" w:rsidRPr="00855E3C" w:rsidRDefault="00855E3C" w:rsidP="00855E3C">
            <w:pPr>
              <w:bidi w:val="0"/>
              <w:rPr>
                <w:lang w:bidi="ar-EG"/>
              </w:rPr>
            </w:pPr>
            <w:r w:rsidRPr="00855E3C">
              <w:rPr>
                <w:lang w:bidi="ar-EG"/>
              </w:rPr>
              <w:t>7</w:t>
            </w:r>
          </w:p>
        </w:tc>
        <w:tc>
          <w:tcPr>
            <w:tcW w:w="985" w:type="dxa"/>
            <w:noWrap/>
            <w:hideMark/>
          </w:tcPr>
          <w:p w14:paraId="3182DF6D" w14:textId="77777777" w:rsidR="00855E3C" w:rsidRPr="00855E3C" w:rsidRDefault="00855E3C" w:rsidP="00855E3C">
            <w:pPr>
              <w:bidi w:val="0"/>
              <w:rPr>
                <w:lang w:bidi="ar-EG"/>
              </w:rPr>
            </w:pPr>
            <w:r w:rsidRPr="00855E3C">
              <w:rPr>
                <w:lang w:bidi="ar-EG"/>
              </w:rPr>
              <w:t>391</w:t>
            </w:r>
          </w:p>
        </w:tc>
        <w:tc>
          <w:tcPr>
            <w:tcW w:w="816" w:type="dxa"/>
            <w:noWrap/>
            <w:hideMark/>
          </w:tcPr>
          <w:p w14:paraId="04C22DA5" w14:textId="77777777" w:rsidR="00855E3C" w:rsidRPr="00855E3C" w:rsidRDefault="00855E3C" w:rsidP="00855E3C">
            <w:pPr>
              <w:bidi w:val="0"/>
              <w:rPr>
                <w:lang w:bidi="ar-EG"/>
              </w:rPr>
            </w:pPr>
            <w:r w:rsidRPr="00855E3C">
              <w:rPr>
                <w:lang w:bidi="ar-EG"/>
              </w:rPr>
              <w:t>141</w:t>
            </w:r>
          </w:p>
        </w:tc>
        <w:tc>
          <w:tcPr>
            <w:tcW w:w="612" w:type="dxa"/>
            <w:noWrap/>
            <w:hideMark/>
          </w:tcPr>
          <w:p w14:paraId="285DCCA3" w14:textId="77777777" w:rsidR="00855E3C" w:rsidRPr="00855E3C" w:rsidRDefault="00855E3C" w:rsidP="00855E3C">
            <w:pPr>
              <w:bidi w:val="0"/>
              <w:rPr>
                <w:lang w:bidi="ar-EG"/>
              </w:rPr>
            </w:pPr>
          </w:p>
        </w:tc>
        <w:tc>
          <w:tcPr>
            <w:tcW w:w="3143" w:type="dxa"/>
            <w:noWrap/>
            <w:hideMark/>
          </w:tcPr>
          <w:p w14:paraId="31805DCF" w14:textId="77777777" w:rsidR="00855E3C" w:rsidRPr="00855E3C" w:rsidRDefault="00855E3C" w:rsidP="00855E3C">
            <w:pPr>
              <w:bidi w:val="0"/>
              <w:rPr>
                <w:lang w:bidi="ar-EG"/>
              </w:rPr>
            </w:pPr>
            <w:r w:rsidRPr="00855E3C">
              <w:rPr>
                <w:lang w:bidi="ar-EG"/>
              </w:rPr>
              <w:t>There may be situations where additional line items,</w:t>
            </w:r>
          </w:p>
        </w:tc>
      </w:tr>
      <w:tr w:rsidR="00855E3C" w:rsidRPr="00855E3C" w14:paraId="40357BF5" w14:textId="77777777" w:rsidTr="00B44D0F">
        <w:trPr>
          <w:trHeight w:val="285"/>
        </w:trPr>
        <w:tc>
          <w:tcPr>
            <w:tcW w:w="1052" w:type="dxa"/>
            <w:noWrap/>
            <w:hideMark/>
          </w:tcPr>
          <w:p w14:paraId="02F4B486" w14:textId="77777777" w:rsidR="00855E3C" w:rsidRPr="00855E3C" w:rsidRDefault="00855E3C" w:rsidP="00855E3C">
            <w:pPr>
              <w:bidi w:val="0"/>
              <w:rPr>
                <w:lang w:bidi="ar-EG"/>
              </w:rPr>
            </w:pPr>
          </w:p>
        </w:tc>
        <w:tc>
          <w:tcPr>
            <w:tcW w:w="3753" w:type="dxa"/>
            <w:noWrap/>
            <w:hideMark/>
          </w:tcPr>
          <w:p w14:paraId="00BE2CAF" w14:textId="77777777" w:rsidR="00855E3C" w:rsidRPr="00855E3C" w:rsidRDefault="00855E3C" w:rsidP="00855E3C">
            <w:pPr>
              <w:bidi w:val="0"/>
              <w:rPr>
                <w:lang w:bidi="ar-EG"/>
              </w:rPr>
            </w:pPr>
          </w:p>
        </w:tc>
        <w:tc>
          <w:tcPr>
            <w:tcW w:w="686" w:type="dxa"/>
            <w:noWrap/>
            <w:hideMark/>
          </w:tcPr>
          <w:p w14:paraId="1AC4EB4E" w14:textId="77777777" w:rsidR="00855E3C" w:rsidRPr="00855E3C" w:rsidRDefault="00855E3C" w:rsidP="00855E3C">
            <w:pPr>
              <w:bidi w:val="0"/>
              <w:rPr>
                <w:lang w:bidi="ar-EG"/>
              </w:rPr>
            </w:pPr>
          </w:p>
        </w:tc>
        <w:tc>
          <w:tcPr>
            <w:tcW w:w="985" w:type="dxa"/>
            <w:noWrap/>
            <w:hideMark/>
          </w:tcPr>
          <w:p w14:paraId="0F83BC84" w14:textId="77777777" w:rsidR="00855E3C" w:rsidRPr="00855E3C" w:rsidRDefault="00855E3C" w:rsidP="00855E3C">
            <w:pPr>
              <w:bidi w:val="0"/>
              <w:rPr>
                <w:lang w:bidi="ar-EG"/>
              </w:rPr>
            </w:pPr>
          </w:p>
        </w:tc>
        <w:tc>
          <w:tcPr>
            <w:tcW w:w="816" w:type="dxa"/>
            <w:noWrap/>
            <w:hideMark/>
          </w:tcPr>
          <w:p w14:paraId="4BE3C897" w14:textId="77777777" w:rsidR="00855E3C" w:rsidRPr="00855E3C" w:rsidRDefault="00855E3C" w:rsidP="00855E3C">
            <w:pPr>
              <w:bidi w:val="0"/>
              <w:rPr>
                <w:lang w:bidi="ar-EG"/>
              </w:rPr>
            </w:pPr>
          </w:p>
        </w:tc>
        <w:tc>
          <w:tcPr>
            <w:tcW w:w="612" w:type="dxa"/>
            <w:noWrap/>
            <w:hideMark/>
          </w:tcPr>
          <w:p w14:paraId="7C9326A0" w14:textId="77777777" w:rsidR="00855E3C" w:rsidRPr="00855E3C" w:rsidRDefault="00855E3C" w:rsidP="00855E3C">
            <w:pPr>
              <w:bidi w:val="0"/>
              <w:rPr>
                <w:lang w:bidi="ar-EG"/>
              </w:rPr>
            </w:pPr>
          </w:p>
        </w:tc>
        <w:tc>
          <w:tcPr>
            <w:tcW w:w="3143" w:type="dxa"/>
            <w:noWrap/>
            <w:hideMark/>
          </w:tcPr>
          <w:p w14:paraId="343DC183" w14:textId="77777777" w:rsidR="00855E3C" w:rsidRPr="00855E3C" w:rsidRDefault="00855E3C" w:rsidP="00855E3C">
            <w:pPr>
              <w:bidi w:val="0"/>
              <w:rPr>
                <w:lang w:bidi="ar-EG"/>
              </w:rPr>
            </w:pPr>
            <w:r w:rsidRPr="00855E3C">
              <w:rPr>
                <w:lang w:bidi="ar-EG"/>
              </w:rPr>
              <w:t>headings and subtotals need to be included. IAS 1.85</w:t>
            </w:r>
          </w:p>
        </w:tc>
      </w:tr>
      <w:tr w:rsidR="00B44D0F" w:rsidRPr="00855E3C" w14:paraId="27514574" w14:textId="77777777" w:rsidTr="00B44D0F">
        <w:trPr>
          <w:trHeight w:val="285"/>
        </w:trPr>
        <w:tc>
          <w:tcPr>
            <w:tcW w:w="1052" w:type="dxa"/>
            <w:noWrap/>
            <w:hideMark/>
          </w:tcPr>
          <w:p w14:paraId="5EE136C6" w14:textId="77777777" w:rsidR="00855E3C" w:rsidRPr="00855E3C" w:rsidRDefault="00855E3C" w:rsidP="00855E3C">
            <w:pPr>
              <w:bidi w:val="0"/>
              <w:rPr>
                <w:lang w:bidi="ar-EG"/>
              </w:rPr>
            </w:pPr>
            <w:r w:rsidRPr="00855E3C">
              <w:rPr>
                <w:lang w:bidi="ar-EG"/>
              </w:rPr>
              <w:t>IAS 1.82(b)</w:t>
            </w:r>
          </w:p>
        </w:tc>
        <w:tc>
          <w:tcPr>
            <w:tcW w:w="3753" w:type="dxa"/>
            <w:noWrap/>
            <w:hideMark/>
          </w:tcPr>
          <w:p w14:paraId="00FF42CB" w14:textId="77777777" w:rsidR="00855E3C" w:rsidRPr="00855E3C" w:rsidRDefault="00855E3C" w:rsidP="00855E3C">
            <w:pPr>
              <w:bidi w:val="0"/>
              <w:rPr>
                <w:lang w:bidi="ar-EG"/>
              </w:rPr>
            </w:pPr>
            <w:r w:rsidRPr="00855E3C">
              <w:rPr>
                <w:lang w:bidi="ar-EG"/>
              </w:rPr>
              <w:t>Finance costs</w:t>
            </w:r>
          </w:p>
        </w:tc>
        <w:tc>
          <w:tcPr>
            <w:tcW w:w="686" w:type="dxa"/>
            <w:noWrap/>
            <w:hideMark/>
          </w:tcPr>
          <w:p w14:paraId="5BB218B2" w14:textId="77777777" w:rsidR="00855E3C" w:rsidRPr="00855E3C" w:rsidRDefault="00855E3C" w:rsidP="00855E3C">
            <w:pPr>
              <w:bidi w:val="0"/>
              <w:rPr>
                <w:lang w:bidi="ar-EG"/>
              </w:rPr>
            </w:pPr>
            <w:r w:rsidRPr="00855E3C">
              <w:rPr>
                <w:lang w:bidi="ar-EG"/>
              </w:rPr>
              <w:t>27</w:t>
            </w:r>
          </w:p>
        </w:tc>
        <w:tc>
          <w:tcPr>
            <w:tcW w:w="985" w:type="dxa"/>
            <w:noWrap/>
            <w:hideMark/>
          </w:tcPr>
          <w:p w14:paraId="5A6A5249" w14:textId="77777777" w:rsidR="00855E3C" w:rsidRPr="00855E3C" w:rsidRDefault="00855E3C" w:rsidP="00855E3C">
            <w:pPr>
              <w:bidi w:val="0"/>
              <w:rPr>
                <w:lang w:bidi="ar-EG"/>
              </w:rPr>
            </w:pPr>
            <w:r w:rsidRPr="00855E3C">
              <w:rPr>
                <w:lang w:bidi="ar-EG"/>
              </w:rPr>
              <w:t>(3,869)</w:t>
            </w:r>
          </w:p>
        </w:tc>
        <w:tc>
          <w:tcPr>
            <w:tcW w:w="816" w:type="dxa"/>
            <w:noWrap/>
            <w:hideMark/>
          </w:tcPr>
          <w:p w14:paraId="3BE395DC" w14:textId="77777777" w:rsidR="00855E3C" w:rsidRPr="00855E3C" w:rsidRDefault="00855E3C" w:rsidP="00855E3C">
            <w:pPr>
              <w:bidi w:val="0"/>
              <w:rPr>
                <w:lang w:bidi="ar-EG"/>
              </w:rPr>
            </w:pPr>
            <w:r w:rsidRPr="00855E3C">
              <w:rPr>
                <w:lang w:bidi="ar-EG"/>
              </w:rPr>
              <w:t>-3993</w:t>
            </w:r>
          </w:p>
        </w:tc>
        <w:tc>
          <w:tcPr>
            <w:tcW w:w="612" w:type="dxa"/>
            <w:noWrap/>
            <w:hideMark/>
          </w:tcPr>
          <w:p w14:paraId="24F8DC82" w14:textId="77777777" w:rsidR="00855E3C" w:rsidRPr="00855E3C" w:rsidRDefault="00855E3C" w:rsidP="00855E3C">
            <w:pPr>
              <w:bidi w:val="0"/>
              <w:rPr>
                <w:lang w:bidi="ar-EG"/>
              </w:rPr>
            </w:pPr>
          </w:p>
        </w:tc>
        <w:tc>
          <w:tcPr>
            <w:tcW w:w="3143" w:type="dxa"/>
            <w:noWrap/>
            <w:hideMark/>
          </w:tcPr>
          <w:p w14:paraId="7A303AEB" w14:textId="77777777" w:rsidR="00855E3C" w:rsidRPr="00855E3C" w:rsidRDefault="00855E3C" w:rsidP="00855E3C">
            <w:pPr>
              <w:bidi w:val="0"/>
              <w:rPr>
                <w:lang w:bidi="ar-EG"/>
              </w:rPr>
            </w:pPr>
            <w:r w:rsidRPr="00855E3C">
              <w:rPr>
                <w:lang w:bidi="ar-EG"/>
              </w:rPr>
              <w:t>requires an entity to present such additional items</w:t>
            </w:r>
          </w:p>
        </w:tc>
      </w:tr>
      <w:tr w:rsidR="00855E3C" w:rsidRPr="00855E3C" w14:paraId="7AC8D936" w14:textId="77777777" w:rsidTr="00B44D0F">
        <w:trPr>
          <w:trHeight w:val="285"/>
        </w:trPr>
        <w:tc>
          <w:tcPr>
            <w:tcW w:w="1052" w:type="dxa"/>
            <w:noWrap/>
            <w:hideMark/>
          </w:tcPr>
          <w:p w14:paraId="73E2452F" w14:textId="77777777" w:rsidR="00855E3C" w:rsidRPr="00855E3C" w:rsidRDefault="00855E3C" w:rsidP="00855E3C">
            <w:pPr>
              <w:bidi w:val="0"/>
              <w:rPr>
                <w:lang w:bidi="ar-EG"/>
              </w:rPr>
            </w:pPr>
          </w:p>
        </w:tc>
        <w:tc>
          <w:tcPr>
            <w:tcW w:w="3753" w:type="dxa"/>
            <w:noWrap/>
            <w:hideMark/>
          </w:tcPr>
          <w:p w14:paraId="4A85184E" w14:textId="77777777" w:rsidR="00855E3C" w:rsidRPr="00855E3C" w:rsidRDefault="00855E3C" w:rsidP="00855E3C">
            <w:pPr>
              <w:bidi w:val="0"/>
              <w:rPr>
                <w:lang w:bidi="ar-EG"/>
              </w:rPr>
            </w:pPr>
          </w:p>
        </w:tc>
        <w:tc>
          <w:tcPr>
            <w:tcW w:w="686" w:type="dxa"/>
            <w:noWrap/>
            <w:hideMark/>
          </w:tcPr>
          <w:p w14:paraId="6F024877" w14:textId="77777777" w:rsidR="00855E3C" w:rsidRPr="00855E3C" w:rsidRDefault="00855E3C" w:rsidP="00855E3C">
            <w:pPr>
              <w:bidi w:val="0"/>
              <w:rPr>
                <w:lang w:bidi="ar-EG"/>
              </w:rPr>
            </w:pPr>
          </w:p>
        </w:tc>
        <w:tc>
          <w:tcPr>
            <w:tcW w:w="985" w:type="dxa"/>
            <w:noWrap/>
            <w:hideMark/>
          </w:tcPr>
          <w:p w14:paraId="45A2FF28" w14:textId="77777777" w:rsidR="00855E3C" w:rsidRPr="00855E3C" w:rsidRDefault="00855E3C" w:rsidP="00855E3C">
            <w:pPr>
              <w:bidi w:val="0"/>
              <w:rPr>
                <w:lang w:bidi="ar-EG"/>
              </w:rPr>
            </w:pPr>
          </w:p>
        </w:tc>
        <w:tc>
          <w:tcPr>
            <w:tcW w:w="816" w:type="dxa"/>
            <w:noWrap/>
            <w:hideMark/>
          </w:tcPr>
          <w:p w14:paraId="19237A2D" w14:textId="77777777" w:rsidR="00855E3C" w:rsidRPr="00855E3C" w:rsidRDefault="00855E3C" w:rsidP="00855E3C">
            <w:pPr>
              <w:bidi w:val="0"/>
              <w:rPr>
                <w:lang w:bidi="ar-EG"/>
              </w:rPr>
            </w:pPr>
          </w:p>
        </w:tc>
        <w:tc>
          <w:tcPr>
            <w:tcW w:w="612" w:type="dxa"/>
            <w:noWrap/>
            <w:hideMark/>
          </w:tcPr>
          <w:p w14:paraId="0112BF42" w14:textId="77777777" w:rsidR="00855E3C" w:rsidRPr="00855E3C" w:rsidRDefault="00855E3C" w:rsidP="00855E3C">
            <w:pPr>
              <w:bidi w:val="0"/>
              <w:rPr>
                <w:lang w:bidi="ar-EG"/>
              </w:rPr>
            </w:pPr>
          </w:p>
        </w:tc>
        <w:tc>
          <w:tcPr>
            <w:tcW w:w="3143" w:type="dxa"/>
            <w:noWrap/>
            <w:hideMark/>
          </w:tcPr>
          <w:p w14:paraId="473FEF37" w14:textId="77777777" w:rsidR="00855E3C" w:rsidRPr="00855E3C" w:rsidRDefault="00855E3C" w:rsidP="00855E3C">
            <w:pPr>
              <w:bidi w:val="0"/>
              <w:rPr>
                <w:lang w:bidi="ar-EG"/>
              </w:rPr>
            </w:pPr>
            <w:r w:rsidRPr="00855E3C">
              <w:rPr>
                <w:lang w:bidi="ar-EG"/>
              </w:rPr>
              <w:t>(including the disaggregation of the line items listed</w:t>
            </w:r>
          </w:p>
        </w:tc>
      </w:tr>
      <w:tr w:rsidR="00B44D0F" w:rsidRPr="00855E3C" w14:paraId="3FED7070" w14:textId="77777777" w:rsidTr="00B44D0F">
        <w:trPr>
          <w:trHeight w:val="285"/>
        </w:trPr>
        <w:tc>
          <w:tcPr>
            <w:tcW w:w="1052" w:type="dxa"/>
            <w:noWrap/>
            <w:hideMark/>
          </w:tcPr>
          <w:p w14:paraId="0641D5D2" w14:textId="77777777" w:rsidR="00855E3C" w:rsidRPr="00855E3C" w:rsidRDefault="00855E3C" w:rsidP="00855E3C">
            <w:pPr>
              <w:bidi w:val="0"/>
              <w:rPr>
                <w:lang w:bidi="ar-EG"/>
              </w:rPr>
            </w:pPr>
            <w:r w:rsidRPr="00855E3C">
              <w:rPr>
                <w:lang w:bidi="ar-EG"/>
              </w:rPr>
              <w:t>IAS 1.85</w:t>
            </w:r>
          </w:p>
        </w:tc>
        <w:tc>
          <w:tcPr>
            <w:tcW w:w="3753" w:type="dxa"/>
            <w:noWrap/>
            <w:hideMark/>
          </w:tcPr>
          <w:p w14:paraId="26B48DAA" w14:textId="77777777" w:rsidR="00855E3C" w:rsidRPr="00855E3C" w:rsidRDefault="00855E3C" w:rsidP="00855E3C">
            <w:pPr>
              <w:bidi w:val="0"/>
              <w:rPr>
                <w:lang w:bidi="ar-EG"/>
              </w:rPr>
            </w:pPr>
            <w:r w:rsidRPr="00855E3C">
              <w:rPr>
                <w:lang w:bidi="ar-EG"/>
              </w:rPr>
              <w:t>Finance income</w:t>
            </w:r>
          </w:p>
        </w:tc>
        <w:tc>
          <w:tcPr>
            <w:tcW w:w="686" w:type="dxa"/>
            <w:noWrap/>
            <w:hideMark/>
          </w:tcPr>
          <w:p w14:paraId="77AB8B52" w14:textId="77777777" w:rsidR="00855E3C" w:rsidRPr="00855E3C" w:rsidRDefault="00855E3C" w:rsidP="00855E3C">
            <w:pPr>
              <w:bidi w:val="0"/>
              <w:rPr>
                <w:lang w:bidi="ar-EG"/>
              </w:rPr>
            </w:pPr>
            <w:r w:rsidRPr="00855E3C">
              <w:rPr>
                <w:lang w:bidi="ar-EG"/>
              </w:rPr>
              <w:t>27</w:t>
            </w:r>
          </w:p>
        </w:tc>
        <w:tc>
          <w:tcPr>
            <w:tcW w:w="985" w:type="dxa"/>
            <w:noWrap/>
            <w:hideMark/>
          </w:tcPr>
          <w:p w14:paraId="0B0CBD75" w14:textId="77777777" w:rsidR="00855E3C" w:rsidRPr="00855E3C" w:rsidRDefault="00855E3C" w:rsidP="00855E3C">
            <w:pPr>
              <w:bidi w:val="0"/>
              <w:rPr>
                <w:lang w:bidi="ar-EG"/>
              </w:rPr>
            </w:pPr>
            <w:r w:rsidRPr="00855E3C">
              <w:rPr>
                <w:lang w:bidi="ar-EG"/>
              </w:rPr>
              <w:t>964</w:t>
            </w:r>
          </w:p>
        </w:tc>
        <w:tc>
          <w:tcPr>
            <w:tcW w:w="816" w:type="dxa"/>
            <w:noWrap/>
            <w:hideMark/>
          </w:tcPr>
          <w:p w14:paraId="02CCDDF1" w14:textId="77777777" w:rsidR="00855E3C" w:rsidRPr="00855E3C" w:rsidRDefault="00855E3C" w:rsidP="00855E3C">
            <w:pPr>
              <w:bidi w:val="0"/>
              <w:rPr>
                <w:lang w:bidi="ar-EG"/>
              </w:rPr>
            </w:pPr>
            <w:r w:rsidRPr="00855E3C">
              <w:rPr>
                <w:lang w:bidi="ar-EG"/>
              </w:rPr>
              <w:t>885</w:t>
            </w:r>
          </w:p>
        </w:tc>
        <w:tc>
          <w:tcPr>
            <w:tcW w:w="612" w:type="dxa"/>
            <w:noWrap/>
            <w:hideMark/>
          </w:tcPr>
          <w:p w14:paraId="086B0F04" w14:textId="77777777" w:rsidR="00855E3C" w:rsidRPr="00855E3C" w:rsidRDefault="00855E3C" w:rsidP="00855E3C">
            <w:pPr>
              <w:bidi w:val="0"/>
              <w:rPr>
                <w:lang w:bidi="ar-EG"/>
              </w:rPr>
            </w:pPr>
          </w:p>
        </w:tc>
        <w:tc>
          <w:tcPr>
            <w:tcW w:w="3143" w:type="dxa"/>
            <w:noWrap/>
            <w:hideMark/>
          </w:tcPr>
          <w:p w14:paraId="0E2BC33B" w14:textId="77777777" w:rsidR="00855E3C" w:rsidRPr="00855E3C" w:rsidRDefault="00855E3C" w:rsidP="00855E3C">
            <w:pPr>
              <w:bidi w:val="0"/>
              <w:rPr>
                <w:lang w:bidi="ar-EG"/>
              </w:rPr>
            </w:pPr>
            <w:r w:rsidRPr="00855E3C">
              <w:rPr>
                <w:lang w:bidi="ar-EG"/>
              </w:rPr>
              <w:t>in IAS 1.82) in the statements of profit or loss and other</w:t>
            </w:r>
          </w:p>
        </w:tc>
      </w:tr>
      <w:tr w:rsidR="00855E3C" w:rsidRPr="00855E3C" w14:paraId="383F8D86" w14:textId="77777777" w:rsidTr="00B44D0F">
        <w:trPr>
          <w:trHeight w:val="285"/>
        </w:trPr>
        <w:tc>
          <w:tcPr>
            <w:tcW w:w="1052" w:type="dxa"/>
            <w:noWrap/>
            <w:hideMark/>
          </w:tcPr>
          <w:p w14:paraId="12FF4441" w14:textId="77777777" w:rsidR="00855E3C" w:rsidRPr="00855E3C" w:rsidRDefault="00855E3C" w:rsidP="00855E3C">
            <w:pPr>
              <w:bidi w:val="0"/>
              <w:rPr>
                <w:lang w:bidi="ar-EG"/>
              </w:rPr>
            </w:pPr>
            <w:r w:rsidRPr="00855E3C">
              <w:rPr>
                <w:lang w:bidi="ar-EG"/>
              </w:rPr>
              <w:t>IAS 1.85</w:t>
            </w:r>
          </w:p>
        </w:tc>
        <w:tc>
          <w:tcPr>
            <w:tcW w:w="3753" w:type="dxa"/>
            <w:noWrap/>
            <w:hideMark/>
          </w:tcPr>
          <w:p w14:paraId="65EA3F63" w14:textId="77777777" w:rsidR="00855E3C" w:rsidRPr="00855E3C" w:rsidRDefault="00855E3C" w:rsidP="00855E3C">
            <w:pPr>
              <w:bidi w:val="0"/>
              <w:rPr>
                <w:lang w:bidi="ar-EG"/>
              </w:rPr>
            </w:pPr>
            <w:r w:rsidRPr="00855E3C">
              <w:rPr>
                <w:lang w:bidi="ar-EG"/>
              </w:rPr>
              <w:t>Other financial items</w:t>
            </w:r>
          </w:p>
        </w:tc>
        <w:tc>
          <w:tcPr>
            <w:tcW w:w="686" w:type="dxa"/>
            <w:noWrap/>
            <w:hideMark/>
          </w:tcPr>
          <w:p w14:paraId="668EA7A2" w14:textId="77777777" w:rsidR="00855E3C" w:rsidRPr="00855E3C" w:rsidRDefault="00855E3C" w:rsidP="00855E3C">
            <w:pPr>
              <w:bidi w:val="0"/>
              <w:rPr>
                <w:lang w:bidi="ar-EG"/>
              </w:rPr>
            </w:pPr>
            <w:r w:rsidRPr="00855E3C">
              <w:rPr>
                <w:lang w:bidi="ar-EG"/>
              </w:rPr>
              <w:t>28</w:t>
            </w:r>
          </w:p>
        </w:tc>
        <w:tc>
          <w:tcPr>
            <w:tcW w:w="985" w:type="dxa"/>
            <w:noWrap/>
            <w:hideMark/>
          </w:tcPr>
          <w:p w14:paraId="09C1D68F" w14:textId="77777777" w:rsidR="00855E3C" w:rsidRPr="00855E3C" w:rsidRDefault="00855E3C" w:rsidP="00855E3C">
            <w:pPr>
              <w:bidi w:val="0"/>
              <w:rPr>
                <w:lang w:bidi="ar-EG"/>
              </w:rPr>
            </w:pPr>
            <w:r w:rsidRPr="00855E3C">
              <w:rPr>
                <w:lang w:bidi="ar-EG"/>
              </w:rPr>
              <w:t>,943</w:t>
            </w:r>
          </w:p>
        </w:tc>
        <w:tc>
          <w:tcPr>
            <w:tcW w:w="816" w:type="dxa"/>
            <w:noWrap/>
            <w:hideMark/>
          </w:tcPr>
          <w:p w14:paraId="6C50E438" w14:textId="77777777" w:rsidR="00855E3C" w:rsidRPr="00855E3C" w:rsidRDefault="00855E3C" w:rsidP="00855E3C">
            <w:pPr>
              <w:bidi w:val="0"/>
              <w:rPr>
                <w:lang w:bidi="ar-EG"/>
              </w:rPr>
            </w:pPr>
            <w:r w:rsidRPr="00855E3C">
              <w:rPr>
                <w:lang w:bidi="ar-EG"/>
              </w:rPr>
              <w:t>1182</w:t>
            </w:r>
          </w:p>
        </w:tc>
        <w:tc>
          <w:tcPr>
            <w:tcW w:w="612" w:type="dxa"/>
            <w:noWrap/>
            <w:hideMark/>
          </w:tcPr>
          <w:p w14:paraId="765021FD" w14:textId="77777777" w:rsidR="00855E3C" w:rsidRPr="00855E3C" w:rsidRDefault="00855E3C" w:rsidP="00855E3C">
            <w:pPr>
              <w:bidi w:val="0"/>
              <w:rPr>
                <w:lang w:bidi="ar-EG"/>
              </w:rPr>
            </w:pPr>
          </w:p>
        </w:tc>
        <w:tc>
          <w:tcPr>
            <w:tcW w:w="3143" w:type="dxa"/>
            <w:noWrap/>
            <w:hideMark/>
          </w:tcPr>
          <w:p w14:paraId="7B34EB9B" w14:textId="77777777" w:rsidR="00855E3C" w:rsidRPr="00855E3C" w:rsidRDefault="00855E3C" w:rsidP="00855E3C">
            <w:pPr>
              <w:bidi w:val="0"/>
              <w:rPr>
                <w:lang w:bidi="ar-EG"/>
              </w:rPr>
            </w:pPr>
            <w:r w:rsidRPr="00855E3C">
              <w:rPr>
                <w:lang w:bidi="ar-EG"/>
              </w:rPr>
              <w:t>comprehensive income when such presentation is</w:t>
            </w:r>
          </w:p>
        </w:tc>
      </w:tr>
      <w:tr w:rsidR="00B44D0F" w:rsidRPr="00855E3C" w14:paraId="54E86AE5" w14:textId="77777777" w:rsidTr="00B44D0F">
        <w:trPr>
          <w:trHeight w:val="285"/>
        </w:trPr>
        <w:tc>
          <w:tcPr>
            <w:tcW w:w="1052" w:type="dxa"/>
            <w:noWrap/>
            <w:hideMark/>
          </w:tcPr>
          <w:p w14:paraId="79251D07" w14:textId="77777777" w:rsidR="00855E3C" w:rsidRPr="00855E3C" w:rsidRDefault="00855E3C" w:rsidP="00855E3C">
            <w:pPr>
              <w:bidi w:val="0"/>
              <w:rPr>
                <w:lang w:bidi="ar-EG"/>
              </w:rPr>
            </w:pPr>
          </w:p>
        </w:tc>
        <w:tc>
          <w:tcPr>
            <w:tcW w:w="3753" w:type="dxa"/>
            <w:noWrap/>
            <w:hideMark/>
          </w:tcPr>
          <w:p w14:paraId="1FD77D19" w14:textId="77777777" w:rsidR="00855E3C" w:rsidRPr="00855E3C" w:rsidRDefault="00855E3C" w:rsidP="00855E3C">
            <w:pPr>
              <w:bidi w:val="0"/>
              <w:rPr>
                <w:lang w:bidi="ar-EG"/>
              </w:rPr>
            </w:pPr>
          </w:p>
        </w:tc>
        <w:tc>
          <w:tcPr>
            <w:tcW w:w="686" w:type="dxa"/>
            <w:noWrap/>
            <w:hideMark/>
          </w:tcPr>
          <w:p w14:paraId="28E6DCC2" w14:textId="77777777" w:rsidR="00855E3C" w:rsidRPr="00855E3C" w:rsidRDefault="00855E3C" w:rsidP="00855E3C">
            <w:pPr>
              <w:bidi w:val="0"/>
              <w:rPr>
                <w:lang w:bidi="ar-EG"/>
              </w:rPr>
            </w:pPr>
          </w:p>
        </w:tc>
        <w:tc>
          <w:tcPr>
            <w:tcW w:w="985" w:type="dxa"/>
            <w:noWrap/>
            <w:hideMark/>
          </w:tcPr>
          <w:p w14:paraId="3BAFCC8D" w14:textId="77777777" w:rsidR="00855E3C" w:rsidRPr="00855E3C" w:rsidRDefault="00855E3C" w:rsidP="00855E3C">
            <w:pPr>
              <w:bidi w:val="0"/>
              <w:rPr>
                <w:lang w:bidi="ar-EG"/>
              </w:rPr>
            </w:pPr>
          </w:p>
        </w:tc>
        <w:tc>
          <w:tcPr>
            <w:tcW w:w="816" w:type="dxa"/>
            <w:noWrap/>
            <w:hideMark/>
          </w:tcPr>
          <w:p w14:paraId="62472166" w14:textId="77777777" w:rsidR="00855E3C" w:rsidRPr="00855E3C" w:rsidRDefault="00855E3C" w:rsidP="00855E3C">
            <w:pPr>
              <w:bidi w:val="0"/>
              <w:rPr>
                <w:lang w:bidi="ar-EG"/>
              </w:rPr>
            </w:pPr>
          </w:p>
        </w:tc>
        <w:tc>
          <w:tcPr>
            <w:tcW w:w="612" w:type="dxa"/>
            <w:noWrap/>
            <w:hideMark/>
          </w:tcPr>
          <w:p w14:paraId="5DD940A3" w14:textId="77777777" w:rsidR="00855E3C" w:rsidRPr="00855E3C" w:rsidRDefault="00855E3C" w:rsidP="00855E3C">
            <w:pPr>
              <w:bidi w:val="0"/>
              <w:rPr>
                <w:lang w:bidi="ar-EG"/>
              </w:rPr>
            </w:pPr>
          </w:p>
        </w:tc>
        <w:tc>
          <w:tcPr>
            <w:tcW w:w="3143" w:type="dxa"/>
            <w:noWrap/>
            <w:hideMark/>
          </w:tcPr>
          <w:p w14:paraId="72918D58" w14:textId="77777777" w:rsidR="00855E3C" w:rsidRPr="00855E3C" w:rsidRDefault="00855E3C" w:rsidP="00855E3C">
            <w:pPr>
              <w:bidi w:val="0"/>
              <w:rPr>
                <w:lang w:bidi="ar-EG"/>
              </w:rPr>
            </w:pPr>
            <w:r w:rsidRPr="00855E3C">
              <w:rPr>
                <w:lang w:bidi="ar-EG"/>
              </w:rPr>
              <w:t>relevant to an understanding of the entity’s financial</w:t>
            </w:r>
          </w:p>
        </w:tc>
      </w:tr>
      <w:tr w:rsidR="00855E3C" w:rsidRPr="00855E3C" w14:paraId="1D619867" w14:textId="77777777" w:rsidTr="00B44D0F">
        <w:trPr>
          <w:trHeight w:val="285"/>
        </w:trPr>
        <w:tc>
          <w:tcPr>
            <w:tcW w:w="1052" w:type="dxa"/>
            <w:noWrap/>
            <w:hideMark/>
          </w:tcPr>
          <w:p w14:paraId="7359ABD4" w14:textId="77777777" w:rsidR="00855E3C" w:rsidRPr="00855E3C" w:rsidRDefault="00855E3C" w:rsidP="00855E3C">
            <w:pPr>
              <w:bidi w:val="0"/>
              <w:rPr>
                <w:lang w:bidi="ar-EG"/>
              </w:rPr>
            </w:pPr>
          </w:p>
        </w:tc>
        <w:tc>
          <w:tcPr>
            <w:tcW w:w="3753" w:type="dxa"/>
            <w:noWrap/>
            <w:hideMark/>
          </w:tcPr>
          <w:p w14:paraId="5221DFA6" w14:textId="77777777" w:rsidR="00855E3C" w:rsidRPr="00855E3C" w:rsidRDefault="00855E3C" w:rsidP="00855E3C">
            <w:pPr>
              <w:bidi w:val="0"/>
              <w:rPr>
                <w:lang w:bidi="ar-EG"/>
              </w:rPr>
            </w:pPr>
            <w:r w:rsidRPr="00855E3C">
              <w:rPr>
                <w:lang w:bidi="ar-EG"/>
              </w:rPr>
              <w:t>Profit before tax</w:t>
            </w:r>
          </w:p>
        </w:tc>
        <w:tc>
          <w:tcPr>
            <w:tcW w:w="686" w:type="dxa"/>
            <w:noWrap/>
            <w:hideMark/>
          </w:tcPr>
          <w:p w14:paraId="788DB20D" w14:textId="77777777" w:rsidR="00855E3C" w:rsidRPr="00855E3C" w:rsidRDefault="00855E3C" w:rsidP="00855E3C">
            <w:pPr>
              <w:bidi w:val="0"/>
              <w:rPr>
                <w:lang w:bidi="ar-EG"/>
              </w:rPr>
            </w:pPr>
          </w:p>
        </w:tc>
        <w:tc>
          <w:tcPr>
            <w:tcW w:w="985" w:type="dxa"/>
            <w:noWrap/>
            <w:hideMark/>
          </w:tcPr>
          <w:p w14:paraId="6EF49940" w14:textId="77777777" w:rsidR="00855E3C" w:rsidRPr="00855E3C" w:rsidRDefault="00855E3C" w:rsidP="00855E3C">
            <w:pPr>
              <w:bidi w:val="0"/>
              <w:rPr>
                <w:lang w:bidi="ar-EG"/>
              </w:rPr>
            </w:pPr>
            <w:r w:rsidRPr="00855E3C">
              <w:rPr>
                <w:lang w:bidi="ar-EG"/>
              </w:rPr>
              <w:t>21,661</w:t>
            </w:r>
          </w:p>
        </w:tc>
        <w:tc>
          <w:tcPr>
            <w:tcW w:w="816" w:type="dxa"/>
            <w:noWrap/>
            <w:hideMark/>
          </w:tcPr>
          <w:p w14:paraId="38A82842" w14:textId="77777777" w:rsidR="00855E3C" w:rsidRPr="00855E3C" w:rsidRDefault="00855E3C" w:rsidP="00855E3C">
            <w:pPr>
              <w:bidi w:val="0"/>
              <w:rPr>
                <w:lang w:bidi="ar-EG"/>
              </w:rPr>
            </w:pPr>
            <w:r w:rsidRPr="00855E3C">
              <w:rPr>
                <w:lang w:bidi="ar-EG"/>
              </w:rPr>
              <w:t>16524</w:t>
            </w:r>
          </w:p>
        </w:tc>
        <w:tc>
          <w:tcPr>
            <w:tcW w:w="612" w:type="dxa"/>
            <w:noWrap/>
            <w:hideMark/>
          </w:tcPr>
          <w:p w14:paraId="261D3722" w14:textId="77777777" w:rsidR="00855E3C" w:rsidRPr="00855E3C" w:rsidRDefault="00855E3C" w:rsidP="00855E3C">
            <w:pPr>
              <w:bidi w:val="0"/>
              <w:rPr>
                <w:lang w:bidi="ar-EG"/>
              </w:rPr>
            </w:pPr>
          </w:p>
        </w:tc>
        <w:tc>
          <w:tcPr>
            <w:tcW w:w="3143" w:type="dxa"/>
            <w:noWrap/>
            <w:hideMark/>
          </w:tcPr>
          <w:p w14:paraId="49D8CDF2" w14:textId="77777777" w:rsidR="00855E3C" w:rsidRPr="00855E3C" w:rsidRDefault="00855E3C" w:rsidP="00855E3C">
            <w:pPr>
              <w:bidi w:val="0"/>
              <w:rPr>
                <w:lang w:bidi="ar-EG"/>
              </w:rPr>
            </w:pPr>
            <w:r w:rsidRPr="00855E3C">
              <w:rPr>
                <w:lang w:bidi="ar-EG"/>
              </w:rPr>
              <w:t>performance.</w:t>
            </w:r>
          </w:p>
        </w:tc>
      </w:tr>
      <w:tr w:rsidR="00B44D0F" w:rsidRPr="00855E3C" w14:paraId="1FB50B3A" w14:textId="77777777" w:rsidTr="00B44D0F">
        <w:trPr>
          <w:trHeight w:val="285"/>
        </w:trPr>
        <w:tc>
          <w:tcPr>
            <w:tcW w:w="1052" w:type="dxa"/>
            <w:noWrap/>
            <w:hideMark/>
          </w:tcPr>
          <w:p w14:paraId="442078F1" w14:textId="77777777" w:rsidR="00855E3C" w:rsidRPr="00855E3C" w:rsidRDefault="00855E3C" w:rsidP="00855E3C">
            <w:pPr>
              <w:bidi w:val="0"/>
              <w:rPr>
                <w:lang w:bidi="ar-EG"/>
              </w:rPr>
            </w:pPr>
          </w:p>
        </w:tc>
        <w:tc>
          <w:tcPr>
            <w:tcW w:w="3753" w:type="dxa"/>
            <w:noWrap/>
            <w:hideMark/>
          </w:tcPr>
          <w:p w14:paraId="2CCC8101" w14:textId="77777777" w:rsidR="00855E3C" w:rsidRPr="00855E3C" w:rsidRDefault="00855E3C" w:rsidP="00855E3C">
            <w:pPr>
              <w:bidi w:val="0"/>
              <w:rPr>
                <w:lang w:bidi="ar-EG"/>
              </w:rPr>
            </w:pPr>
          </w:p>
        </w:tc>
        <w:tc>
          <w:tcPr>
            <w:tcW w:w="686" w:type="dxa"/>
            <w:noWrap/>
            <w:hideMark/>
          </w:tcPr>
          <w:p w14:paraId="3C7DD9D5" w14:textId="77777777" w:rsidR="00855E3C" w:rsidRPr="00855E3C" w:rsidRDefault="00855E3C" w:rsidP="00855E3C">
            <w:pPr>
              <w:bidi w:val="0"/>
              <w:rPr>
                <w:lang w:bidi="ar-EG"/>
              </w:rPr>
            </w:pPr>
          </w:p>
        </w:tc>
        <w:tc>
          <w:tcPr>
            <w:tcW w:w="985" w:type="dxa"/>
            <w:noWrap/>
            <w:hideMark/>
          </w:tcPr>
          <w:p w14:paraId="431A8B62" w14:textId="77777777" w:rsidR="00855E3C" w:rsidRPr="00855E3C" w:rsidRDefault="00855E3C" w:rsidP="00855E3C">
            <w:pPr>
              <w:bidi w:val="0"/>
              <w:rPr>
                <w:lang w:bidi="ar-EG"/>
              </w:rPr>
            </w:pPr>
          </w:p>
        </w:tc>
        <w:tc>
          <w:tcPr>
            <w:tcW w:w="816" w:type="dxa"/>
            <w:noWrap/>
            <w:hideMark/>
          </w:tcPr>
          <w:p w14:paraId="6C62019F" w14:textId="77777777" w:rsidR="00855E3C" w:rsidRPr="00855E3C" w:rsidRDefault="00855E3C" w:rsidP="00855E3C">
            <w:pPr>
              <w:bidi w:val="0"/>
              <w:rPr>
                <w:lang w:bidi="ar-EG"/>
              </w:rPr>
            </w:pPr>
          </w:p>
        </w:tc>
        <w:tc>
          <w:tcPr>
            <w:tcW w:w="612" w:type="dxa"/>
            <w:noWrap/>
            <w:hideMark/>
          </w:tcPr>
          <w:p w14:paraId="06E5147F" w14:textId="77777777" w:rsidR="00855E3C" w:rsidRPr="00855E3C" w:rsidRDefault="00855E3C" w:rsidP="00855E3C">
            <w:pPr>
              <w:bidi w:val="0"/>
              <w:rPr>
                <w:lang w:bidi="ar-EG"/>
              </w:rPr>
            </w:pPr>
          </w:p>
        </w:tc>
        <w:tc>
          <w:tcPr>
            <w:tcW w:w="3143" w:type="dxa"/>
            <w:noWrap/>
            <w:hideMark/>
          </w:tcPr>
          <w:p w14:paraId="1D4FF6A0" w14:textId="77777777" w:rsidR="00855E3C" w:rsidRPr="00855E3C" w:rsidRDefault="00855E3C" w:rsidP="00855E3C">
            <w:pPr>
              <w:bidi w:val="0"/>
              <w:rPr>
                <w:lang w:bidi="ar-EG"/>
              </w:rPr>
            </w:pPr>
            <w:r w:rsidRPr="00855E3C">
              <w:rPr>
                <w:lang w:bidi="ar-EG"/>
              </w:rPr>
              <w:t>IAS 1.85A requires any additional subtotals presented</w:t>
            </w:r>
          </w:p>
        </w:tc>
      </w:tr>
      <w:tr w:rsidR="00855E3C" w:rsidRPr="00855E3C" w14:paraId="556A8349" w14:textId="77777777" w:rsidTr="00B44D0F">
        <w:trPr>
          <w:trHeight w:val="285"/>
        </w:trPr>
        <w:tc>
          <w:tcPr>
            <w:tcW w:w="1052" w:type="dxa"/>
            <w:noWrap/>
            <w:hideMark/>
          </w:tcPr>
          <w:p w14:paraId="7F7C8543" w14:textId="77777777" w:rsidR="00855E3C" w:rsidRPr="00855E3C" w:rsidRDefault="00855E3C" w:rsidP="00855E3C">
            <w:pPr>
              <w:bidi w:val="0"/>
              <w:rPr>
                <w:lang w:bidi="ar-EG"/>
              </w:rPr>
            </w:pPr>
          </w:p>
        </w:tc>
        <w:tc>
          <w:tcPr>
            <w:tcW w:w="3753" w:type="dxa"/>
            <w:noWrap/>
            <w:hideMark/>
          </w:tcPr>
          <w:p w14:paraId="67114955" w14:textId="77777777" w:rsidR="00855E3C" w:rsidRPr="00855E3C" w:rsidRDefault="00855E3C" w:rsidP="00855E3C">
            <w:pPr>
              <w:bidi w:val="0"/>
              <w:rPr>
                <w:lang w:bidi="ar-EG"/>
              </w:rPr>
            </w:pPr>
          </w:p>
        </w:tc>
        <w:tc>
          <w:tcPr>
            <w:tcW w:w="686" w:type="dxa"/>
            <w:noWrap/>
            <w:hideMark/>
          </w:tcPr>
          <w:p w14:paraId="1D373499" w14:textId="77777777" w:rsidR="00855E3C" w:rsidRPr="00855E3C" w:rsidRDefault="00855E3C" w:rsidP="00855E3C">
            <w:pPr>
              <w:bidi w:val="0"/>
              <w:rPr>
                <w:lang w:bidi="ar-EG"/>
              </w:rPr>
            </w:pPr>
          </w:p>
        </w:tc>
        <w:tc>
          <w:tcPr>
            <w:tcW w:w="985" w:type="dxa"/>
            <w:noWrap/>
            <w:hideMark/>
          </w:tcPr>
          <w:p w14:paraId="69E98894" w14:textId="77777777" w:rsidR="00855E3C" w:rsidRPr="00855E3C" w:rsidRDefault="00855E3C" w:rsidP="00855E3C">
            <w:pPr>
              <w:bidi w:val="0"/>
              <w:rPr>
                <w:lang w:bidi="ar-EG"/>
              </w:rPr>
            </w:pPr>
          </w:p>
        </w:tc>
        <w:tc>
          <w:tcPr>
            <w:tcW w:w="816" w:type="dxa"/>
            <w:noWrap/>
            <w:hideMark/>
          </w:tcPr>
          <w:p w14:paraId="3F297C0B" w14:textId="77777777" w:rsidR="00855E3C" w:rsidRPr="00855E3C" w:rsidRDefault="00855E3C" w:rsidP="00855E3C">
            <w:pPr>
              <w:bidi w:val="0"/>
              <w:rPr>
                <w:lang w:bidi="ar-EG"/>
              </w:rPr>
            </w:pPr>
          </w:p>
        </w:tc>
        <w:tc>
          <w:tcPr>
            <w:tcW w:w="612" w:type="dxa"/>
            <w:noWrap/>
            <w:hideMark/>
          </w:tcPr>
          <w:p w14:paraId="35888983" w14:textId="77777777" w:rsidR="00855E3C" w:rsidRPr="00855E3C" w:rsidRDefault="00855E3C" w:rsidP="00855E3C">
            <w:pPr>
              <w:bidi w:val="0"/>
              <w:rPr>
                <w:lang w:bidi="ar-EG"/>
              </w:rPr>
            </w:pPr>
          </w:p>
        </w:tc>
        <w:tc>
          <w:tcPr>
            <w:tcW w:w="3143" w:type="dxa"/>
            <w:noWrap/>
            <w:hideMark/>
          </w:tcPr>
          <w:p w14:paraId="5210466C" w14:textId="77777777" w:rsidR="00855E3C" w:rsidRPr="00855E3C" w:rsidRDefault="00855E3C" w:rsidP="00855E3C">
            <w:pPr>
              <w:bidi w:val="0"/>
              <w:rPr>
                <w:lang w:bidi="ar-EG"/>
              </w:rPr>
            </w:pPr>
            <w:r w:rsidRPr="00855E3C">
              <w:rPr>
                <w:lang w:bidi="ar-EG"/>
              </w:rPr>
              <w:t>to be:</w:t>
            </w:r>
          </w:p>
        </w:tc>
      </w:tr>
      <w:tr w:rsidR="00B44D0F" w:rsidRPr="00855E3C" w14:paraId="36DCB7A9" w14:textId="77777777" w:rsidTr="00B44D0F">
        <w:trPr>
          <w:trHeight w:val="285"/>
        </w:trPr>
        <w:tc>
          <w:tcPr>
            <w:tcW w:w="1052" w:type="dxa"/>
            <w:noWrap/>
            <w:hideMark/>
          </w:tcPr>
          <w:p w14:paraId="723B707E" w14:textId="77777777" w:rsidR="00855E3C" w:rsidRPr="00855E3C" w:rsidRDefault="00855E3C" w:rsidP="00855E3C">
            <w:pPr>
              <w:bidi w:val="0"/>
              <w:rPr>
                <w:lang w:bidi="ar-EG"/>
              </w:rPr>
            </w:pPr>
            <w:r w:rsidRPr="00855E3C">
              <w:rPr>
                <w:lang w:bidi="ar-EG"/>
              </w:rPr>
              <w:t>IAS 1.82(d)</w:t>
            </w:r>
          </w:p>
        </w:tc>
        <w:tc>
          <w:tcPr>
            <w:tcW w:w="3753" w:type="dxa"/>
            <w:noWrap/>
            <w:hideMark/>
          </w:tcPr>
          <w:p w14:paraId="6D577DF8" w14:textId="77777777" w:rsidR="00855E3C" w:rsidRPr="00855E3C" w:rsidRDefault="00855E3C" w:rsidP="00855E3C">
            <w:pPr>
              <w:bidi w:val="0"/>
              <w:rPr>
                <w:lang w:bidi="ar-EG"/>
              </w:rPr>
            </w:pPr>
            <w:r w:rsidRPr="00855E3C">
              <w:rPr>
                <w:lang w:bidi="ar-EG"/>
              </w:rPr>
              <w:t>Tax expense</w:t>
            </w:r>
          </w:p>
        </w:tc>
        <w:tc>
          <w:tcPr>
            <w:tcW w:w="686" w:type="dxa"/>
            <w:noWrap/>
            <w:hideMark/>
          </w:tcPr>
          <w:p w14:paraId="50887805" w14:textId="77777777" w:rsidR="00855E3C" w:rsidRPr="00855E3C" w:rsidRDefault="00855E3C" w:rsidP="00855E3C">
            <w:pPr>
              <w:bidi w:val="0"/>
              <w:rPr>
                <w:lang w:bidi="ar-EG"/>
              </w:rPr>
            </w:pPr>
            <w:r w:rsidRPr="00855E3C">
              <w:rPr>
                <w:lang w:bidi="ar-EG"/>
              </w:rPr>
              <w:t>29</w:t>
            </w:r>
          </w:p>
        </w:tc>
        <w:tc>
          <w:tcPr>
            <w:tcW w:w="985" w:type="dxa"/>
            <w:noWrap/>
            <w:hideMark/>
          </w:tcPr>
          <w:p w14:paraId="1E714B6F" w14:textId="77777777" w:rsidR="00855E3C" w:rsidRPr="00855E3C" w:rsidRDefault="00855E3C" w:rsidP="00855E3C">
            <w:pPr>
              <w:bidi w:val="0"/>
              <w:rPr>
                <w:lang w:bidi="ar-EG"/>
              </w:rPr>
            </w:pPr>
            <w:r w:rsidRPr="00855E3C">
              <w:rPr>
                <w:lang w:bidi="ar-EG"/>
              </w:rPr>
              <w:t>(6,794)</w:t>
            </w:r>
          </w:p>
        </w:tc>
        <w:tc>
          <w:tcPr>
            <w:tcW w:w="816" w:type="dxa"/>
            <w:noWrap/>
            <w:hideMark/>
          </w:tcPr>
          <w:p w14:paraId="7B679F36" w14:textId="77777777" w:rsidR="00855E3C" w:rsidRPr="00855E3C" w:rsidRDefault="00855E3C" w:rsidP="00855E3C">
            <w:pPr>
              <w:bidi w:val="0"/>
              <w:rPr>
                <w:lang w:bidi="ar-EG"/>
              </w:rPr>
            </w:pPr>
            <w:r w:rsidRPr="00855E3C">
              <w:rPr>
                <w:lang w:bidi="ar-EG"/>
              </w:rPr>
              <w:t>-4888</w:t>
            </w:r>
          </w:p>
        </w:tc>
        <w:tc>
          <w:tcPr>
            <w:tcW w:w="612" w:type="dxa"/>
            <w:noWrap/>
            <w:hideMark/>
          </w:tcPr>
          <w:p w14:paraId="5153DC2B" w14:textId="77777777" w:rsidR="00855E3C" w:rsidRPr="00855E3C" w:rsidRDefault="00855E3C" w:rsidP="00855E3C">
            <w:pPr>
              <w:bidi w:val="0"/>
              <w:rPr>
                <w:lang w:bidi="ar-EG"/>
              </w:rPr>
            </w:pPr>
            <w:r w:rsidRPr="00855E3C">
              <w:rPr>
                <w:lang w:bidi="ar-EG"/>
              </w:rPr>
              <w:t>•</w:t>
            </w:r>
          </w:p>
        </w:tc>
        <w:tc>
          <w:tcPr>
            <w:tcW w:w="3143" w:type="dxa"/>
            <w:noWrap/>
            <w:hideMark/>
          </w:tcPr>
          <w:p w14:paraId="193239B6" w14:textId="77777777" w:rsidR="00855E3C" w:rsidRPr="00855E3C" w:rsidRDefault="00855E3C" w:rsidP="00855E3C">
            <w:pPr>
              <w:bidi w:val="0"/>
              <w:rPr>
                <w:lang w:bidi="ar-EG"/>
              </w:rPr>
            </w:pPr>
            <w:r w:rsidRPr="00855E3C">
              <w:rPr>
                <w:lang w:bidi="ar-EG"/>
              </w:rPr>
              <w:t>comprised of line items made up of amounts</w:t>
            </w:r>
          </w:p>
        </w:tc>
      </w:tr>
      <w:tr w:rsidR="00855E3C" w:rsidRPr="00855E3C" w14:paraId="40E56F8E" w14:textId="77777777" w:rsidTr="00B44D0F">
        <w:trPr>
          <w:trHeight w:val="285"/>
        </w:trPr>
        <w:tc>
          <w:tcPr>
            <w:tcW w:w="1052" w:type="dxa"/>
            <w:noWrap/>
            <w:hideMark/>
          </w:tcPr>
          <w:p w14:paraId="4C7E9F3E" w14:textId="77777777" w:rsidR="00855E3C" w:rsidRPr="00855E3C" w:rsidRDefault="00855E3C" w:rsidP="00855E3C">
            <w:pPr>
              <w:bidi w:val="0"/>
              <w:rPr>
                <w:lang w:bidi="ar-EG"/>
              </w:rPr>
            </w:pPr>
          </w:p>
        </w:tc>
        <w:tc>
          <w:tcPr>
            <w:tcW w:w="3753" w:type="dxa"/>
            <w:noWrap/>
            <w:hideMark/>
          </w:tcPr>
          <w:p w14:paraId="30AFE6FD" w14:textId="77777777" w:rsidR="00855E3C" w:rsidRPr="00855E3C" w:rsidRDefault="00855E3C" w:rsidP="00855E3C">
            <w:pPr>
              <w:bidi w:val="0"/>
              <w:rPr>
                <w:lang w:bidi="ar-EG"/>
              </w:rPr>
            </w:pPr>
          </w:p>
        </w:tc>
        <w:tc>
          <w:tcPr>
            <w:tcW w:w="686" w:type="dxa"/>
            <w:noWrap/>
            <w:hideMark/>
          </w:tcPr>
          <w:p w14:paraId="673D4D1A" w14:textId="77777777" w:rsidR="00855E3C" w:rsidRPr="00855E3C" w:rsidRDefault="00855E3C" w:rsidP="00855E3C">
            <w:pPr>
              <w:bidi w:val="0"/>
              <w:rPr>
                <w:lang w:bidi="ar-EG"/>
              </w:rPr>
            </w:pPr>
          </w:p>
        </w:tc>
        <w:tc>
          <w:tcPr>
            <w:tcW w:w="985" w:type="dxa"/>
            <w:noWrap/>
            <w:hideMark/>
          </w:tcPr>
          <w:p w14:paraId="35C3CC71" w14:textId="77777777" w:rsidR="00855E3C" w:rsidRPr="00855E3C" w:rsidRDefault="00855E3C" w:rsidP="00855E3C">
            <w:pPr>
              <w:bidi w:val="0"/>
              <w:rPr>
                <w:lang w:bidi="ar-EG"/>
              </w:rPr>
            </w:pPr>
          </w:p>
        </w:tc>
        <w:tc>
          <w:tcPr>
            <w:tcW w:w="816" w:type="dxa"/>
            <w:noWrap/>
            <w:hideMark/>
          </w:tcPr>
          <w:p w14:paraId="3386D767" w14:textId="77777777" w:rsidR="00855E3C" w:rsidRPr="00855E3C" w:rsidRDefault="00855E3C" w:rsidP="00855E3C">
            <w:pPr>
              <w:bidi w:val="0"/>
              <w:rPr>
                <w:lang w:bidi="ar-EG"/>
              </w:rPr>
            </w:pPr>
          </w:p>
        </w:tc>
        <w:tc>
          <w:tcPr>
            <w:tcW w:w="612" w:type="dxa"/>
            <w:noWrap/>
            <w:hideMark/>
          </w:tcPr>
          <w:p w14:paraId="570267C7" w14:textId="77777777" w:rsidR="00855E3C" w:rsidRPr="00855E3C" w:rsidRDefault="00855E3C" w:rsidP="00855E3C">
            <w:pPr>
              <w:bidi w:val="0"/>
              <w:rPr>
                <w:lang w:bidi="ar-EG"/>
              </w:rPr>
            </w:pPr>
          </w:p>
        </w:tc>
        <w:tc>
          <w:tcPr>
            <w:tcW w:w="3143" w:type="dxa"/>
            <w:noWrap/>
            <w:hideMark/>
          </w:tcPr>
          <w:p w14:paraId="12542393" w14:textId="77777777" w:rsidR="00855E3C" w:rsidRPr="00855E3C" w:rsidRDefault="00855E3C" w:rsidP="00855E3C">
            <w:pPr>
              <w:bidi w:val="0"/>
              <w:rPr>
                <w:lang w:bidi="ar-EG"/>
              </w:rPr>
            </w:pPr>
            <w:proofErr w:type="spellStart"/>
            <w:r w:rsidRPr="00855E3C">
              <w:rPr>
                <w:lang w:bidi="ar-EG"/>
              </w:rPr>
              <w:t>recognised</w:t>
            </w:r>
            <w:proofErr w:type="spellEnd"/>
            <w:r w:rsidRPr="00855E3C">
              <w:rPr>
                <w:lang w:bidi="ar-EG"/>
              </w:rPr>
              <w:t xml:space="preserve"> and measured in accordance with IFRS</w:t>
            </w:r>
          </w:p>
        </w:tc>
      </w:tr>
      <w:tr w:rsidR="00B44D0F" w:rsidRPr="00855E3C" w14:paraId="39666745" w14:textId="77777777" w:rsidTr="00B44D0F">
        <w:trPr>
          <w:trHeight w:val="285"/>
        </w:trPr>
        <w:tc>
          <w:tcPr>
            <w:tcW w:w="1052" w:type="dxa"/>
            <w:noWrap/>
            <w:hideMark/>
          </w:tcPr>
          <w:p w14:paraId="3CF57A6B" w14:textId="77777777" w:rsidR="00855E3C" w:rsidRPr="00855E3C" w:rsidRDefault="00855E3C" w:rsidP="00855E3C">
            <w:pPr>
              <w:bidi w:val="0"/>
              <w:rPr>
                <w:lang w:bidi="ar-EG"/>
              </w:rPr>
            </w:pPr>
          </w:p>
        </w:tc>
        <w:tc>
          <w:tcPr>
            <w:tcW w:w="3753" w:type="dxa"/>
            <w:noWrap/>
            <w:hideMark/>
          </w:tcPr>
          <w:p w14:paraId="306640ED" w14:textId="77777777" w:rsidR="00855E3C" w:rsidRPr="00855E3C" w:rsidRDefault="00855E3C" w:rsidP="00855E3C">
            <w:pPr>
              <w:bidi w:val="0"/>
              <w:rPr>
                <w:lang w:bidi="ar-EG"/>
              </w:rPr>
            </w:pPr>
            <w:r w:rsidRPr="00855E3C">
              <w:rPr>
                <w:lang w:bidi="ar-EG"/>
              </w:rPr>
              <w:t>Profit for the year from continuing</w:t>
            </w:r>
            <w:r w:rsidRPr="00855E3C">
              <w:rPr>
                <w:lang w:bidi="ar-EG"/>
              </w:rPr>
              <w:br/>
              <w:t>operations</w:t>
            </w:r>
          </w:p>
        </w:tc>
        <w:tc>
          <w:tcPr>
            <w:tcW w:w="686" w:type="dxa"/>
            <w:noWrap/>
            <w:hideMark/>
          </w:tcPr>
          <w:p w14:paraId="5DD586B5" w14:textId="77777777" w:rsidR="00855E3C" w:rsidRPr="00855E3C" w:rsidRDefault="00855E3C" w:rsidP="00855E3C">
            <w:pPr>
              <w:bidi w:val="0"/>
              <w:rPr>
                <w:lang w:bidi="ar-EG"/>
              </w:rPr>
            </w:pPr>
          </w:p>
        </w:tc>
        <w:tc>
          <w:tcPr>
            <w:tcW w:w="985" w:type="dxa"/>
            <w:noWrap/>
            <w:hideMark/>
          </w:tcPr>
          <w:p w14:paraId="639DB9F3" w14:textId="77777777" w:rsidR="00855E3C" w:rsidRPr="00855E3C" w:rsidRDefault="00855E3C" w:rsidP="00855E3C">
            <w:pPr>
              <w:bidi w:val="0"/>
              <w:rPr>
                <w:lang w:bidi="ar-EG"/>
              </w:rPr>
            </w:pPr>
            <w:r w:rsidRPr="00855E3C">
              <w:rPr>
                <w:lang w:bidi="ar-EG"/>
              </w:rPr>
              <w:t>14,867</w:t>
            </w:r>
          </w:p>
        </w:tc>
        <w:tc>
          <w:tcPr>
            <w:tcW w:w="816" w:type="dxa"/>
            <w:noWrap/>
            <w:hideMark/>
          </w:tcPr>
          <w:p w14:paraId="34F38435" w14:textId="77777777" w:rsidR="00855E3C" w:rsidRPr="00855E3C" w:rsidRDefault="00855E3C" w:rsidP="00855E3C">
            <w:pPr>
              <w:bidi w:val="0"/>
              <w:rPr>
                <w:lang w:bidi="ar-EG"/>
              </w:rPr>
            </w:pPr>
            <w:r w:rsidRPr="00855E3C">
              <w:rPr>
                <w:lang w:bidi="ar-EG"/>
              </w:rPr>
              <w:t>11636</w:t>
            </w:r>
          </w:p>
        </w:tc>
        <w:tc>
          <w:tcPr>
            <w:tcW w:w="612" w:type="dxa"/>
            <w:noWrap/>
            <w:hideMark/>
          </w:tcPr>
          <w:p w14:paraId="7D23B26D" w14:textId="77777777" w:rsidR="00855E3C" w:rsidRPr="00855E3C" w:rsidRDefault="00855E3C" w:rsidP="00855E3C">
            <w:pPr>
              <w:bidi w:val="0"/>
              <w:rPr>
                <w:lang w:bidi="ar-EG"/>
              </w:rPr>
            </w:pPr>
            <w:r w:rsidRPr="00855E3C">
              <w:rPr>
                <w:lang w:bidi="ar-EG"/>
              </w:rPr>
              <w:t>•</w:t>
            </w:r>
          </w:p>
        </w:tc>
        <w:tc>
          <w:tcPr>
            <w:tcW w:w="3143" w:type="dxa"/>
            <w:noWrap/>
            <w:hideMark/>
          </w:tcPr>
          <w:p w14:paraId="5D81033F" w14:textId="77777777" w:rsidR="00855E3C" w:rsidRPr="00855E3C" w:rsidRDefault="00855E3C" w:rsidP="00855E3C">
            <w:pPr>
              <w:bidi w:val="0"/>
              <w:rPr>
                <w:lang w:bidi="ar-EG"/>
              </w:rPr>
            </w:pPr>
            <w:r w:rsidRPr="00855E3C">
              <w:rPr>
                <w:lang w:bidi="ar-EG"/>
              </w:rPr>
              <w:t>presented and labelled in a manner that makes</w:t>
            </w:r>
          </w:p>
        </w:tc>
      </w:tr>
      <w:tr w:rsidR="00855E3C" w:rsidRPr="00855E3C" w14:paraId="74679770" w14:textId="77777777" w:rsidTr="00B44D0F">
        <w:trPr>
          <w:trHeight w:val="285"/>
        </w:trPr>
        <w:tc>
          <w:tcPr>
            <w:tcW w:w="1052" w:type="dxa"/>
            <w:noWrap/>
            <w:hideMark/>
          </w:tcPr>
          <w:p w14:paraId="2894A4AC" w14:textId="77777777" w:rsidR="00855E3C" w:rsidRPr="00855E3C" w:rsidRDefault="00855E3C" w:rsidP="00855E3C">
            <w:pPr>
              <w:bidi w:val="0"/>
              <w:rPr>
                <w:lang w:bidi="ar-EG"/>
              </w:rPr>
            </w:pPr>
          </w:p>
        </w:tc>
        <w:tc>
          <w:tcPr>
            <w:tcW w:w="3753" w:type="dxa"/>
            <w:noWrap/>
            <w:hideMark/>
          </w:tcPr>
          <w:p w14:paraId="697E35D2" w14:textId="77777777" w:rsidR="00855E3C" w:rsidRPr="00855E3C" w:rsidRDefault="00855E3C" w:rsidP="00855E3C">
            <w:pPr>
              <w:bidi w:val="0"/>
              <w:rPr>
                <w:lang w:bidi="ar-EG"/>
              </w:rPr>
            </w:pPr>
          </w:p>
        </w:tc>
        <w:tc>
          <w:tcPr>
            <w:tcW w:w="686" w:type="dxa"/>
            <w:noWrap/>
            <w:hideMark/>
          </w:tcPr>
          <w:p w14:paraId="29E3A33D" w14:textId="77777777" w:rsidR="00855E3C" w:rsidRPr="00855E3C" w:rsidRDefault="00855E3C" w:rsidP="00855E3C">
            <w:pPr>
              <w:bidi w:val="0"/>
              <w:rPr>
                <w:lang w:bidi="ar-EG"/>
              </w:rPr>
            </w:pPr>
          </w:p>
        </w:tc>
        <w:tc>
          <w:tcPr>
            <w:tcW w:w="985" w:type="dxa"/>
            <w:noWrap/>
            <w:hideMark/>
          </w:tcPr>
          <w:p w14:paraId="1CFA2EDC" w14:textId="77777777" w:rsidR="00855E3C" w:rsidRPr="00855E3C" w:rsidRDefault="00855E3C" w:rsidP="00855E3C">
            <w:pPr>
              <w:bidi w:val="0"/>
              <w:rPr>
                <w:lang w:bidi="ar-EG"/>
              </w:rPr>
            </w:pPr>
          </w:p>
        </w:tc>
        <w:tc>
          <w:tcPr>
            <w:tcW w:w="816" w:type="dxa"/>
            <w:noWrap/>
            <w:hideMark/>
          </w:tcPr>
          <w:p w14:paraId="44E45D47" w14:textId="77777777" w:rsidR="00855E3C" w:rsidRPr="00855E3C" w:rsidRDefault="00855E3C" w:rsidP="00855E3C">
            <w:pPr>
              <w:bidi w:val="0"/>
              <w:rPr>
                <w:lang w:bidi="ar-EG"/>
              </w:rPr>
            </w:pPr>
          </w:p>
        </w:tc>
        <w:tc>
          <w:tcPr>
            <w:tcW w:w="612" w:type="dxa"/>
            <w:noWrap/>
            <w:hideMark/>
          </w:tcPr>
          <w:p w14:paraId="07DB3ED8" w14:textId="77777777" w:rsidR="00855E3C" w:rsidRPr="00855E3C" w:rsidRDefault="00855E3C" w:rsidP="00855E3C">
            <w:pPr>
              <w:bidi w:val="0"/>
              <w:rPr>
                <w:lang w:bidi="ar-EG"/>
              </w:rPr>
            </w:pPr>
          </w:p>
        </w:tc>
        <w:tc>
          <w:tcPr>
            <w:tcW w:w="3143" w:type="dxa"/>
            <w:noWrap/>
            <w:hideMark/>
          </w:tcPr>
          <w:p w14:paraId="010693FA" w14:textId="77777777" w:rsidR="00855E3C" w:rsidRPr="00855E3C" w:rsidRDefault="00855E3C" w:rsidP="00855E3C">
            <w:pPr>
              <w:bidi w:val="0"/>
              <w:rPr>
                <w:lang w:bidi="ar-EG"/>
              </w:rPr>
            </w:pPr>
            <w:r w:rsidRPr="00855E3C">
              <w:rPr>
                <w:lang w:bidi="ar-EG"/>
              </w:rPr>
              <w:t>the line items that constitute the subtotal clear and</w:t>
            </w:r>
          </w:p>
        </w:tc>
      </w:tr>
      <w:tr w:rsidR="00B44D0F" w:rsidRPr="00855E3C" w14:paraId="156E786F" w14:textId="77777777" w:rsidTr="00B44D0F">
        <w:trPr>
          <w:trHeight w:val="285"/>
        </w:trPr>
        <w:tc>
          <w:tcPr>
            <w:tcW w:w="1052" w:type="dxa"/>
            <w:noWrap/>
            <w:hideMark/>
          </w:tcPr>
          <w:p w14:paraId="452997AD" w14:textId="77777777" w:rsidR="00855E3C" w:rsidRPr="00855E3C" w:rsidRDefault="00855E3C" w:rsidP="00855E3C">
            <w:pPr>
              <w:bidi w:val="0"/>
              <w:rPr>
                <w:lang w:bidi="ar-EG"/>
              </w:rPr>
            </w:pPr>
            <w:r w:rsidRPr="00855E3C">
              <w:rPr>
                <w:lang w:bidi="ar-EG"/>
              </w:rPr>
              <w:t>IAS 1.82(</w:t>
            </w:r>
            <w:proofErr w:type="spellStart"/>
            <w:r w:rsidRPr="00855E3C">
              <w:rPr>
                <w:lang w:bidi="ar-EG"/>
              </w:rPr>
              <w:t>ea</w:t>
            </w:r>
            <w:proofErr w:type="spellEnd"/>
            <w:r w:rsidRPr="00855E3C">
              <w:rPr>
                <w:lang w:bidi="ar-EG"/>
              </w:rPr>
              <w:t>)</w:t>
            </w:r>
          </w:p>
        </w:tc>
        <w:tc>
          <w:tcPr>
            <w:tcW w:w="3753" w:type="dxa"/>
            <w:noWrap/>
            <w:hideMark/>
          </w:tcPr>
          <w:p w14:paraId="67ACB41E" w14:textId="77777777" w:rsidR="00855E3C" w:rsidRPr="00855E3C" w:rsidRDefault="00855E3C" w:rsidP="00855E3C">
            <w:pPr>
              <w:bidi w:val="0"/>
              <w:rPr>
                <w:lang w:bidi="ar-EG"/>
              </w:rPr>
            </w:pPr>
            <w:r w:rsidRPr="00855E3C">
              <w:rPr>
                <w:lang w:bidi="ar-EG"/>
              </w:rPr>
              <w:t>Loss for the year from discontinued operations</w:t>
            </w:r>
          </w:p>
        </w:tc>
        <w:tc>
          <w:tcPr>
            <w:tcW w:w="686" w:type="dxa"/>
            <w:noWrap/>
            <w:hideMark/>
          </w:tcPr>
          <w:p w14:paraId="6786CECB" w14:textId="77777777" w:rsidR="00855E3C" w:rsidRPr="00855E3C" w:rsidRDefault="00855E3C" w:rsidP="00855E3C">
            <w:pPr>
              <w:bidi w:val="0"/>
              <w:rPr>
                <w:lang w:bidi="ar-EG"/>
              </w:rPr>
            </w:pPr>
            <w:r w:rsidRPr="00855E3C">
              <w:rPr>
                <w:lang w:bidi="ar-EG"/>
              </w:rPr>
              <w:t>20</w:t>
            </w:r>
          </w:p>
        </w:tc>
        <w:tc>
          <w:tcPr>
            <w:tcW w:w="985" w:type="dxa"/>
            <w:noWrap/>
            <w:hideMark/>
          </w:tcPr>
          <w:p w14:paraId="39B8312A" w14:textId="77777777" w:rsidR="00855E3C" w:rsidRPr="00855E3C" w:rsidRDefault="00855E3C" w:rsidP="00855E3C">
            <w:pPr>
              <w:bidi w:val="0"/>
              <w:rPr>
                <w:lang w:bidi="ar-EG"/>
              </w:rPr>
            </w:pPr>
            <w:r w:rsidRPr="00855E3C">
              <w:rPr>
                <w:lang w:bidi="ar-EG"/>
              </w:rPr>
              <w:t>(9)</w:t>
            </w:r>
          </w:p>
        </w:tc>
        <w:tc>
          <w:tcPr>
            <w:tcW w:w="816" w:type="dxa"/>
            <w:noWrap/>
            <w:hideMark/>
          </w:tcPr>
          <w:p w14:paraId="6A42F5EA" w14:textId="77777777" w:rsidR="00855E3C" w:rsidRPr="00855E3C" w:rsidRDefault="00855E3C" w:rsidP="00855E3C">
            <w:pPr>
              <w:bidi w:val="0"/>
              <w:rPr>
                <w:lang w:bidi="ar-EG"/>
              </w:rPr>
            </w:pPr>
            <w:r w:rsidRPr="00855E3C">
              <w:rPr>
                <w:lang w:bidi="ar-EG"/>
              </w:rPr>
              <w:t>-325</w:t>
            </w:r>
          </w:p>
        </w:tc>
        <w:tc>
          <w:tcPr>
            <w:tcW w:w="612" w:type="dxa"/>
            <w:noWrap/>
            <w:hideMark/>
          </w:tcPr>
          <w:p w14:paraId="25E11429" w14:textId="77777777" w:rsidR="00855E3C" w:rsidRPr="00855E3C" w:rsidRDefault="00855E3C" w:rsidP="00855E3C">
            <w:pPr>
              <w:bidi w:val="0"/>
              <w:rPr>
                <w:lang w:bidi="ar-EG"/>
              </w:rPr>
            </w:pPr>
          </w:p>
        </w:tc>
        <w:tc>
          <w:tcPr>
            <w:tcW w:w="3143" w:type="dxa"/>
            <w:noWrap/>
            <w:hideMark/>
          </w:tcPr>
          <w:p w14:paraId="46CF2FED" w14:textId="77777777" w:rsidR="00855E3C" w:rsidRPr="00855E3C" w:rsidRDefault="00855E3C" w:rsidP="00855E3C">
            <w:pPr>
              <w:bidi w:val="0"/>
              <w:rPr>
                <w:lang w:bidi="ar-EG"/>
              </w:rPr>
            </w:pPr>
            <w:r w:rsidRPr="00855E3C">
              <w:rPr>
                <w:lang w:bidi="ar-EG"/>
              </w:rPr>
              <w:t>understandable</w:t>
            </w:r>
          </w:p>
        </w:tc>
      </w:tr>
      <w:tr w:rsidR="00855E3C" w:rsidRPr="00855E3C" w14:paraId="6F840F25" w14:textId="77777777" w:rsidTr="00B44D0F">
        <w:trPr>
          <w:trHeight w:val="285"/>
        </w:trPr>
        <w:tc>
          <w:tcPr>
            <w:tcW w:w="1052" w:type="dxa"/>
            <w:noWrap/>
            <w:hideMark/>
          </w:tcPr>
          <w:p w14:paraId="4A0EEBED" w14:textId="77777777" w:rsidR="00855E3C" w:rsidRPr="00855E3C" w:rsidRDefault="00855E3C" w:rsidP="00855E3C">
            <w:pPr>
              <w:bidi w:val="0"/>
              <w:rPr>
                <w:lang w:bidi="ar-EG"/>
              </w:rPr>
            </w:pPr>
          </w:p>
        </w:tc>
        <w:tc>
          <w:tcPr>
            <w:tcW w:w="3753" w:type="dxa"/>
            <w:noWrap/>
            <w:hideMark/>
          </w:tcPr>
          <w:p w14:paraId="397DC661" w14:textId="77777777" w:rsidR="00855E3C" w:rsidRPr="00855E3C" w:rsidRDefault="00855E3C" w:rsidP="00855E3C">
            <w:pPr>
              <w:bidi w:val="0"/>
              <w:rPr>
                <w:lang w:bidi="ar-EG"/>
              </w:rPr>
            </w:pPr>
          </w:p>
        </w:tc>
        <w:tc>
          <w:tcPr>
            <w:tcW w:w="686" w:type="dxa"/>
            <w:noWrap/>
            <w:hideMark/>
          </w:tcPr>
          <w:p w14:paraId="29304491" w14:textId="77777777" w:rsidR="00855E3C" w:rsidRPr="00855E3C" w:rsidRDefault="00855E3C" w:rsidP="00855E3C">
            <w:pPr>
              <w:bidi w:val="0"/>
              <w:rPr>
                <w:lang w:bidi="ar-EG"/>
              </w:rPr>
            </w:pPr>
          </w:p>
        </w:tc>
        <w:tc>
          <w:tcPr>
            <w:tcW w:w="985" w:type="dxa"/>
            <w:noWrap/>
            <w:hideMark/>
          </w:tcPr>
          <w:p w14:paraId="3BC33389" w14:textId="77777777" w:rsidR="00855E3C" w:rsidRPr="00855E3C" w:rsidRDefault="00855E3C" w:rsidP="00855E3C">
            <w:pPr>
              <w:bidi w:val="0"/>
              <w:rPr>
                <w:lang w:bidi="ar-EG"/>
              </w:rPr>
            </w:pPr>
          </w:p>
        </w:tc>
        <w:tc>
          <w:tcPr>
            <w:tcW w:w="816" w:type="dxa"/>
            <w:noWrap/>
            <w:hideMark/>
          </w:tcPr>
          <w:p w14:paraId="4A9CE5D6" w14:textId="77777777" w:rsidR="00855E3C" w:rsidRPr="00855E3C" w:rsidRDefault="00855E3C" w:rsidP="00855E3C">
            <w:pPr>
              <w:bidi w:val="0"/>
              <w:rPr>
                <w:lang w:bidi="ar-EG"/>
              </w:rPr>
            </w:pPr>
          </w:p>
        </w:tc>
        <w:tc>
          <w:tcPr>
            <w:tcW w:w="612" w:type="dxa"/>
            <w:noWrap/>
            <w:hideMark/>
          </w:tcPr>
          <w:p w14:paraId="002A1F22" w14:textId="77777777" w:rsidR="00855E3C" w:rsidRPr="00855E3C" w:rsidRDefault="00855E3C" w:rsidP="00855E3C">
            <w:pPr>
              <w:bidi w:val="0"/>
              <w:rPr>
                <w:lang w:bidi="ar-EG"/>
              </w:rPr>
            </w:pPr>
            <w:r w:rsidRPr="00855E3C">
              <w:rPr>
                <w:lang w:bidi="ar-EG"/>
              </w:rPr>
              <w:t>•</w:t>
            </w:r>
          </w:p>
        </w:tc>
        <w:tc>
          <w:tcPr>
            <w:tcW w:w="3143" w:type="dxa"/>
            <w:noWrap/>
            <w:hideMark/>
          </w:tcPr>
          <w:p w14:paraId="6AF90D67" w14:textId="77777777" w:rsidR="00855E3C" w:rsidRPr="00855E3C" w:rsidRDefault="00855E3C" w:rsidP="00855E3C">
            <w:pPr>
              <w:bidi w:val="0"/>
              <w:rPr>
                <w:lang w:bidi="ar-EG"/>
              </w:rPr>
            </w:pPr>
            <w:r w:rsidRPr="00855E3C">
              <w:rPr>
                <w:lang w:bidi="ar-EG"/>
              </w:rPr>
              <w:t>consistent from period to period</w:t>
            </w:r>
          </w:p>
        </w:tc>
      </w:tr>
      <w:tr w:rsidR="00B44D0F" w:rsidRPr="00855E3C" w14:paraId="39CE2228" w14:textId="77777777" w:rsidTr="00B44D0F">
        <w:trPr>
          <w:trHeight w:val="285"/>
        </w:trPr>
        <w:tc>
          <w:tcPr>
            <w:tcW w:w="1052" w:type="dxa"/>
            <w:noWrap/>
            <w:hideMark/>
          </w:tcPr>
          <w:p w14:paraId="3845E7DE" w14:textId="77777777" w:rsidR="00855E3C" w:rsidRPr="00855E3C" w:rsidRDefault="00855E3C" w:rsidP="00855E3C">
            <w:pPr>
              <w:bidi w:val="0"/>
              <w:rPr>
                <w:lang w:bidi="ar-EG"/>
              </w:rPr>
            </w:pPr>
          </w:p>
        </w:tc>
        <w:tc>
          <w:tcPr>
            <w:tcW w:w="3753" w:type="dxa"/>
            <w:noWrap/>
            <w:hideMark/>
          </w:tcPr>
          <w:p w14:paraId="6CDCF900" w14:textId="77777777" w:rsidR="00855E3C" w:rsidRPr="00855E3C" w:rsidRDefault="00855E3C" w:rsidP="00855E3C">
            <w:pPr>
              <w:bidi w:val="0"/>
              <w:rPr>
                <w:lang w:bidi="ar-EG"/>
              </w:rPr>
            </w:pPr>
          </w:p>
        </w:tc>
        <w:tc>
          <w:tcPr>
            <w:tcW w:w="686" w:type="dxa"/>
            <w:noWrap/>
            <w:hideMark/>
          </w:tcPr>
          <w:p w14:paraId="74496E88" w14:textId="77777777" w:rsidR="00855E3C" w:rsidRPr="00855E3C" w:rsidRDefault="00855E3C" w:rsidP="00855E3C">
            <w:pPr>
              <w:bidi w:val="0"/>
              <w:rPr>
                <w:lang w:bidi="ar-EG"/>
              </w:rPr>
            </w:pPr>
          </w:p>
        </w:tc>
        <w:tc>
          <w:tcPr>
            <w:tcW w:w="985" w:type="dxa"/>
            <w:noWrap/>
            <w:hideMark/>
          </w:tcPr>
          <w:p w14:paraId="40224939" w14:textId="77777777" w:rsidR="00855E3C" w:rsidRPr="00855E3C" w:rsidRDefault="00855E3C" w:rsidP="00855E3C">
            <w:pPr>
              <w:bidi w:val="0"/>
              <w:rPr>
                <w:lang w:bidi="ar-EG"/>
              </w:rPr>
            </w:pPr>
          </w:p>
        </w:tc>
        <w:tc>
          <w:tcPr>
            <w:tcW w:w="816" w:type="dxa"/>
            <w:noWrap/>
            <w:hideMark/>
          </w:tcPr>
          <w:p w14:paraId="7E5FE63F" w14:textId="77777777" w:rsidR="00855E3C" w:rsidRPr="00855E3C" w:rsidRDefault="00855E3C" w:rsidP="00855E3C">
            <w:pPr>
              <w:bidi w:val="0"/>
              <w:rPr>
                <w:lang w:bidi="ar-EG"/>
              </w:rPr>
            </w:pPr>
          </w:p>
        </w:tc>
        <w:tc>
          <w:tcPr>
            <w:tcW w:w="612" w:type="dxa"/>
            <w:noWrap/>
            <w:hideMark/>
          </w:tcPr>
          <w:p w14:paraId="4010F739" w14:textId="77777777" w:rsidR="00855E3C" w:rsidRPr="00855E3C" w:rsidRDefault="00855E3C" w:rsidP="00855E3C">
            <w:pPr>
              <w:bidi w:val="0"/>
              <w:rPr>
                <w:lang w:bidi="ar-EG"/>
              </w:rPr>
            </w:pPr>
            <w:r w:rsidRPr="00855E3C">
              <w:rPr>
                <w:lang w:bidi="ar-EG"/>
              </w:rPr>
              <w:t>•</w:t>
            </w:r>
          </w:p>
        </w:tc>
        <w:tc>
          <w:tcPr>
            <w:tcW w:w="3143" w:type="dxa"/>
            <w:noWrap/>
            <w:hideMark/>
          </w:tcPr>
          <w:p w14:paraId="65E914C1" w14:textId="77777777" w:rsidR="00855E3C" w:rsidRPr="00855E3C" w:rsidRDefault="00855E3C" w:rsidP="00855E3C">
            <w:pPr>
              <w:bidi w:val="0"/>
              <w:rPr>
                <w:lang w:bidi="ar-EG"/>
              </w:rPr>
            </w:pPr>
            <w:r w:rsidRPr="00855E3C">
              <w:rPr>
                <w:lang w:bidi="ar-EG"/>
              </w:rPr>
              <w:t>no more prominent than the subtotals and totals</w:t>
            </w:r>
          </w:p>
        </w:tc>
      </w:tr>
      <w:tr w:rsidR="00855E3C" w:rsidRPr="00855E3C" w14:paraId="600ED793" w14:textId="77777777" w:rsidTr="00B44D0F">
        <w:trPr>
          <w:trHeight w:val="285"/>
        </w:trPr>
        <w:tc>
          <w:tcPr>
            <w:tcW w:w="1052" w:type="dxa"/>
            <w:noWrap/>
            <w:hideMark/>
          </w:tcPr>
          <w:p w14:paraId="34011D8B" w14:textId="77777777" w:rsidR="00855E3C" w:rsidRPr="00855E3C" w:rsidRDefault="00855E3C" w:rsidP="00855E3C">
            <w:pPr>
              <w:bidi w:val="0"/>
              <w:rPr>
                <w:lang w:bidi="ar-EG"/>
              </w:rPr>
            </w:pPr>
            <w:r w:rsidRPr="00855E3C">
              <w:rPr>
                <w:lang w:bidi="ar-EG"/>
              </w:rPr>
              <w:t>IAS 1.81A(a)</w:t>
            </w:r>
          </w:p>
        </w:tc>
        <w:tc>
          <w:tcPr>
            <w:tcW w:w="3753" w:type="dxa"/>
            <w:noWrap/>
            <w:hideMark/>
          </w:tcPr>
          <w:p w14:paraId="29D71C23" w14:textId="77777777" w:rsidR="00855E3C" w:rsidRPr="00855E3C" w:rsidRDefault="00855E3C" w:rsidP="00855E3C">
            <w:pPr>
              <w:bidi w:val="0"/>
              <w:rPr>
                <w:lang w:bidi="ar-EG"/>
              </w:rPr>
            </w:pPr>
            <w:r w:rsidRPr="00855E3C">
              <w:rPr>
                <w:lang w:bidi="ar-EG"/>
              </w:rPr>
              <w:t>Profit for the year</w:t>
            </w:r>
          </w:p>
        </w:tc>
        <w:tc>
          <w:tcPr>
            <w:tcW w:w="686" w:type="dxa"/>
            <w:noWrap/>
            <w:hideMark/>
          </w:tcPr>
          <w:p w14:paraId="3C5F3EDC" w14:textId="77777777" w:rsidR="00855E3C" w:rsidRPr="00855E3C" w:rsidRDefault="00855E3C" w:rsidP="00855E3C">
            <w:pPr>
              <w:bidi w:val="0"/>
              <w:rPr>
                <w:lang w:bidi="ar-EG"/>
              </w:rPr>
            </w:pPr>
          </w:p>
        </w:tc>
        <w:tc>
          <w:tcPr>
            <w:tcW w:w="985" w:type="dxa"/>
            <w:noWrap/>
            <w:hideMark/>
          </w:tcPr>
          <w:p w14:paraId="2CFB5717" w14:textId="77777777" w:rsidR="00855E3C" w:rsidRPr="00855E3C" w:rsidRDefault="00855E3C" w:rsidP="00855E3C">
            <w:pPr>
              <w:bidi w:val="0"/>
              <w:rPr>
                <w:lang w:bidi="ar-EG"/>
              </w:rPr>
            </w:pPr>
            <w:r w:rsidRPr="00855E3C">
              <w:rPr>
                <w:lang w:bidi="ar-EG"/>
              </w:rPr>
              <w:t>14,858</w:t>
            </w:r>
          </w:p>
        </w:tc>
        <w:tc>
          <w:tcPr>
            <w:tcW w:w="816" w:type="dxa"/>
            <w:noWrap/>
            <w:hideMark/>
          </w:tcPr>
          <w:p w14:paraId="4148C6AD" w14:textId="77777777" w:rsidR="00855E3C" w:rsidRPr="00855E3C" w:rsidRDefault="00855E3C" w:rsidP="00855E3C">
            <w:pPr>
              <w:bidi w:val="0"/>
              <w:rPr>
                <w:lang w:bidi="ar-EG"/>
              </w:rPr>
            </w:pPr>
            <w:r w:rsidRPr="00855E3C">
              <w:rPr>
                <w:lang w:bidi="ar-EG"/>
              </w:rPr>
              <w:t>11311</w:t>
            </w:r>
          </w:p>
        </w:tc>
        <w:tc>
          <w:tcPr>
            <w:tcW w:w="612" w:type="dxa"/>
            <w:noWrap/>
            <w:hideMark/>
          </w:tcPr>
          <w:p w14:paraId="1FFAB2F7" w14:textId="77777777" w:rsidR="00855E3C" w:rsidRPr="00855E3C" w:rsidRDefault="00855E3C" w:rsidP="00855E3C">
            <w:pPr>
              <w:bidi w:val="0"/>
              <w:rPr>
                <w:lang w:bidi="ar-EG"/>
              </w:rPr>
            </w:pPr>
          </w:p>
        </w:tc>
        <w:tc>
          <w:tcPr>
            <w:tcW w:w="3143" w:type="dxa"/>
            <w:noWrap/>
            <w:hideMark/>
          </w:tcPr>
          <w:p w14:paraId="6FB07895" w14:textId="77777777" w:rsidR="00855E3C" w:rsidRPr="00855E3C" w:rsidRDefault="00855E3C" w:rsidP="00855E3C">
            <w:pPr>
              <w:bidi w:val="0"/>
              <w:rPr>
                <w:lang w:bidi="ar-EG"/>
              </w:rPr>
            </w:pPr>
            <w:r w:rsidRPr="00855E3C">
              <w:rPr>
                <w:lang w:bidi="ar-EG"/>
              </w:rPr>
              <w:t>required in IFRS for the statement(s) presenting</w:t>
            </w:r>
          </w:p>
        </w:tc>
      </w:tr>
      <w:tr w:rsidR="00B44D0F" w:rsidRPr="00855E3C" w14:paraId="26E9F94E" w14:textId="77777777" w:rsidTr="00B44D0F">
        <w:trPr>
          <w:trHeight w:val="285"/>
        </w:trPr>
        <w:tc>
          <w:tcPr>
            <w:tcW w:w="1052" w:type="dxa"/>
            <w:noWrap/>
            <w:hideMark/>
          </w:tcPr>
          <w:p w14:paraId="34710E86" w14:textId="77777777" w:rsidR="00855E3C" w:rsidRPr="00855E3C" w:rsidRDefault="00855E3C" w:rsidP="00855E3C">
            <w:pPr>
              <w:bidi w:val="0"/>
              <w:rPr>
                <w:lang w:bidi="ar-EG"/>
              </w:rPr>
            </w:pPr>
          </w:p>
        </w:tc>
        <w:tc>
          <w:tcPr>
            <w:tcW w:w="3753" w:type="dxa"/>
            <w:noWrap/>
            <w:hideMark/>
          </w:tcPr>
          <w:p w14:paraId="704708A3" w14:textId="77777777" w:rsidR="00855E3C" w:rsidRPr="00855E3C" w:rsidRDefault="00855E3C" w:rsidP="00855E3C">
            <w:pPr>
              <w:bidi w:val="0"/>
              <w:rPr>
                <w:lang w:bidi="ar-EG"/>
              </w:rPr>
            </w:pPr>
          </w:p>
        </w:tc>
        <w:tc>
          <w:tcPr>
            <w:tcW w:w="686" w:type="dxa"/>
            <w:noWrap/>
            <w:hideMark/>
          </w:tcPr>
          <w:p w14:paraId="70234CDF" w14:textId="77777777" w:rsidR="00855E3C" w:rsidRPr="00855E3C" w:rsidRDefault="00855E3C" w:rsidP="00855E3C">
            <w:pPr>
              <w:bidi w:val="0"/>
              <w:rPr>
                <w:lang w:bidi="ar-EG"/>
              </w:rPr>
            </w:pPr>
          </w:p>
        </w:tc>
        <w:tc>
          <w:tcPr>
            <w:tcW w:w="985" w:type="dxa"/>
            <w:noWrap/>
            <w:hideMark/>
          </w:tcPr>
          <w:p w14:paraId="15490A5D" w14:textId="77777777" w:rsidR="00855E3C" w:rsidRPr="00855E3C" w:rsidRDefault="00855E3C" w:rsidP="00855E3C">
            <w:pPr>
              <w:bidi w:val="0"/>
              <w:rPr>
                <w:lang w:bidi="ar-EG"/>
              </w:rPr>
            </w:pPr>
          </w:p>
        </w:tc>
        <w:tc>
          <w:tcPr>
            <w:tcW w:w="816" w:type="dxa"/>
            <w:noWrap/>
            <w:hideMark/>
          </w:tcPr>
          <w:p w14:paraId="2E1F554C" w14:textId="77777777" w:rsidR="00855E3C" w:rsidRPr="00855E3C" w:rsidRDefault="00855E3C" w:rsidP="00855E3C">
            <w:pPr>
              <w:bidi w:val="0"/>
              <w:rPr>
                <w:lang w:bidi="ar-EG"/>
              </w:rPr>
            </w:pPr>
          </w:p>
        </w:tc>
        <w:tc>
          <w:tcPr>
            <w:tcW w:w="612" w:type="dxa"/>
            <w:noWrap/>
            <w:hideMark/>
          </w:tcPr>
          <w:p w14:paraId="03181157" w14:textId="77777777" w:rsidR="00855E3C" w:rsidRPr="00855E3C" w:rsidRDefault="00855E3C" w:rsidP="00855E3C">
            <w:pPr>
              <w:bidi w:val="0"/>
              <w:rPr>
                <w:lang w:bidi="ar-EG"/>
              </w:rPr>
            </w:pPr>
          </w:p>
        </w:tc>
        <w:tc>
          <w:tcPr>
            <w:tcW w:w="3143" w:type="dxa"/>
            <w:noWrap/>
            <w:hideMark/>
          </w:tcPr>
          <w:p w14:paraId="4D5DEA15" w14:textId="77777777" w:rsidR="00855E3C" w:rsidRPr="00855E3C" w:rsidRDefault="00855E3C" w:rsidP="00855E3C">
            <w:pPr>
              <w:bidi w:val="0"/>
              <w:rPr>
                <w:lang w:bidi="ar-EG"/>
              </w:rPr>
            </w:pPr>
            <w:r w:rsidRPr="00855E3C">
              <w:rPr>
                <w:lang w:bidi="ar-EG"/>
              </w:rPr>
              <w:t>profit or loss and other comprehensive income.</w:t>
            </w:r>
          </w:p>
        </w:tc>
      </w:tr>
      <w:tr w:rsidR="00855E3C" w:rsidRPr="00855E3C" w14:paraId="4FCFBB4E" w14:textId="77777777" w:rsidTr="00B44D0F">
        <w:trPr>
          <w:trHeight w:val="285"/>
        </w:trPr>
        <w:tc>
          <w:tcPr>
            <w:tcW w:w="1052" w:type="dxa"/>
            <w:noWrap/>
            <w:hideMark/>
          </w:tcPr>
          <w:p w14:paraId="790DEF5D" w14:textId="77777777" w:rsidR="00855E3C" w:rsidRPr="00855E3C" w:rsidRDefault="00855E3C" w:rsidP="00855E3C">
            <w:pPr>
              <w:bidi w:val="0"/>
              <w:rPr>
                <w:lang w:bidi="ar-EG"/>
              </w:rPr>
            </w:pPr>
          </w:p>
        </w:tc>
        <w:tc>
          <w:tcPr>
            <w:tcW w:w="3753" w:type="dxa"/>
            <w:noWrap/>
            <w:hideMark/>
          </w:tcPr>
          <w:p w14:paraId="26A4AE4F" w14:textId="77777777" w:rsidR="00855E3C" w:rsidRPr="00855E3C" w:rsidRDefault="00855E3C" w:rsidP="00855E3C">
            <w:pPr>
              <w:bidi w:val="0"/>
              <w:rPr>
                <w:lang w:bidi="ar-EG"/>
              </w:rPr>
            </w:pPr>
          </w:p>
        </w:tc>
        <w:tc>
          <w:tcPr>
            <w:tcW w:w="686" w:type="dxa"/>
            <w:noWrap/>
            <w:hideMark/>
          </w:tcPr>
          <w:p w14:paraId="16BFD95B" w14:textId="77777777" w:rsidR="00855E3C" w:rsidRPr="00855E3C" w:rsidRDefault="00855E3C" w:rsidP="00855E3C">
            <w:pPr>
              <w:bidi w:val="0"/>
              <w:rPr>
                <w:lang w:bidi="ar-EG"/>
              </w:rPr>
            </w:pPr>
          </w:p>
        </w:tc>
        <w:tc>
          <w:tcPr>
            <w:tcW w:w="985" w:type="dxa"/>
            <w:noWrap/>
            <w:hideMark/>
          </w:tcPr>
          <w:p w14:paraId="59022491" w14:textId="77777777" w:rsidR="00855E3C" w:rsidRPr="00855E3C" w:rsidRDefault="00855E3C" w:rsidP="00855E3C">
            <w:pPr>
              <w:bidi w:val="0"/>
              <w:rPr>
                <w:lang w:bidi="ar-EG"/>
              </w:rPr>
            </w:pPr>
          </w:p>
        </w:tc>
        <w:tc>
          <w:tcPr>
            <w:tcW w:w="816" w:type="dxa"/>
            <w:noWrap/>
            <w:hideMark/>
          </w:tcPr>
          <w:p w14:paraId="4241A478" w14:textId="77777777" w:rsidR="00855E3C" w:rsidRPr="00855E3C" w:rsidRDefault="00855E3C" w:rsidP="00855E3C">
            <w:pPr>
              <w:bidi w:val="0"/>
              <w:rPr>
                <w:lang w:bidi="ar-EG"/>
              </w:rPr>
            </w:pPr>
          </w:p>
        </w:tc>
        <w:tc>
          <w:tcPr>
            <w:tcW w:w="612" w:type="dxa"/>
            <w:noWrap/>
            <w:hideMark/>
          </w:tcPr>
          <w:p w14:paraId="6B4F689B" w14:textId="77777777" w:rsidR="00855E3C" w:rsidRPr="00855E3C" w:rsidRDefault="00855E3C" w:rsidP="00855E3C">
            <w:pPr>
              <w:bidi w:val="0"/>
              <w:rPr>
                <w:lang w:bidi="ar-EG"/>
              </w:rPr>
            </w:pPr>
          </w:p>
        </w:tc>
        <w:tc>
          <w:tcPr>
            <w:tcW w:w="3143" w:type="dxa"/>
            <w:noWrap/>
            <w:hideMark/>
          </w:tcPr>
          <w:p w14:paraId="606CFA6B" w14:textId="77777777" w:rsidR="00855E3C" w:rsidRPr="00855E3C" w:rsidRDefault="00855E3C" w:rsidP="00855E3C">
            <w:pPr>
              <w:bidi w:val="0"/>
              <w:rPr>
                <w:lang w:bidi="ar-EG"/>
              </w:rPr>
            </w:pPr>
            <w:r w:rsidRPr="00855E3C">
              <w:rPr>
                <w:lang w:bidi="ar-EG"/>
              </w:rPr>
              <w:t>This statement of profit or loss presents an operating</w:t>
            </w:r>
          </w:p>
        </w:tc>
      </w:tr>
      <w:tr w:rsidR="00B44D0F" w:rsidRPr="00855E3C" w14:paraId="65C03C13" w14:textId="77777777" w:rsidTr="00B44D0F">
        <w:trPr>
          <w:trHeight w:val="285"/>
        </w:trPr>
        <w:tc>
          <w:tcPr>
            <w:tcW w:w="1052" w:type="dxa"/>
            <w:noWrap/>
            <w:hideMark/>
          </w:tcPr>
          <w:p w14:paraId="6F517068" w14:textId="77777777" w:rsidR="00855E3C" w:rsidRPr="00855E3C" w:rsidRDefault="00855E3C" w:rsidP="00855E3C">
            <w:pPr>
              <w:bidi w:val="0"/>
              <w:rPr>
                <w:lang w:bidi="ar-EG"/>
              </w:rPr>
            </w:pPr>
          </w:p>
        </w:tc>
        <w:tc>
          <w:tcPr>
            <w:tcW w:w="3753" w:type="dxa"/>
            <w:noWrap/>
            <w:hideMark/>
          </w:tcPr>
          <w:p w14:paraId="22523427" w14:textId="77777777" w:rsidR="00855E3C" w:rsidRPr="00855E3C" w:rsidRDefault="00855E3C" w:rsidP="00855E3C">
            <w:pPr>
              <w:bidi w:val="0"/>
              <w:rPr>
                <w:lang w:bidi="ar-EG"/>
              </w:rPr>
            </w:pPr>
            <w:r w:rsidRPr="00855E3C">
              <w:rPr>
                <w:lang w:bidi="ar-EG"/>
              </w:rPr>
              <w:t>Profit for the year attributable to:</w:t>
            </w:r>
          </w:p>
        </w:tc>
        <w:tc>
          <w:tcPr>
            <w:tcW w:w="686" w:type="dxa"/>
            <w:noWrap/>
            <w:hideMark/>
          </w:tcPr>
          <w:p w14:paraId="46A78513" w14:textId="77777777" w:rsidR="00855E3C" w:rsidRPr="00855E3C" w:rsidRDefault="00855E3C" w:rsidP="00855E3C">
            <w:pPr>
              <w:bidi w:val="0"/>
              <w:rPr>
                <w:lang w:bidi="ar-EG"/>
              </w:rPr>
            </w:pPr>
          </w:p>
        </w:tc>
        <w:tc>
          <w:tcPr>
            <w:tcW w:w="985" w:type="dxa"/>
            <w:noWrap/>
            <w:hideMark/>
          </w:tcPr>
          <w:p w14:paraId="23A8F9A1" w14:textId="77777777" w:rsidR="00855E3C" w:rsidRPr="00855E3C" w:rsidRDefault="00855E3C" w:rsidP="00855E3C">
            <w:pPr>
              <w:bidi w:val="0"/>
              <w:rPr>
                <w:lang w:bidi="ar-EG"/>
              </w:rPr>
            </w:pPr>
          </w:p>
        </w:tc>
        <w:tc>
          <w:tcPr>
            <w:tcW w:w="816" w:type="dxa"/>
            <w:noWrap/>
            <w:hideMark/>
          </w:tcPr>
          <w:p w14:paraId="247D5328" w14:textId="77777777" w:rsidR="00855E3C" w:rsidRPr="00855E3C" w:rsidRDefault="00855E3C" w:rsidP="00855E3C">
            <w:pPr>
              <w:bidi w:val="0"/>
              <w:rPr>
                <w:lang w:bidi="ar-EG"/>
              </w:rPr>
            </w:pPr>
          </w:p>
        </w:tc>
        <w:tc>
          <w:tcPr>
            <w:tcW w:w="612" w:type="dxa"/>
            <w:noWrap/>
            <w:hideMark/>
          </w:tcPr>
          <w:p w14:paraId="76EBEBD0" w14:textId="77777777" w:rsidR="00855E3C" w:rsidRPr="00855E3C" w:rsidRDefault="00855E3C" w:rsidP="00855E3C">
            <w:pPr>
              <w:bidi w:val="0"/>
              <w:rPr>
                <w:lang w:bidi="ar-EG"/>
              </w:rPr>
            </w:pPr>
          </w:p>
        </w:tc>
        <w:tc>
          <w:tcPr>
            <w:tcW w:w="3143" w:type="dxa"/>
            <w:noWrap/>
            <w:hideMark/>
          </w:tcPr>
          <w:p w14:paraId="53C272F0" w14:textId="77777777" w:rsidR="00855E3C" w:rsidRPr="00855E3C" w:rsidRDefault="00855E3C" w:rsidP="00855E3C">
            <w:pPr>
              <w:bidi w:val="0"/>
              <w:rPr>
                <w:lang w:bidi="ar-EG"/>
              </w:rPr>
            </w:pPr>
            <w:r w:rsidRPr="00855E3C">
              <w:rPr>
                <w:lang w:bidi="ar-EG"/>
              </w:rPr>
              <w:t>profit subtotal, which is commonly seen but is not</w:t>
            </w:r>
          </w:p>
        </w:tc>
      </w:tr>
      <w:tr w:rsidR="00855E3C" w:rsidRPr="00855E3C" w14:paraId="51415CFF" w14:textId="77777777" w:rsidTr="00B44D0F">
        <w:trPr>
          <w:trHeight w:val="285"/>
        </w:trPr>
        <w:tc>
          <w:tcPr>
            <w:tcW w:w="1052" w:type="dxa"/>
            <w:noWrap/>
            <w:hideMark/>
          </w:tcPr>
          <w:p w14:paraId="1ACD8B68" w14:textId="77777777" w:rsidR="00855E3C" w:rsidRPr="00855E3C" w:rsidRDefault="00855E3C" w:rsidP="00855E3C">
            <w:pPr>
              <w:bidi w:val="0"/>
              <w:rPr>
                <w:lang w:bidi="ar-EG"/>
              </w:rPr>
            </w:pPr>
          </w:p>
        </w:tc>
        <w:tc>
          <w:tcPr>
            <w:tcW w:w="3753" w:type="dxa"/>
            <w:noWrap/>
            <w:hideMark/>
          </w:tcPr>
          <w:p w14:paraId="5A69DAD7" w14:textId="77777777" w:rsidR="00855E3C" w:rsidRPr="00855E3C" w:rsidRDefault="00855E3C" w:rsidP="00855E3C">
            <w:pPr>
              <w:bidi w:val="0"/>
              <w:rPr>
                <w:lang w:bidi="ar-EG"/>
              </w:rPr>
            </w:pPr>
          </w:p>
        </w:tc>
        <w:tc>
          <w:tcPr>
            <w:tcW w:w="686" w:type="dxa"/>
            <w:noWrap/>
            <w:hideMark/>
          </w:tcPr>
          <w:p w14:paraId="29FD3D94" w14:textId="77777777" w:rsidR="00855E3C" w:rsidRPr="00855E3C" w:rsidRDefault="00855E3C" w:rsidP="00855E3C">
            <w:pPr>
              <w:bidi w:val="0"/>
              <w:rPr>
                <w:lang w:bidi="ar-EG"/>
              </w:rPr>
            </w:pPr>
          </w:p>
        </w:tc>
        <w:tc>
          <w:tcPr>
            <w:tcW w:w="985" w:type="dxa"/>
            <w:noWrap/>
            <w:hideMark/>
          </w:tcPr>
          <w:p w14:paraId="73301793" w14:textId="77777777" w:rsidR="00855E3C" w:rsidRPr="00855E3C" w:rsidRDefault="00855E3C" w:rsidP="00855E3C">
            <w:pPr>
              <w:bidi w:val="0"/>
              <w:rPr>
                <w:lang w:bidi="ar-EG"/>
              </w:rPr>
            </w:pPr>
          </w:p>
        </w:tc>
        <w:tc>
          <w:tcPr>
            <w:tcW w:w="816" w:type="dxa"/>
            <w:noWrap/>
            <w:hideMark/>
          </w:tcPr>
          <w:p w14:paraId="1705672E" w14:textId="77777777" w:rsidR="00855E3C" w:rsidRPr="00855E3C" w:rsidRDefault="00855E3C" w:rsidP="00855E3C">
            <w:pPr>
              <w:bidi w:val="0"/>
              <w:rPr>
                <w:lang w:bidi="ar-EG"/>
              </w:rPr>
            </w:pPr>
          </w:p>
        </w:tc>
        <w:tc>
          <w:tcPr>
            <w:tcW w:w="612" w:type="dxa"/>
            <w:noWrap/>
            <w:hideMark/>
          </w:tcPr>
          <w:p w14:paraId="4553FE17" w14:textId="77777777" w:rsidR="00855E3C" w:rsidRPr="00855E3C" w:rsidRDefault="00855E3C" w:rsidP="00855E3C">
            <w:pPr>
              <w:bidi w:val="0"/>
              <w:rPr>
                <w:lang w:bidi="ar-EG"/>
              </w:rPr>
            </w:pPr>
          </w:p>
        </w:tc>
        <w:tc>
          <w:tcPr>
            <w:tcW w:w="3143" w:type="dxa"/>
            <w:noWrap/>
            <w:hideMark/>
          </w:tcPr>
          <w:p w14:paraId="4247A2E7" w14:textId="77777777" w:rsidR="00855E3C" w:rsidRPr="00855E3C" w:rsidRDefault="00855E3C" w:rsidP="00855E3C">
            <w:pPr>
              <w:bidi w:val="0"/>
              <w:rPr>
                <w:lang w:bidi="ar-EG"/>
              </w:rPr>
            </w:pPr>
            <w:r w:rsidRPr="00855E3C">
              <w:rPr>
                <w:lang w:bidi="ar-EG"/>
              </w:rPr>
              <w:t>required or defined in IFRS. Where this subtotal is</w:t>
            </w:r>
          </w:p>
        </w:tc>
      </w:tr>
      <w:tr w:rsidR="00B44D0F" w:rsidRPr="00855E3C" w14:paraId="55FB851B" w14:textId="77777777" w:rsidTr="00B44D0F">
        <w:trPr>
          <w:trHeight w:val="285"/>
        </w:trPr>
        <w:tc>
          <w:tcPr>
            <w:tcW w:w="1052" w:type="dxa"/>
            <w:noWrap/>
            <w:hideMark/>
          </w:tcPr>
          <w:p w14:paraId="53997DC0" w14:textId="77777777" w:rsidR="00855E3C" w:rsidRPr="00855E3C" w:rsidRDefault="00855E3C" w:rsidP="00855E3C">
            <w:pPr>
              <w:bidi w:val="0"/>
              <w:rPr>
                <w:lang w:bidi="ar-EG"/>
              </w:rPr>
            </w:pPr>
            <w:r w:rsidRPr="00855E3C">
              <w:rPr>
                <w:lang w:bidi="ar-EG"/>
              </w:rPr>
              <w:t>IAS 1.81B(a)(</w:t>
            </w:r>
            <w:proofErr w:type="spellStart"/>
            <w:r w:rsidRPr="00855E3C">
              <w:rPr>
                <w:lang w:bidi="ar-EG"/>
              </w:rPr>
              <w:t>i</w:t>
            </w:r>
            <w:proofErr w:type="spellEnd"/>
            <w:r w:rsidRPr="00855E3C">
              <w:rPr>
                <w:lang w:bidi="ar-EG"/>
              </w:rPr>
              <w:t>)</w:t>
            </w:r>
          </w:p>
        </w:tc>
        <w:tc>
          <w:tcPr>
            <w:tcW w:w="3753" w:type="dxa"/>
            <w:noWrap/>
            <w:hideMark/>
          </w:tcPr>
          <w:p w14:paraId="427A03CB" w14:textId="77777777" w:rsidR="00855E3C" w:rsidRPr="00855E3C" w:rsidRDefault="00855E3C" w:rsidP="00855E3C">
            <w:pPr>
              <w:bidi w:val="0"/>
              <w:rPr>
                <w:lang w:bidi="ar-EG"/>
              </w:rPr>
            </w:pPr>
            <w:r w:rsidRPr="00855E3C">
              <w:rPr>
                <w:lang w:bidi="ar-EG"/>
              </w:rPr>
              <w:t>Non-controlling interest</w:t>
            </w:r>
          </w:p>
        </w:tc>
        <w:tc>
          <w:tcPr>
            <w:tcW w:w="686" w:type="dxa"/>
            <w:noWrap/>
            <w:hideMark/>
          </w:tcPr>
          <w:p w14:paraId="5DF062CD" w14:textId="77777777" w:rsidR="00855E3C" w:rsidRPr="00855E3C" w:rsidRDefault="00855E3C" w:rsidP="00855E3C">
            <w:pPr>
              <w:bidi w:val="0"/>
              <w:rPr>
                <w:lang w:bidi="ar-EG"/>
              </w:rPr>
            </w:pPr>
          </w:p>
        </w:tc>
        <w:tc>
          <w:tcPr>
            <w:tcW w:w="985" w:type="dxa"/>
            <w:noWrap/>
            <w:hideMark/>
          </w:tcPr>
          <w:p w14:paraId="6A0B4D6E" w14:textId="77777777" w:rsidR="00855E3C" w:rsidRPr="00855E3C" w:rsidRDefault="00855E3C" w:rsidP="00855E3C">
            <w:pPr>
              <w:bidi w:val="0"/>
              <w:rPr>
                <w:lang w:bidi="ar-EG"/>
              </w:rPr>
            </w:pPr>
            <w:r w:rsidRPr="00855E3C">
              <w:rPr>
                <w:lang w:bidi="ar-EG"/>
              </w:rPr>
              <w:t>121</w:t>
            </w:r>
          </w:p>
        </w:tc>
        <w:tc>
          <w:tcPr>
            <w:tcW w:w="816" w:type="dxa"/>
            <w:noWrap/>
            <w:hideMark/>
          </w:tcPr>
          <w:p w14:paraId="4EA65192" w14:textId="77777777" w:rsidR="00855E3C" w:rsidRPr="00855E3C" w:rsidRDefault="00855E3C" w:rsidP="00855E3C">
            <w:pPr>
              <w:bidi w:val="0"/>
              <w:rPr>
                <w:lang w:bidi="ar-EG"/>
              </w:rPr>
            </w:pPr>
            <w:r w:rsidRPr="00855E3C">
              <w:rPr>
                <w:lang w:bidi="ar-EG"/>
              </w:rPr>
              <w:t>116</w:t>
            </w:r>
          </w:p>
        </w:tc>
        <w:tc>
          <w:tcPr>
            <w:tcW w:w="612" w:type="dxa"/>
            <w:noWrap/>
            <w:hideMark/>
          </w:tcPr>
          <w:p w14:paraId="5D943B5C" w14:textId="77777777" w:rsidR="00855E3C" w:rsidRPr="00855E3C" w:rsidRDefault="00855E3C" w:rsidP="00855E3C">
            <w:pPr>
              <w:bidi w:val="0"/>
              <w:rPr>
                <w:lang w:bidi="ar-EG"/>
              </w:rPr>
            </w:pPr>
          </w:p>
        </w:tc>
        <w:tc>
          <w:tcPr>
            <w:tcW w:w="3143" w:type="dxa"/>
            <w:noWrap/>
            <w:hideMark/>
          </w:tcPr>
          <w:p w14:paraId="1AB612CA" w14:textId="77777777" w:rsidR="00855E3C" w:rsidRPr="00855E3C" w:rsidRDefault="00855E3C" w:rsidP="00855E3C">
            <w:pPr>
              <w:bidi w:val="0"/>
              <w:rPr>
                <w:lang w:bidi="ar-EG"/>
              </w:rPr>
            </w:pPr>
            <w:r w:rsidRPr="00855E3C">
              <w:rPr>
                <w:lang w:bidi="ar-EG"/>
              </w:rPr>
              <w:t>provided, the figure disclosed should include items</w:t>
            </w:r>
          </w:p>
        </w:tc>
      </w:tr>
      <w:tr w:rsidR="00B44D0F" w:rsidRPr="00855E3C" w14:paraId="35037E97" w14:textId="77777777" w:rsidTr="00B44D0F">
        <w:trPr>
          <w:trHeight w:val="285"/>
        </w:trPr>
        <w:tc>
          <w:tcPr>
            <w:tcW w:w="1052" w:type="dxa"/>
            <w:noWrap/>
            <w:hideMark/>
          </w:tcPr>
          <w:p w14:paraId="2D2E3FB7" w14:textId="77777777" w:rsidR="00B44D0F" w:rsidRPr="00855E3C" w:rsidRDefault="00B44D0F" w:rsidP="00855E3C">
            <w:pPr>
              <w:bidi w:val="0"/>
              <w:rPr>
                <w:lang w:bidi="ar-EG"/>
              </w:rPr>
            </w:pPr>
          </w:p>
        </w:tc>
        <w:tc>
          <w:tcPr>
            <w:tcW w:w="3753" w:type="dxa"/>
            <w:noWrap/>
            <w:hideMark/>
          </w:tcPr>
          <w:p w14:paraId="624F2054" w14:textId="77777777" w:rsidR="00B44D0F" w:rsidRPr="00855E3C" w:rsidRDefault="00B44D0F" w:rsidP="00855E3C">
            <w:pPr>
              <w:bidi w:val="0"/>
              <w:rPr>
                <w:lang w:bidi="ar-EG"/>
              </w:rPr>
            </w:pPr>
            <w:r w:rsidRPr="00855E3C">
              <w:rPr>
                <w:lang w:bidi="ar-EG"/>
              </w:rPr>
              <w:t>IAS 1.81B(a)(ii) Owners of the parent</w:t>
            </w:r>
          </w:p>
        </w:tc>
        <w:tc>
          <w:tcPr>
            <w:tcW w:w="686" w:type="dxa"/>
            <w:noWrap/>
            <w:hideMark/>
          </w:tcPr>
          <w:p w14:paraId="10980FFC" w14:textId="77777777" w:rsidR="00B44D0F" w:rsidRPr="00855E3C" w:rsidRDefault="00B44D0F" w:rsidP="00855E3C">
            <w:pPr>
              <w:bidi w:val="0"/>
              <w:rPr>
                <w:lang w:bidi="ar-EG"/>
              </w:rPr>
            </w:pPr>
          </w:p>
        </w:tc>
        <w:tc>
          <w:tcPr>
            <w:tcW w:w="985" w:type="dxa"/>
            <w:noWrap/>
            <w:hideMark/>
          </w:tcPr>
          <w:p w14:paraId="34A9E561" w14:textId="77777777" w:rsidR="00B44D0F" w:rsidRPr="00855E3C" w:rsidRDefault="00B44D0F" w:rsidP="00855E3C">
            <w:pPr>
              <w:bidi w:val="0"/>
              <w:rPr>
                <w:lang w:bidi="ar-EG"/>
              </w:rPr>
            </w:pPr>
            <w:r w:rsidRPr="00855E3C">
              <w:rPr>
                <w:lang w:bidi="ar-EG"/>
              </w:rPr>
              <w:t>14,737</w:t>
            </w:r>
          </w:p>
        </w:tc>
        <w:tc>
          <w:tcPr>
            <w:tcW w:w="816" w:type="dxa"/>
            <w:noWrap/>
            <w:hideMark/>
          </w:tcPr>
          <w:p w14:paraId="74D181DE" w14:textId="77777777" w:rsidR="00B44D0F" w:rsidRPr="00855E3C" w:rsidRDefault="00B44D0F" w:rsidP="00855E3C">
            <w:pPr>
              <w:bidi w:val="0"/>
              <w:rPr>
                <w:lang w:bidi="ar-EG"/>
              </w:rPr>
            </w:pPr>
            <w:r w:rsidRPr="00855E3C">
              <w:rPr>
                <w:lang w:bidi="ar-EG"/>
              </w:rPr>
              <w:t>11195</w:t>
            </w:r>
          </w:p>
        </w:tc>
        <w:tc>
          <w:tcPr>
            <w:tcW w:w="612" w:type="dxa"/>
            <w:noWrap/>
            <w:hideMark/>
          </w:tcPr>
          <w:p w14:paraId="2470145E" w14:textId="77777777" w:rsidR="00B44D0F" w:rsidRPr="00855E3C" w:rsidRDefault="00B44D0F" w:rsidP="00855E3C">
            <w:pPr>
              <w:bidi w:val="0"/>
              <w:rPr>
                <w:lang w:bidi="ar-EG"/>
              </w:rPr>
            </w:pPr>
          </w:p>
        </w:tc>
        <w:tc>
          <w:tcPr>
            <w:tcW w:w="3143" w:type="dxa"/>
            <w:vMerge w:val="restart"/>
            <w:noWrap/>
            <w:hideMark/>
          </w:tcPr>
          <w:p w14:paraId="7B3C7C50" w14:textId="77777777" w:rsidR="00B44D0F" w:rsidRPr="00855E3C" w:rsidRDefault="00B44D0F" w:rsidP="00855E3C">
            <w:pPr>
              <w:bidi w:val="0"/>
              <w:rPr>
                <w:lang w:bidi="ar-EG"/>
              </w:rPr>
            </w:pPr>
            <w:r w:rsidRPr="00855E3C">
              <w:rPr>
                <w:lang w:bidi="ar-EG"/>
              </w:rPr>
              <w:t>that would normally be considered to be operating.</w:t>
            </w:r>
          </w:p>
          <w:p w14:paraId="12BD7BBE" w14:textId="77777777" w:rsidR="00B44D0F" w:rsidRPr="00855E3C" w:rsidRDefault="00B44D0F" w:rsidP="00855E3C">
            <w:pPr>
              <w:bidi w:val="0"/>
              <w:rPr>
                <w:lang w:bidi="ar-EG"/>
              </w:rPr>
            </w:pPr>
            <w:r w:rsidRPr="00855E3C">
              <w:rPr>
                <w:lang w:bidi="ar-EG"/>
              </w:rPr>
              <w:t>It is inappropriate to exclude items clearly related</w:t>
            </w:r>
          </w:p>
          <w:p w14:paraId="7ACA1138" w14:textId="0A40DF06" w:rsidR="00B44D0F" w:rsidRPr="00855E3C" w:rsidRDefault="00B44D0F" w:rsidP="00855E3C">
            <w:pPr>
              <w:bidi w:val="0"/>
              <w:rPr>
                <w:lang w:bidi="ar-EG"/>
              </w:rPr>
            </w:pPr>
            <w:r w:rsidRPr="00855E3C">
              <w:rPr>
                <w:lang w:bidi="ar-EG"/>
              </w:rPr>
              <w:lastRenderedPageBreak/>
              <w:t>to operations (</w:t>
            </w:r>
            <w:proofErr w:type="spellStart"/>
            <w:r w:rsidRPr="00855E3C">
              <w:rPr>
                <w:lang w:bidi="ar-EG"/>
              </w:rPr>
              <w:t>eg</w:t>
            </w:r>
            <w:proofErr w:type="spellEnd"/>
            <w:r w:rsidRPr="00855E3C">
              <w:rPr>
                <w:lang w:bidi="ar-EG"/>
              </w:rPr>
              <w:t xml:space="preserve"> inventory write-downs and</w:t>
            </w:r>
          </w:p>
        </w:tc>
      </w:tr>
      <w:tr w:rsidR="00B44D0F" w:rsidRPr="00855E3C" w14:paraId="5EB483D6" w14:textId="77777777" w:rsidTr="00B44D0F">
        <w:trPr>
          <w:trHeight w:val="285"/>
        </w:trPr>
        <w:tc>
          <w:tcPr>
            <w:tcW w:w="1052" w:type="dxa"/>
            <w:noWrap/>
            <w:hideMark/>
          </w:tcPr>
          <w:p w14:paraId="621C3A66" w14:textId="77777777" w:rsidR="00B44D0F" w:rsidRPr="00855E3C" w:rsidRDefault="00B44D0F" w:rsidP="00855E3C">
            <w:pPr>
              <w:bidi w:val="0"/>
              <w:rPr>
                <w:lang w:bidi="ar-EG"/>
              </w:rPr>
            </w:pPr>
          </w:p>
        </w:tc>
        <w:tc>
          <w:tcPr>
            <w:tcW w:w="3753" w:type="dxa"/>
            <w:noWrap/>
            <w:hideMark/>
          </w:tcPr>
          <w:p w14:paraId="6FF94932" w14:textId="77777777" w:rsidR="00B44D0F" w:rsidRPr="00855E3C" w:rsidRDefault="00B44D0F" w:rsidP="00855E3C">
            <w:pPr>
              <w:bidi w:val="0"/>
              <w:rPr>
                <w:lang w:bidi="ar-EG"/>
              </w:rPr>
            </w:pPr>
          </w:p>
        </w:tc>
        <w:tc>
          <w:tcPr>
            <w:tcW w:w="686" w:type="dxa"/>
            <w:noWrap/>
            <w:hideMark/>
          </w:tcPr>
          <w:p w14:paraId="497A03D1" w14:textId="77777777" w:rsidR="00B44D0F" w:rsidRPr="00855E3C" w:rsidRDefault="00B44D0F" w:rsidP="00855E3C">
            <w:pPr>
              <w:bidi w:val="0"/>
              <w:rPr>
                <w:lang w:bidi="ar-EG"/>
              </w:rPr>
            </w:pPr>
          </w:p>
        </w:tc>
        <w:tc>
          <w:tcPr>
            <w:tcW w:w="985" w:type="dxa"/>
            <w:noWrap/>
            <w:hideMark/>
          </w:tcPr>
          <w:p w14:paraId="68F13E1E" w14:textId="77777777" w:rsidR="00B44D0F" w:rsidRPr="00855E3C" w:rsidRDefault="00B44D0F" w:rsidP="00855E3C">
            <w:pPr>
              <w:bidi w:val="0"/>
              <w:rPr>
                <w:lang w:bidi="ar-EG"/>
              </w:rPr>
            </w:pPr>
          </w:p>
        </w:tc>
        <w:tc>
          <w:tcPr>
            <w:tcW w:w="816" w:type="dxa"/>
            <w:noWrap/>
            <w:hideMark/>
          </w:tcPr>
          <w:p w14:paraId="09E8F2E6" w14:textId="77777777" w:rsidR="00B44D0F" w:rsidRPr="00855E3C" w:rsidRDefault="00B44D0F" w:rsidP="00855E3C">
            <w:pPr>
              <w:bidi w:val="0"/>
              <w:rPr>
                <w:lang w:bidi="ar-EG"/>
              </w:rPr>
            </w:pPr>
          </w:p>
        </w:tc>
        <w:tc>
          <w:tcPr>
            <w:tcW w:w="612" w:type="dxa"/>
            <w:noWrap/>
            <w:hideMark/>
          </w:tcPr>
          <w:p w14:paraId="48BB078B" w14:textId="77777777" w:rsidR="00B44D0F" w:rsidRPr="00855E3C" w:rsidRDefault="00B44D0F" w:rsidP="00855E3C">
            <w:pPr>
              <w:bidi w:val="0"/>
              <w:rPr>
                <w:lang w:bidi="ar-EG"/>
              </w:rPr>
            </w:pPr>
          </w:p>
        </w:tc>
        <w:tc>
          <w:tcPr>
            <w:tcW w:w="3143" w:type="dxa"/>
            <w:vMerge/>
            <w:noWrap/>
            <w:hideMark/>
          </w:tcPr>
          <w:p w14:paraId="4A1D3CDB" w14:textId="528350BE" w:rsidR="00B44D0F" w:rsidRPr="00855E3C" w:rsidRDefault="00B44D0F" w:rsidP="00855E3C">
            <w:pPr>
              <w:bidi w:val="0"/>
              <w:rPr>
                <w:lang w:bidi="ar-EG"/>
              </w:rPr>
            </w:pPr>
          </w:p>
        </w:tc>
      </w:tr>
      <w:tr w:rsidR="00B44D0F" w:rsidRPr="00855E3C" w14:paraId="5EF63FAB" w14:textId="77777777" w:rsidTr="00B44D0F">
        <w:trPr>
          <w:trHeight w:val="285"/>
        </w:trPr>
        <w:tc>
          <w:tcPr>
            <w:tcW w:w="1052" w:type="dxa"/>
            <w:noWrap/>
            <w:hideMark/>
          </w:tcPr>
          <w:p w14:paraId="4E328042" w14:textId="77777777" w:rsidR="00B44D0F" w:rsidRPr="00855E3C" w:rsidRDefault="00B44D0F" w:rsidP="00855E3C">
            <w:pPr>
              <w:bidi w:val="0"/>
              <w:rPr>
                <w:lang w:bidi="ar-EG"/>
              </w:rPr>
            </w:pPr>
          </w:p>
        </w:tc>
        <w:tc>
          <w:tcPr>
            <w:tcW w:w="3753" w:type="dxa"/>
            <w:noWrap/>
            <w:hideMark/>
          </w:tcPr>
          <w:p w14:paraId="026F43D0" w14:textId="77777777" w:rsidR="00B44D0F" w:rsidRPr="00855E3C" w:rsidRDefault="00B44D0F" w:rsidP="00855E3C">
            <w:pPr>
              <w:bidi w:val="0"/>
              <w:rPr>
                <w:lang w:bidi="ar-EG"/>
              </w:rPr>
            </w:pPr>
          </w:p>
        </w:tc>
        <w:tc>
          <w:tcPr>
            <w:tcW w:w="686" w:type="dxa"/>
            <w:noWrap/>
            <w:hideMark/>
          </w:tcPr>
          <w:p w14:paraId="01894241" w14:textId="77777777" w:rsidR="00B44D0F" w:rsidRPr="00855E3C" w:rsidRDefault="00B44D0F" w:rsidP="00855E3C">
            <w:pPr>
              <w:bidi w:val="0"/>
              <w:rPr>
                <w:lang w:bidi="ar-EG"/>
              </w:rPr>
            </w:pPr>
          </w:p>
        </w:tc>
        <w:tc>
          <w:tcPr>
            <w:tcW w:w="985" w:type="dxa"/>
            <w:noWrap/>
            <w:hideMark/>
          </w:tcPr>
          <w:p w14:paraId="09BF7A3B" w14:textId="77777777" w:rsidR="00B44D0F" w:rsidRPr="00855E3C" w:rsidRDefault="00B44D0F" w:rsidP="00855E3C">
            <w:pPr>
              <w:bidi w:val="0"/>
              <w:rPr>
                <w:lang w:bidi="ar-EG"/>
              </w:rPr>
            </w:pPr>
            <w:r w:rsidRPr="00855E3C">
              <w:rPr>
                <w:lang w:bidi="ar-EG"/>
              </w:rPr>
              <w:t>14,858</w:t>
            </w:r>
          </w:p>
        </w:tc>
        <w:tc>
          <w:tcPr>
            <w:tcW w:w="816" w:type="dxa"/>
            <w:noWrap/>
            <w:hideMark/>
          </w:tcPr>
          <w:p w14:paraId="11C0DFE7" w14:textId="77777777" w:rsidR="00B44D0F" w:rsidRPr="00855E3C" w:rsidRDefault="00B44D0F" w:rsidP="00855E3C">
            <w:pPr>
              <w:bidi w:val="0"/>
              <w:rPr>
                <w:lang w:bidi="ar-EG"/>
              </w:rPr>
            </w:pPr>
            <w:r w:rsidRPr="00855E3C">
              <w:rPr>
                <w:lang w:bidi="ar-EG"/>
              </w:rPr>
              <w:t>11311</w:t>
            </w:r>
          </w:p>
        </w:tc>
        <w:tc>
          <w:tcPr>
            <w:tcW w:w="612" w:type="dxa"/>
            <w:noWrap/>
            <w:hideMark/>
          </w:tcPr>
          <w:p w14:paraId="2F5A69A8" w14:textId="77777777" w:rsidR="00B44D0F" w:rsidRPr="00855E3C" w:rsidRDefault="00B44D0F" w:rsidP="00855E3C">
            <w:pPr>
              <w:bidi w:val="0"/>
              <w:rPr>
                <w:lang w:bidi="ar-EG"/>
              </w:rPr>
            </w:pPr>
          </w:p>
        </w:tc>
        <w:tc>
          <w:tcPr>
            <w:tcW w:w="3143" w:type="dxa"/>
            <w:vMerge/>
            <w:noWrap/>
            <w:hideMark/>
          </w:tcPr>
          <w:p w14:paraId="3A941BAB" w14:textId="12E82B21" w:rsidR="00B44D0F" w:rsidRPr="00855E3C" w:rsidRDefault="00B44D0F" w:rsidP="00855E3C">
            <w:pPr>
              <w:bidi w:val="0"/>
              <w:rPr>
                <w:lang w:bidi="ar-EG"/>
              </w:rPr>
            </w:pPr>
          </w:p>
        </w:tc>
      </w:tr>
      <w:tr w:rsidR="00B44D0F" w:rsidRPr="00855E3C" w14:paraId="4F04E834" w14:textId="77777777" w:rsidTr="00B44D0F">
        <w:trPr>
          <w:trHeight w:val="285"/>
        </w:trPr>
        <w:tc>
          <w:tcPr>
            <w:tcW w:w="1052" w:type="dxa"/>
            <w:noWrap/>
            <w:hideMark/>
          </w:tcPr>
          <w:p w14:paraId="27F56714" w14:textId="77777777" w:rsidR="00855E3C" w:rsidRPr="00855E3C" w:rsidRDefault="00855E3C" w:rsidP="00855E3C">
            <w:pPr>
              <w:bidi w:val="0"/>
              <w:rPr>
                <w:lang w:bidi="ar-EG"/>
              </w:rPr>
            </w:pPr>
          </w:p>
        </w:tc>
        <w:tc>
          <w:tcPr>
            <w:tcW w:w="3753" w:type="dxa"/>
            <w:noWrap/>
            <w:hideMark/>
          </w:tcPr>
          <w:p w14:paraId="0C802995" w14:textId="77777777" w:rsidR="00855E3C" w:rsidRPr="00855E3C" w:rsidRDefault="00855E3C" w:rsidP="00855E3C">
            <w:pPr>
              <w:bidi w:val="0"/>
              <w:rPr>
                <w:lang w:bidi="ar-EG"/>
              </w:rPr>
            </w:pPr>
          </w:p>
        </w:tc>
        <w:tc>
          <w:tcPr>
            <w:tcW w:w="686" w:type="dxa"/>
            <w:noWrap/>
            <w:hideMark/>
          </w:tcPr>
          <w:p w14:paraId="2BC7FF43" w14:textId="77777777" w:rsidR="00855E3C" w:rsidRPr="00855E3C" w:rsidRDefault="00855E3C" w:rsidP="00855E3C">
            <w:pPr>
              <w:bidi w:val="0"/>
              <w:rPr>
                <w:lang w:bidi="ar-EG"/>
              </w:rPr>
            </w:pPr>
          </w:p>
        </w:tc>
        <w:tc>
          <w:tcPr>
            <w:tcW w:w="985" w:type="dxa"/>
            <w:noWrap/>
            <w:hideMark/>
          </w:tcPr>
          <w:p w14:paraId="329887C8" w14:textId="77777777" w:rsidR="00855E3C" w:rsidRPr="00855E3C" w:rsidRDefault="00855E3C" w:rsidP="00855E3C">
            <w:pPr>
              <w:bidi w:val="0"/>
              <w:rPr>
                <w:lang w:bidi="ar-EG"/>
              </w:rPr>
            </w:pPr>
          </w:p>
        </w:tc>
        <w:tc>
          <w:tcPr>
            <w:tcW w:w="816" w:type="dxa"/>
            <w:noWrap/>
            <w:hideMark/>
          </w:tcPr>
          <w:p w14:paraId="209DC05A" w14:textId="77777777" w:rsidR="00855E3C" w:rsidRPr="00855E3C" w:rsidRDefault="00855E3C" w:rsidP="00855E3C">
            <w:pPr>
              <w:bidi w:val="0"/>
              <w:rPr>
                <w:lang w:bidi="ar-EG"/>
              </w:rPr>
            </w:pPr>
          </w:p>
        </w:tc>
        <w:tc>
          <w:tcPr>
            <w:tcW w:w="612" w:type="dxa"/>
            <w:noWrap/>
            <w:hideMark/>
          </w:tcPr>
          <w:p w14:paraId="5EE8F51D" w14:textId="77777777" w:rsidR="00855E3C" w:rsidRPr="00855E3C" w:rsidRDefault="00855E3C" w:rsidP="00855E3C">
            <w:pPr>
              <w:bidi w:val="0"/>
              <w:rPr>
                <w:lang w:bidi="ar-EG"/>
              </w:rPr>
            </w:pPr>
          </w:p>
        </w:tc>
        <w:tc>
          <w:tcPr>
            <w:tcW w:w="3143" w:type="dxa"/>
            <w:noWrap/>
            <w:hideMark/>
          </w:tcPr>
          <w:p w14:paraId="2A10511F" w14:textId="77777777" w:rsidR="00855E3C" w:rsidRPr="00855E3C" w:rsidRDefault="00855E3C" w:rsidP="00855E3C">
            <w:pPr>
              <w:bidi w:val="0"/>
              <w:rPr>
                <w:lang w:bidi="ar-EG"/>
              </w:rPr>
            </w:pPr>
            <w:r w:rsidRPr="00855E3C">
              <w:rPr>
                <w:lang w:bidi="ar-EG"/>
              </w:rPr>
              <w:t>restructuring and relocation expenses) on the basis</w:t>
            </w:r>
          </w:p>
        </w:tc>
      </w:tr>
      <w:tr w:rsidR="00855E3C" w:rsidRPr="00855E3C" w14:paraId="0F848EC2" w14:textId="77777777" w:rsidTr="00B44D0F">
        <w:trPr>
          <w:trHeight w:val="285"/>
        </w:trPr>
        <w:tc>
          <w:tcPr>
            <w:tcW w:w="1052" w:type="dxa"/>
            <w:noWrap/>
            <w:hideMark/>
          </w:tcPr>
          <w:p w14:paraId="0A4CF9D8" w14:textId="77777777" w:rsidR="00855E3C" w:rsidRPr="00855E3C" w:rsidRDefault="00855E3C" w:rsidP="00855E3C">
            <w:pPr>
              <w:bidi w:val="0"/>
              <w:rPr>
                <w:lang w:bidi="ar-EG"/>
              </w:rPr>
            </w:pPr>
          </w:p>
        </w:tc>
        <w:tc>
          <w:tcPr>
            <w:tcW w:w="3753" w:type="dxa"/>
            <w:noWrap/>
            <w:hideMark/>
          </w:tcPr>
          <w:p w14:paraId="46199CF9" w14:textId="77777777" w:rsidR="00855E3C" w:rsidRPr="00855E3C" w:rsidRDefault="00855E3C" w:rsidP="00855E3C">
            <w:pPr>
              <w:bidi w:val="0"/>
              <w:rPr>
                <w:lang w:bidi="ar-EG"/>
              </w:rPr>
            </w:pPr>
          </w:p>
        </w:tc>
        <w:tc>
          <w:tcPr>
            <w:tcW w:w="686" w:type="dxa"/>
            <w:noWrap/>
            <w:hideMark/>
          </w:tcPr>
          <w:p w14:paraId="5FA7DD90" w14:textId="77777777" w:rsidR="00855E3C" w:rsidRPr="00855E3C" w:rsidRDefault="00855E3C" w:rsidP="00855E3C">
            <w:pPr>
              <w:bidi w:val="0"/>
              <w:rPr>
                <w:lang w:bidi="ar-EG"/>
              </w:rPr>
            </w:pPr>
          </w:p>
        </w:tc>
        <w:tc>
          <w:tcPr>
            <w:tcW w:w="985" w:type="dxa"/>
            <w:noWrap/>
            <w:hideMark/>
          </w:tcPr>
          <w:p w14:paraId="45EBC6BD" w14:textId="77777777" w:rsidR="00855E3C" w:rsidRPr="00855E3C" w:rsidRDefault="00855E3C" w:rsidP="00855E3C">
            <w:pPr>
              <w:bidi w:val="0"/>
              <w:rPr>
                <w:lang w:bidi="ar-EG"/>
              </w:rPr>
            </w:pPr>
          </w:p>
        </w:tc>
        <w:tc>
          <w:tcPr>
            <w:tcW w:w="816" w:type="dxa"/>
            <w:noWrap/>
            <w:hideMark/>
          </w:tcPr>
          <w:p w14:paraId="013409F2" w14:textId="77777777" w:rsidR="00855E3C" w:rsidRPr="00855E3C" w:rsidRDefault="00855E3C" w:rsidP="00855E3C">
            <w:pPr>
              <w:bidi w:val="0"/>
              <w:rPr>
                <w:lang w:bidi="ar-EG"/>
              </w:rPr>
            </w:pPr>
          </w:p>
        </w:tc>
        <w:tc>
          <w:tcPr>
            <w:tcW w:w="612" w:type="dxa"/>
            <w:noWrap/>
            <w:hideMark/>
          </w:tcPr>
          <w:p w14:paraId="446E2EC1" w14:textId="77777777" w:rsidR="00855E3C" w:rsidRPr="00855E3C" w:rsidRDefault="00855E3C" w:rsidP="00855E3C">
            <w:pPr>
              <w:bidi w:val="0"/>
              <w:rPr>
                <w:lang w:bidi="ar-EG"/>
              </w:rPr>
            </w:pPr>
          </w:p>
        </w:tc>
        <w:tc>
          <w:tcPr>
            <w:tcW w:w="3143" w:type="dxa"/>
            <w:noWrap/>
            <w:hideMark/>
          </w:tcPr>
          <w:p w14:paraId="5204718A" w14:textId="77777777" w:rsidR="00855E3C" w:rsidRPr="00855E3C" w:rsidRDefault="00855E3C" w:rsidP="00855E3C">
            <w:pPr>
              <w:bidi w:val="0"/>
              <w:rPr>
                <w:lang w:bidi="ar-EG"/>
              </w:rPr>
            </w:pPr>
            <w:r w:rsidRPr="00855E3C">
              <w:rPr>
                <w:lang w:bidi="ar-EG"/>
              </w:rPr>
              <w:t>they do not occur regularly or are unusual in amount</w:t>
            </w:r>
          </w:p>
        </w:tc>
      </w:tr>
      <w:tr w:rsidR="00B44D0F" w:rsidRPr="00855E3C" w14:paraId="18A6DB61" w14:textId="77777777" w:rsidTr="00B44D0F">
        <w:trPr>
          <w:trHeight w:val="285"/>
        </w:trPr>
        <w:tc>
          <w:tcPr>
            <w:tcW w:w="1052" w:type="dxa"/>
            <w:noWrap/>
            <w:hideMark/>
          </w:tcPr>
          <w:p w14:paraId="6B6550DC" w14:textId="77777777" w:rsidR="00855E3C" w:rsidRPr="00855E3C" w:rsidRDefault="00855E3C" w:rsidP="00855E3C">
            <w:pPr>
              <w:bidi w:val="0"/>
              <w:rPr>
                <w:lang w:bidi="ar-EG"/>
              </w:rPr>
            </w:pPr>
          </w:p>
        </w:tc>
        <w:tc>
          <w:tcPr>
            <w:tcW w:w="3753" w:type="dxa"/>
            <w:noWrap/>
            <w:hideMark/>
          </w:tcPr>
          <w:p w14:paraId="28DC0474" w14:textId="77777777" w:rsidR="00855E3C" w:rsidRPr="00855E3C" w:rsidRDefault="00855E3C" w:rsidP="00855E3C">
            <w:pPr>
              <w:bidi w:val="0"/>
              <w:rPr>
                <w:lang w:bidi="ar-EG"/>
              </w:rPr>
            </w:pPr>
          </w:p>
        </w:tc>
        <w:tc>
          <w:tcPr>
            <w:tcW w:w="686" w:type="dxa"/>
            <w:noWrap/>
            <w:hideMark/>
          </w:tcPr>
          <w:p w14:paraId="1BA3ABC9" w14:textId="77777777" w:rsidR="00855E3C" w:rsidRPr="00855E3C" w:rsidRDefault="00855E3C" w:rsidP="00855E3C">
            <w:pPr>
              <w:bidi w:val="0"/>
              <w:rPr>
                <w:lang w:bidi="ar-EG"/>
              </w:rPr>
            </w:pPr>
            <w:r w:rsidRPr="00855E3C">
              <w:rPr>
                <w:lang w:bidi="ar-EG"/>
              </w:rPr>
              <w:t>Notes</w:t>
            </w:r>
          </w:p>
        </w:tc>
        <w:tc>
          <w:tcPr>
            <w:tcW w:w="985" w:type="dxa"/>
            <w:noWrap/>
            <w:hideMark/>
          </w:tcPr>
          <w:p w14:paraId="71020918" w14:textId="77777777" w:rsidR="00855E3C" w:rsidRPr="00855E3C" w:rsidRDefault="00855E3C" w:rsidP="00855E3C">
            <w:pPr>
              <w:bidi w:val="0"/>
              <w:rPr>
                <w:lang w:bidi="ar-EG"/>
              </w:rPr>
            </w:pPr>
            <w:r w:rsidRPr="00855E3C">
              <w:rPr>
                <w:lang w:bidi="ar-EG"/>
              </w:rPr>
              <w:t>2021</w:t>
            </w:r>
          </w:p>
        </w:tc>
        <w:tc>
          <w:tcPr>
            <w:tcW w:w="816" w:type="dxa"/>
            <w:noWrap/>
            <w:hideMark/>
          </w:tcPr>
          <w:p w14:paraId="7623DE11" w14:textId="77777777" w:rsidR="00855E3C" w:rsidRPr="00855E3C" w:rsidRDefault="00855E3C" w:rsidP="00855E3C">
            <w:pPr>
              <w:bidi w:val="0"/>
              <w:rPr>
                <w:lang w:bidi="ar-EG"/>
              </w:rPr>
            </w:pPr>
            <w:r w:rsidRPr="00855E3C">
              <w:rPr>
                <w:lang w:bidi="ar-EG"/>
              </w:rPr>
              <w:t>2020</w:t>
            </w:r>
          </w:p>
        </w:tc>
        <w:tc>
          <w:tcPr>
            <w:tcW w:w="612" w:type="dxa"/>
            <w:noWrap/>
            <w:hideMark/>
          </w:tcPr>
          <w:p w14:paraId="590B3839" w14:textId="77777777" w:rsidR="00855E3C" w:rsidRPr="00855E3C" w:rsidRDefault="00855E3C" w:rsidP="00855E3C">
            <w:pPr>
              <w:bidi w:val="0"/>
              <w:rPr>
                <w:lang w:bidi="ar-EG"/>
              </w:rPr>
            </w:pPr>
          </w:p>
        </w:tc>
        <w:tc>
          <w:tcPr>
            <w:tcW w:w="3143" w:type="dxa"/>
            <w:noWrap/>
            <w:hideMark/>
          </w:tcPr>
          <w:p w14:paraId="1E78BAE6" w14:textId="77777777" w:rsidR="00855E3C" w:rsidRPr="00855E3C" w:rsidRDefault="00855E3C" w:rsidP="00855E3C">
            <w:pPr>
              <w:bidi w:val="0"/>
              <w:rPr>
                <w:lang w:bidi="ar-EG"/>
              </w:rPr>
            </w:pPr>
            <w:r w:rsidRPr="00855E3C">
              <w:rPr>
                <w:lang w:bidi="ar-EG"/>
              </w:rPr>
              <w:t>(IAS 1.BC56).</w:t>
            </w:r>
          </w:p>
        </w:tc>
      </w:tr>
      <w:tr w:rsidR="00855E3C" w:rsidRPr="00855E3C" w14:paraId="63131A25" w14:textId="77777777" w:rsidTr="00B44D0F">
        <w:trPr>
          <w:trHeight w:val="285"/>
        </w:trPr>
        <w:tc>
          <w:tcPr>
            <w:tcW w:w="1052" w:type="dxa"/>
            <w:noWrap/>
            <w:hideMark/>
          </w:tcPr>
          <w:p w14:paraId="543AD933" w14:textId="77777777" w:rsidR="00855E3C" w:rsidRPr="00855E3C" w:rsidRDefault="00855E3C" w:rsidP="00855E3C">
            <w:pPr>
              <w:bidi w:val="0"/>
              <w:rPr>
                <w:lang w:bidi="ar-EG"/>
              </w:rPr>
            </w:pPr>
          </w:p>
        </w:tc>
        <w:tc>
          <w:tcPr>
            <w:tcW w:w="3753" w:type="dxa"/>
            <w:noWrap/>
            <w:hideMark/>
          </w:tcPr>
          <w:p w14:paraId="70AB65DF" w14:textId="77777777" w:rsidR="00855E3C" w:rsidRPr="00855E3C" w:rsidRDefault="00855E3C" w:rsidP="00855E3C">
            <w:pPr>
              <w:bidi w:val="0"/>
              <w:rPr>
                <w:lang w:bidi="ar-EG"/>
              </w:rPr>
            </w:pPr>
            <w:r w:rsidRPr="00855E3C">
              <w:rPr>
                <w:lang w:bidi="ar-EG"/>
              </w:rPr>
              <w:t>Earnings per share</w:t>
            </w:r>
          </w:p>
        </w:tc>
        <w:tc>
          <w:tcPr>
            <w:tcW w:w="686" w:type="dxa"/>
            <w:noWrap/>
            <w:hideMark/>
          </w:tcPr>
          <w:p w14:paraId="7A700EE0" w14:textId="77777777" w:rsidR="00855E3C" w:rsidRPr="00855E3C" w:rsidRDefault="00855E3C" w:rsidP="00855E3C">
            <w:pPr>
              <w:bidi w:val="0"/>
              <w:rPr>
                <w:lang w:bidi="ar-EG"/>
              </w:rPr>
            </w:pPr>
            <w:r w:rsidRPr="00855E3C">
              <w:rPr>
                <w:lang w:bidi="ar-EG"/>
              </w:rPr>
              <w:t>30</w:t>
            </w:r>
          </w:p>
        </w:tc>
        <w:tc>
          <w:tcPr>
            <w:tcW w:w="985" w:type="dxa"/>
            <w:noWrap/>
            <w:hideMark/>
          </w:tcPr>
          <w:p w14:paraId="37F792C0" w14:textId="77777777" w:rsidR="00855E3C" w:rsidRPr="00855E3C" w:rsidRDefault="00855E3C" w:rsidP="00855E3C">
            <w:pPr>
              <w:bidi w:val="0"/>
              <w:rPr>
                <w:lang w:bidi="ar-EG"/>
              </w:rPr>
            </w:pPr>
          </w:p>
        </w:tc>
        <w:tc>
          <w:tcPr>
            <w:tcW w:w="816" w:type="dxa"/>
            <w:noWrap/>
            <w:hideMark/>
          </w:tcPr>
          <w:p w14:paraId="2FC58E77" w14:textId="77777777" w:rsidR="00855E3C" w:rsidRPr="00855E3C" w:rsidRDefault="00855E3C" w:rsidP="00855E3C">
            <w:pPr>
              <w:bidi w:val="0"/>
              <w:rPr>
                <w:lang w:bidi="ar-EG"/>
              </w:rPr>
            </w:pPr>
          </w:p>
        </w:tc>
        <w:tc>
          <w:tcPr>
            <w:tcW w:w="612" w:type="dxa"/>
            <w:noWrap/>
            <w:hideMark/>
          </w:tcPr>
          <w:p w14:paraId="48F74658" w14:textId="77777777" w:rsidR="00855E3C" w:rsidRPr="00855E3C" w:rsidRDefault="00855E3C" w:rsidP="00855E3C">
            <w:pPr>
              <w:bidi w:val="0"/>
              <w:rPr>
                <w:lang w:bidi="ar-EG"/>
              </w:rPr>
            </w:pPr>
          </w:p>
        </w:tc>
        <w:tc>
          <w:tcPr>
            <w:tcW w:w="3143" w:type="dxa"/>
            <w:noWrap/>
            <w:hideMark/>
          </w:tcPr>
          <w:p w14:paraId="51527303" w14:textId="77777777" w:rsidR="00855E3C" w:rsidRPr="00855E3C" w:rsidRDefault="00855E3C" w:rsidP="00855E3C">
            <w:pPr>
              <w:bidi w:val="0"/>
              <w:rPr>
                <w:lang w:bidi="ar-EG"/>
              </w:rPr>
            </w:pPr>
            <w:r w:rsidRPr="00855E3C">
              <w:rPr>
                <w:lang w:bidi="ar-EG"/>
              </w:rPr>
              <w:t>This statement of profit or loss includes an amount</w:t>
            </w:r>
          </w:p>
        </w:tc>
      </w:tr>
      <w:tr w:rsidR="00B44D0F" w:rsidRPr="00855E3C" w14:paraId="025875B2" w14:textId="77777777" w:rsidTr="00B44D0F">
        <w:trPr>
          <w:trHeight w:val="285"/>
        </w:trPr>
        <w:tc>
          <w:tcPr>
            <w:tcW w:w="1052" w:type="dxa"/>
            <w:noWrap/>
            <w:hideMark/>
          </w:tcPr>
          <w:p w14:paraId="6EDEF865" w14:textId="77777777" w:rsidR="00855E3C" w:rsidRPr="00855E3C" w:rsidRDefault="00855E3C" w:rsidP="00855E3C">
            <w:pPr>
              <w:bidi w:val="0"/>
              <w:rPr>
                <w:lang w:bidi="ar-EG"/>
              </w:rPr>
            </w:pPr>
          </w:p>
        </w:tc>
        <w:tc>
          <w:tcPr>
            <w:tcW w:w="3753" w:type="dxa"/>
            <w:noWrap/>
            <w:hideMark/>
          </w:tcPr>
          <w:p w14:paraId="7AEC3DAA" w14:textId="77777777" w:rsidR="00855E3C" w:rsidRPr="00855E3C" w:rsidRDefault="00855E3C" w:rsidP="00855E3C">
            <w:pPr>
              <w:bidi w:val="0"/>
              <w:rPr>
                <w:lang w:bidi="ar-EG"/>
              </w:rPr>
            </w:pPr>
          </w:p>
        </w:tc>
        <w:tc>
          <w:tcPr>
            <w:tcW w:w="686" w:type="dxa"/>
            <w:noWrap/>
            <w:hideMark/>
          </w:tcPr>
          <w:p w14:paraId="54069014" w14:textId="77777777" w:rsidR="00855E3C" w:rsidRPr="00855E3C" w:rsidRDefault="00855E3C" w:rsidP="00855E3C">
            <w:pPr>
              <w:bidi w:val="0"/>
              <w:rPr>
                <w:lang w:bidi="ar-EG"/>
              </w:rPr>
            </w:pPr>
          </w:p>
        </w:tc>
        <w:tc>
          <w:tcPr>
            <w:tcW w:w="985" w:type="dxa"/>
            <w:noWrap/>
            <w:hideMark/>
          </w:tcPr>
          <w:p w14:paraId="1AD229B5" w14:textId="77777777" w:rsidR="00855E3C" w:rsidRPr="00855E3C" w:rsidRDefault="00855E3C" w:rsidP="00855E3C">
            <w:pPr>
              <w:bidi w:val="0"/>
              <w:rPr>
                <w:lang w:bidi="ar-EG"/>
              </w:rPr>
            </w:pPr>
          </w:p>
        </w:tc>
        <w:tc>
          <w:tcPr>
            <w:tcW w:w="816" w:type="dxa"/>
            <w:noWrap/>
            <w:hideMark/>
          </w:tcPr>
          <w:p w14:paraId="0B96C173" w14:textId="77777777" w:rsidR="00855E3C" w:rsidRPr="00855E3C" w:rsidRDefault="00855E3C" w:rsidP="00855E3C">
            <w:pPr>
              <w:bidi w:val="0"/>
              <w:rPr>
                <w:lang w:bidi="ar-EG"/>
              </w:rPr>
            </w:pPr>
          </w:p>
        </w:tc>
        <w:tc>
          <w:tcPr>
            <w:tcW w:w="612" w:type="dxa"/>
            <w:noWrap/>
            <w:hideMark/>
          </w:tcPr>
          <w:p w14:paraId="31881133" w14:textId="77777777" w:rsidR="00855E3C" w:rsidRPr="00855E3C" w:rsidRDefault="00855E3C" w:rsidP="00855E3C">
            <w:pPr>
              <w:bidi w:val="0"/>
              <w:rPr>
                <w:lang w:bidi="ar-EG"/>
              </w:rPr>
            </w:pPr>
          </w:p>
        </w:tc>
        <w:tc>
          <w:tcPr>
            <w:tcW w:w="3143" w:type="dxa"/>
            <w:noWrap/>
            <w:hideMark/>
          </w:tcPr>
          <w:p w14:paraId="4C08A2C0" w14:textId="77777777" w:rsidR="00855E3C" w:rsidRPr="00855E3C" w:rsidRDefault="00855E3C" w:rsidP="00855E3C">
            <w:pPr>
              <w:bidi w:val="0"/>
              <w:rPr>
                <w:lang w:bidi="ar-EG"/>
              </w:rPr>
            </w:pPr>
            <w:r w:rsidRPr="00855E3C">
              <w:rPr>
                <w:lang w:bidi="ar-EG"/>
              </w:rPr>
              <w:t>representing the entity’s share of profit from equity</w:t>
            </w:r>
          </w:p>
        </w:tc>
      </w:tr>
      <w:tr w:rsidR="00855E3C" w:rsidRPr="00855E3C" w14:paraId="6ACF9D11" w14:textId="77777777" w:rsidTr="00B44D0F">
        <w:trPr>
          <w:trHeight w:val="285"/>
        </w:trPr>
        <w:tc>
          <w:tcPr>
            <w:tcW w:w="1052" w:type="dxa"/>
            <w:noWrap/>
            <w:hideMark/>
          </w:tcPr>
          <w:p w14:paraId="16A7EE41" w14:textId="77777777" w:rsidR="00855E3C" w:rsidRPr="00855E3C" w:rsidRDefault="00855E3C" w:rsidP="00855E3C">
            <w:pPr>
              <w:bidi w:val="0"/>
              <w:rPr>
                <w:lang w:bidi="ar-EG"/>
              </w:rPr>
            </w:pPr>
            <w:r w:rsidRPr="00855E3C">
              <w:rPr>
                <w:lang w:bidi="ar-EG"/>
              </w:rPr>
              <w:t>IAS 33.67A</w:t>
            </w:r>
          </w:p>
        </w:tc>
        <w:tc>
          <w:tcPr>
            <w:tcW w:w="3753" w:type="dxa"/>
            <w:noWrap/>
            <w:hideMark/>
          </w:tcPr>
          <w:p w14:paraId="436BFD1F" w14:textId="77777777" w:rsidR="00855E3C" w:rsidRPr="00855E3C" w:rsidRDefault="00855E3C" w:rsidP="00855E3C">
            <w:pPr>
              <w:bidi w:val="0"/>
              <w:rPr>
                <w:lang w:bidi="ar-EG"/>
              </w:rPr>
            </w:pPr>
            <w:r w:rsidRPr="00855E3C">
              <w:rPr>
                <w:lang w:bidi="ar-EG"/>
              </w:rPr>
              <w:t>Basic earnings (loss) per share</w:t>
            </w:r>
          </w:p>
        </w:tc>
        <w:tc>
          <w:tcPr>
            <w:tcW w:w="686" w:type="dxa"/>
            <w:noWrap/>
            <w:hideMark/>
          </w:tcPr>
          <w:p w14:paraId="20DA6003" w14:textId="77777777" w:rsidR="00855E3C" w:rsidRPr="00855E3C" w:rsidRDefault="00855E3C" w:rsidP="00855E3C">
            <w:pPr>
              <w:bidi w:val="0"/>
              <w:rPr>
                <w:lang w:bidi="ar-EG"/>
              </w:rPr>
            </w:pPr>
          </w:p>
        </w:tc>
        <w:tc>
          <w:tcPr>
            <w:tcW w:w="985" w:type="dxa"/>
            <w:noWrap/>
            <w:hideMark/>
          </w:tcPr>
          <w:p w14:paraId="74A20D15" w14:textId="77777777" w:rsidR="00855E3C" w:rsidRPr="00855E3C" w:rsidRDefault="00855E3C" w:rsidP="00855E3C">
            <w:pPr>
              <w:bidi w:val="0"/>
              <w:rPr>
                <w:lang w:bidi="ar-EG"/>
              </w:rPr>
            </w:pPr>
          </w:p>
        </w:tc>
        <w:tc>
          <w:tcPr>
            <w:tcW w:w="816" w:type="dxa"/>
            <w:noWrap/>
            <w:hideMark/>
          </w:tcPr>
          <w:p w14:paraId="07DCCF1A" w14:textId="77777777" w:rsidR="00855E3C" w:rsidRPr="00855E3C" w:rsidRDefault="00855E3C" w:rsidP="00855E3C">
            <w:pPr>
              <w:bidi w:val="0"/>
              <w:rPr>
                <w:lang w:bidi="ar-EG"/>
              </w:rPr>
            </w:pPr>
          </w:p>
        </w:tc>
        <w:tc>
          <w:tcPr>
            <w:tcW w:w="612" w:type="dxa"/>
            <w:noWrap/>
            <w:hideMark/>
          </w:tcPr>
          <w:p w14:paraId="3D01BE49" w14:textId="77777777" w:rsidR="00855E3C" w:rsidRPr="00855E3C" w:rsidRDefault="00855E3C" w:rsidP="00855E3C">
            <w:pPr>
              <w:bidi w:val="0"/>
              <w:rPr>
                <w:lang w:bidi="ar-EG"/>
              </w:rPr>
            </w:pPr>
          </w:p>
        </w:tc>
        <w:tc>
          <w:tcPr>
            <w:tcW w:w="3143" w:type="dxa"/>
            <w:noWrap/>
            <w:hideMark/>
          </w:tcPr>
          <w:p w14:paraId="06EDC5F3" w14:textId="77777777" w:rsidR="00855E3C" w:rsidRPr="00855E3C" w:rsidRDefault="00855E3C" w:rsidP="00855E3C">
            <w:pPr>
              <w:bidi w:val="0"/>
              <w:rPr>
                <w:lang w:bidi="ar-EG"/>
              </w:rPr>
            </w:pPr>
            <w:r w:rsidRPr="00855E3C">
              <w:rPr>
                <w:lang w:bidi="ar-EG"/>
              </w:rPr>
              <w:t>accounted investments (after tax and, if applicable,</w:t>
            </w:r>
          </w:p>
        </w:tc>
      </w:tr>
      <w:tr w:rsidR="00B44D0F" w:rsidRPr="00855E3C" w14:paraId="76B92BD2" w14:textId="77777777" w:rsidTr="00B44D0F">
        <w:trPr>
          <w:trHeight w:val="285"/>
        </w:trPr>
        <w:tc>
          <w:tcPr>
            <w:tcW w:w="1052" w:type="dxa"/>
            <w:noWrap/>
            <w:hideMark/>
          </w:tcPr>
          <w:p w14:paraId="39C9924F" w14:textId="77777777" w:rsidR="00855E3C" w:rsidRPr="00855E3C" w:rsidRDefault="00855E3C" w:rsidP="00855E3C">
            <w:pPr>
              <w:bidi w:val="0"/>
              <w:rPr>
                <w:lang w:bidi="ar-EG"/>
              </w:rPr>
            </w:pPr>
          </w:p>
        </w:tc>
        <w:tc>
          <w:tcPr>
            <w:tcW w:w="3753" w:type="dxa"/>
            <w:noWrap/>
            <w:hideMark/>
          </w:tcPr>
          <w:p w14:paraId="04FEA15E" w14:textId="77777777" w:rsidR="00855E3C" w:rsidRPr="00855E3C" w:rsidRDefault="00855E3C" w:rsidP="00855E3C">
            <w:pPr>
              <w:bidi w:val="0"/>
              <w:rPr>
                <w:lang w:bidi="ar-EG"/>
              </w:rPr>
            </w:pPr>
          </w:p>
        </w:tc>
        <w:tc>
          <w:tcPr>
            <w:tcW w:w="686" w:type="dxa"/>
            <w:noWrap/>
            <w:hideMark/>
          </w:tcPr>
          <w:p w14:paraId="37813D42" w14:textId="77777777" w:rsidR="00855E3C" w:rsidRPr="00855E3C" w:rsidRDefault="00855E3C" w:rsidP="00855E3C">
            <w:pPr>
              <w:bidi w:val="0"/>
              <w:rPr>
                <w:lang w:bidi="ar-EG"/>
              </w:rPr>
            </w:pPr>
          </w:p>
        </w:tc>
        <w:tc>
          <w:tcPr>
            <w:tcW w:w="985" w:type="dxa"/>
            <w:noWrap/>
            <w:hideMark/>
          </w:tcPr>
          <w:p w14:paraId="7417E9F6" w14:textId="77777777" w:rsidR="00855E3C" w:rsidRPr="00855E3C" w:rsidRDefault="00855E3C" w:rsidP="00855E3C">
            <w:pPr>
              <w:bidi w:val="0"/>
              <w:rPr>
                <w:lang w:bidi="ar-EG"/>
              </w:rPr>
            </w:pPr>
          </w:p>
        </w:tc>
        <w:tc>
          <w:tcPr>
            <w:tcW w:w="816" w:type="dxa"/>
            <w:noWrap/>
            <w:hideMark/>
          </w:tcPr>
          <w:p w14:paraId="54776C2A" w14:textId="77777777" w:rsidR="00855E3C" w:rsidRPr="00855E3C" w:rsidRDefault="00855E3C" w:rsidP="00855E3C">
            <w:pPr>
              <w:bidi w:val="0"/>
              <w:rPr>
                <w:lang w:bidi="ar-EG"/>
              </w:rPr>
            </w:pPr>
          </w:p>
        </w:tc>
        <w:tc>
          <w:tcPr>
            <w:tcW w:w="612" w:type="dxa"/>
            <w:noWrap/>
            <w:hideMark/>
          </w:tcPr>
          <w:p w14:paraId="047D7362" w14:textId="77777777" w:rsidR="00855E3C" w:rsidRPr="00855E3C" w:rsidRDefault="00855E3C" w:rsidP="00855E3C">
            <w:pPr>
              <w:bidi w:val="0"/>
              <w:rPr>
                <w:lang w:bidi="ar-EG"/>
              </w:rPr>
            </w:pPr>
          </w:p>
        </w:tc>
        <w:tc>
          <w:tcPr>
            <w:tcW w:w="3143" w:type="dxa"/>
            <w:noWrap/>
            <w:hideMark/>
          </w:tcPr>
          <w:p w14:paraId="5BC02E32" w14:textId="77777777" w:rsidR="00855E3C" w:rsidRPr="00855E3C" w:rsidRDefault="00855E3C" w:rsidP="00855E3C">
            <w:pPr>
              <w:bidi w:val="0"/>
              <w:rPr>
                <w:lang w:bidi="ar-EG"/>
              </w:rPr>
            </w:pPr>
            <w:r w:rsidRPr="00855E3C">
              <w:rPr>
                <w:lang w:bidi="ar-EG"/>
              </w:rPr>
              <w:t>non-controlling interest).</w:t>
            </w:r>
          </w:p>
        </w:tc>
      </w:tr>
      <w:tr w:rsidR="00855E3C" w:rsidRPr="00855E3C" w14:paraId="1D500A4C" w14:textId="77777777" w:rsidTr="00B44D0F">
        <w:trPr>
          <w:trHeight w:val="285"/>
        </w:trPr>
        <w:tc>
          <w:tcPr>
            <w:tcW w:w="1052" w:type="dxa"/>
            <w:noWrap/>
            <w:hideMark/>
          </w:tcPr>
          <w:p w14:paraId="38D31A90" w14:textId="77777777" w:rsidR="00855E3C" w:rsidRPr="00855E3C" w:rsidRDefault="00855E3C" w:rsidP="00855E3C">
            <w:pPr>
              <w:bidi w:val="0"/>
              <w:rPr>
                <w:lang w:bidi="ar-EG"/>
              </w:rPr>
            </w:pPr>
            <w:r w:rsidRPr="00855E3C">
              <w:rPr>
                <w:lang w:bidi="ar-EG"/>
              </w:rPr>
              <w:t>IAS 33.66</w:t>
            </w:r>
          </w:p>
        </w:tc>
        <w:tc>
          <w:tcPr>
            <w:tcW w:w="3753" w:type="dxa"/>
            <w:noWrap/>
            <w:hideMark/>
          </w:tcPr>
          <w:p w14:paraId="15AEE925" w14:textId="77777777" w:rsidR="00855E3C" w:rsidRPr="00855E3C" w:rsidRDefault="00855E3C" w:rsidP="00855E3C">
            <w:pPr>
              <w:bidi w:val="0"/>
              <w:rPr>
                <w:lang w:bidi="ar-EG"/>
              </w:rPr>
            </w:pPr>
            <w:r w:rsidRPr="00855E3C">
              <w:rPr>
                <w:lang w:bidi="ar-EG"/>
              </w:rPr>
              <w:t>– From continuing operations</w:t>
            </w:r>
          </w:p>
        </w:tc>
        <w:tc>
          <w:tcPr>
            <w:tcW w:w="686" w:type="dxa"/>
            <w:noWrap/>
            <w:hideMark/>
          </w:tcPr>
          <w:p w14:paraId="7232FA51" w14:textId="77777777" w:rsidR="00855E3C" w:rsidRPr="00855E3C" w:rsidRDefault="00855E3C" w:rsidP="00855E3C">
            <w:pPr>
              <w:bidi w:val="0"/>
              <w:rPr>
                <w:lang w:bidi="ar-EG"/>
              </w:rPr>
            </w:pPr>
          </w:p>
        </w:tc>
        <w:tc>
          <w:tcPr>
            <w:tcW w:w="985" w:type="dxa"/>
            <w:noWrap/>
            <w:hideMark/>
          </w:tcPr>
          <w:p w14:paraId="28B9F960" w14:textId="77777777" w:rsidR="00855E3C" w:rsidRPr="00855E3C" w:rsidRDefault="00855E3C" w:rsidP="00855E3C">
            <w:pPr>
              <w:bidi w:val="0"/>
              <w:rPr>
                <w:lang w:bidi="ar-EG"/>
              </w:rPr>
            </w:pPr>
            <w:r w:rsidRPr="00855E3C">
              <w:rPr>
                <w:lang w:bidi="ar-EG"/>
              </w:rPr>
              <w:t>1.19</w:t>
            </w:r>
          </w:p>
        </w:tc>
        <w:tc>
          <w:tcPr>
            <w:tcW w:w="816" w:type="dxa"/>
            <w:noWrap/>
            <w:hideMark/>
          </w:tcPr>
          <w:p w14:paraId="01A0ACC6" w14:textId="77777777" w:rsidR="00855E3C" w:rsidRPr="00855E3C" w:rsidRDefault="00855E3C" w:rsidP="00855E3C">
            <w:pPr>
              <w:bidi w:val="0"/>
              <w:rPr>
                <w:lang w:bidi="ar-EG"/>
              </w:rPr>
            </w:pPr>
            <w:r w:rsidRPr="00855E3C">
              <w:rPr>
                <w:lang w:bidi="ar-EG"/>
              </w:rPr>
              <w:t>0.93</w:t>
            </w:r>
          </w:p>
        </w:tc>
        <w:tc>
          <w:tcPr>
            <w:tcW w:w="612" w:type="dxa"/>
            <w:noWrap/>
            <w:hideMark/>
          </w:tcPr>
          <w:p w14:paraId="0C10D3B1" w14:textId="77777777" w:rsidR="00855E3C" w:rsidRPr="00855E3C" w:rsidRDefault="00855E3C" w:rsidP="00855E3C">
            <w:pPr>
              <w:bidi w:val="0"/>
              <w:rPr>
                <w:lang w:bidi="ar-EG"/>
              </w:rPr>
            </w:pPr>
          </w:p>
        </w:tc>
        <w:tc>
          <w:tcPr>
            <w:tcW w:w="3143" w:type="dxa"/>
            <w:noWrap/>
            <w:hideMark/>
          </w:tcPr>
          <w:p w14:paraId="7C95E3C5" w14:textId="77777777" w:rsidR="00855E3C" w:rsidRPr="00855E3C" w:rsidRDefault="00855E3C" w:rsidP="00855E3C">
            <w:pPr>
              <w:bidi w:val="0"/>
              <w:rPr>
                <w:lang w:bidi="ar-EG"/>
              </w:rPr>
            </w:pPr>
          </w:p>
        </w:tc>
      </w:tr>
      <w:tr w:rsidR="00B44D0F" w:rsidRPr="00855E3C" w14:paraId="2923D14A" w14:textId="77777777" w:rsidTr="00B44D0F">
        <w:trPr>
          <w:trHeight w:val="285"/>
        </w:trPr>
        <w:tc>
          <w:tcPr>
            <w:tcW w:w="1052" w:type="dxa"/>
            <w:noWrap/>
            <w:hideMark/>
          </w:tcPr>
          <w:p w14:paraId="22A7BBEF" w14:textId="77777777" w:rsidR="00855E3C" w:rsidRPr="00855E3C" w:rsidRDefault="00855E3C" w:rsidP="00855E3C">
            <w:pPr>
              <w:bidi w:val="0"/>
              <w:rPr>
                <w:lang w:bidi="ar-EG"/>
              </w:rPr>
            </w:pPr>
            <w:r w:rsidRPr="00855E3C">
              <w:rPr>
                <w:lang w:bidi="ar-EG"/>
              </w:rPr>
              <w:t>IAS 33.68A</w:t>
            </w:r>
          </w:p>
        </w:tc>
        <w:tc>
          <w:tcPr>
            <w:tcW w:w="3753" w:type="dxa"/>
            <w:noWrap/>
            <w:hideMark/>
          </w:tcPr>
          <w:p w14:paraId="17E18DC1" w14:textId="77777777" w:rsidR="00855E3C" w:rsidRPr="00855E3C" w:rsidRDefault="00855E3C" w:rsidP="00855E3C">
            <w:pPr>
              <w:bidi w:val="0"/>
              <w:rPr>
                <w:lang w:bidi="ar-EG"/>
              </w:rPr>
            </w:pPr>
            <w:r w:rsidRPr="00855E3C">
              <w:rPr>
                <w:lang w:bidi="ar-EG"/>
              </w:rPr>
              <w:t>– From discontinued operations</w:t>
            </w:r>
          </w:p>
        </w:tc>
        <w:tc>
          <w:tcPr>
            <w:tcW w:w="686" w:type="dxa"/>
            <w:noWrap/>
            <w:hideMark/>
          </w:tcPr>
          <w:p w14:paraId="4307D4FE" w14:textId="77777777" w:rsidR="00855E3C" w:rsidRPr="00855E3C" w:rsidRDefault="00855E3C" w:rsidP="00855E3C">
            <w:pPr>
              <w:bidi w:val="0"/>
              <w:rPr>
                <w:lang w:bidi="ar-EG"/>
              </w:rPr>
            </w:pPr>
          </w:p>
        </w:tc>
        <w:tc>
          <w:tcPr>
            <w:tcW w:w="985" w:type="dxa"/>
            <w:noWrap/>
            <w:hideMark/>
          </w:tcPr>
          <w:p w14:paraId="1E82F0BD" w14:textId="77777777" w:rsidR="00855E3C" w:rsidRPr="00855E3C" w:rsidRDefault="00855E3C" w:rsidP="00855E3C">
            <w:pPr>
              <w:bidi w:val="0"/>
              <w:rPr>
                <w:lang w:bidi="ar-EG"/>
              </w:rPr>
            </w:pPr>
            <w:r w:rsidRPr="00855E3C">
              <w:rPr>
                <w:lang w:bidi="ar-EG"/>
              </w:rPr>
              <w:t>(0.00)</w:t>
            </w:r>
          </w:p>
        </w:tc>
        <w:tc>
          <w:tcPr>
            <w:tcW w:w="816" w:type="dxa"/>
            <w:noWrap/>
            <w:hideMark/>
          </w:tcPr>
          <w:p w14:paraId="205A3BAF" w14:textId="77777777" w:rsidR="00855E3C" w:rsidRPr="00855E3C" w:rsidRDefault="00855E3C" w:rsidP="00855E3C">
            <w:pPr>
              <w:bidi w:val="0"/>
              <w:rPr>
                <w:lang w:bidi="ar-EG"/>
              </w:rPr>
            </w:pPr>
            <w:r w:rsidRPr="00855E3C">
              <w:rPr>
                <w:lang w:bidi="ar-EG"/>
              </w:rPr>
              <w:t>-0.03</w:t>
            </w:r>
          </w:p>
        </w:tc>
        <w:tc>
          <w:tcPr>
            <w:tcW w:w="612" w:type="dxa"/>
            <w:noWrap/>
            <w:hideMark/>
          </w:tcPr>
          <w:p w14:paraId="40B064D1" w14:textId="77777777" w:rsidR="00855E3C" w:rsidRPr="00855E3C" w:rsidRDefault="00855E3C" w:rsidP="00855E3C">
            <w:pPr>
              <w:bidi w:val="0"/>
              <w:rPr>
                <w:lang w:bidi="ar-EG"/>
              </w:rPr>
            </w:pPr>
          </w:p>
        </w:tc>
        <w:tc>
          <w:tcPr>
            <w:tcW w:w="3143" w:type="dxa"/>
            <w:noWrap/>
            <w:hideMark/>
          </w:tcPr>
          <w:p w14:paraId="4A188143" w14:textId="77777777" w:rsidR="00855E3C" w:rsidRPr="00855E3C" w:rsidRDefault="00855E3C" w:rsidP="00855E3C">
            <w:pPr>
              <w:bidi w:val="0"/>
              <w:rPr>
                <w:lang w:bidi="ar-EG"/>
              </w:rPr>
            </w:pPr>
          </w:p>
        </w:tc>
      </w:tr>
      <w:tr w:rsidR="00855E3C" w:rsidRPr="00855E3C" w14:paraId="298910E4" w14:textId="77777777" w:rsidTr="00B44D0F">
        <w:trPr>
          <w:trHeight w:val="285"/>
        </w:trPr>
        <w:tc>
          <w:tcPr>
            <w:tcW w:w="1052" w:type="dxa"/>
            <w:noWrap/>
            <w:hideMark/>
          </w:tcPr>
          <w:p w14:paraId="5E20D794" w14:textId="77777777" w:rsidR="00855E3C" w:rsidRPr="00855E3C" w:rsidRDefault="00855E3C" w:rsidP="00855E3C">
            <w:pPr>
              <w:bidi w:val="0"/>
              <w:rPr>
                <w:lang w:bidi="ar-EG"/>
              </w:rPr>
            </w:pPr>
            <w:r w:rsidRPr="00855E3C">
              <w:rPr>
                <w:lang w:bidi="ar-EG"/>
              </w:rPr>
              <w:t>IAS 33.66</w:t>
            </w:r>
          </w:p>
        </w:tc>
        <w:tc>
          <w:tcPr>
            <w:tcW w:w="3753" w:type="dxa"/>
            <w:noWrap/>
            <w:hideMark/>
          </w:tcPr>
          <w:p w14:paraId="2CFB1E7C" w14:textId="77777777" w:rsidR="00855E3C" w:rsidRPr="00855E3C" w:rsidRDefault="00855E3C" w:rsidP="00855E3C">
            <w:pPr>
              <w:bidi w:val="0"/>
              <w:rPr>
                <w:lang w:bidi="ar-EG"/>
              </w:rPr>
            </w:pPr>
            <w:r w:rsidRPr="00855E3C">
              <w:rPr>
                <w:lang w:bidi="ar-EG"/>
              </w:rPr>
              <w:t>Total</w:t>
            </w:r>
          </w:p>
        </w:tc>
        <w:tc>
          <w:tcPr>
            <w:tcW w:w="686" w:type="dxa"/>
            <w:noWrap/>
            <w:hideMark/>
          </w:tcPr>
          <w:p w14:paraId="38CD4D18" w14:textId="77777777" w:rsidR="00855E3C" w:rsidRPr="00855E3C" w:rsidRDefault="00855E3C" w:rsidP="00855E3C">
            <w:pPr>
              <w:bidi w:val="0"/>
              <w:rPr>
                <w:lang w:bidi="ar-EG"/>
              </w:rPr>
            </w:pPr>
          </w:p>
        </w:tc>
        <w:tc>
          <w:tcPr>
            <w:tcW w:w="985" w:type="dxa"/>
            <w:noWrap/>
            <w:hideMark/>
          </w:tcPr>
          <w:p w14:paraId="37136796" w14:textId="77777777" w:rsidR="00855E3C" w:rsidRPr="00855E3C" w:rsidRDefault="00855E3C" w:rsidP="00855E3C">
            <w:pPr>
              <w:bidi w:val="0"/>
              <w:rPr>
                <w:lang w:bidi="ar-EG"/>
              </w:rPr>
            </w:pPr>
            <w:r w:rsidRPr="00855E3C">
              <w:rPr>
                <w:lang w:bidi="ar-EG"/>
              </w:rPr>
              <w:t>1.19</w:t>
            </w:r>
          </w:p>
        </w:tc>
        <w:tc>
          <w:tcPr>
            <w:tcW w:w="816" w:type="dxa"/>
            <w:noWrap/>
            <w:hideMark/>
          </w:tcPr>
          <w:p w14:paraId="7E79C579" w14:textId="77777777" w:rsidR="00855E3C" w:rsidRPr="00855E3C" w:rsidRDefault="00855E3C" w:rsidP="00855E3C">
            <w:pPr>
              <w:bidi w:val="0"/>
              <w:rPr>
                <w:lang w:bidi="ar-EG"/>
              </w:rPr>
            </w:pPr>
            <w:r w:rsidRPr="00855E3C">
              <w:rPr>
                <w:lang w:bidi="ar-EG"/>
              </w:rPr>
              <w:t>0.9</w:t>
            </w:r>
          </w:p>
        </w:tc>
        <w:tc>
          <w:tcPr>
            <w:tcW w:w="612" w:type="dxa"/>
            <w:noWrap/>
            <w:hideMark/>
          </w:tcPr>
          <w:p w14:paraId="2099A6F3" w14:textId="77777777" w:rsidR="00855E3C" w:rsidRPr="00855E3C" w:rsidRDefault="00855E3C" w:rsidP="00855E3C">
            <w:pPr>
              <w:bidi w:val="0"/>
              <w:rPr>
                <w:lang w:bidi="ar-EG"/>
              </w:rPr>
            </w:pPr>
          </w:p>
        </w:tc>
        <w:tc>
          <w:tcPr>
            <w:tcW w:w="3143" w:type="dxa"/>
            <w:noWrap/>
            <w:hideMark/>
          </w:tcPr>
          <w:p w14:paraId="41A672A6" w14:textId="77777777" w:rsidR="00855E3C" w:rsidRPr="00855E3C" w:rsidRDefault="00855E3C" w:rsidP="00855E3C">
            <w:pPr>
              <w:bidi w:val="0"/>
              <w:rPr>
                <w:lang w:bidi="ar-EG"/>
              </w:rPr>
            </w:pPr>
          </w:p>
        </w:tc>
      </w:tr>
      <w:tr w:rsidR="00B44D0F" w:rsidRPr="00855E3C" w14:paraId="799B13EE" w14:textId="77777777" w:rsidTr="00B44D0F">
        <w:trPr>
          <w:trHeight w:val="285"/>
        </w:trPr>
        <w:tc>
          <w:tcPr>
            <w:tcW w:w="1052" w:type="dxa"/>
            <w:noWrap/>
            <w:hideMark/>
          </w:tcPr>
          <w:p w14:paraId="0A59B25B" w14:textId="77777777" w:rsidR="00855E3C" w:rsidRPr="00855E3C" w:rsidRDefault="00855E3C" w:rsidP="00855E3C">
            <w:pPr>
              <w:bidi w:val="0"/>
              <w:rPr>
                <w:lang w:bidi="ar-EG"/>
              </w:rPr>
            </w:pPr>
            <w:r w:rsidRPr="00855E3C">
              <w:rPr>
                <w:lang w:bidi="ar-EG"/>
              </w:rPr>
              <w:t>IAS 33.67A</w:t>
            </w:r>
          </w:p>
        </w:tc>
        <w:tc>
          <w:tcPr>
            <w:tcW w:w="3753" w:type="dxa"/>
            <w:noWrap/>
            <w:hideMark/>
          </w:tcPr>
          <w:p w14:paraId="2E1BF107" w14:textId="77777777" w:rsidR="00855E3C" w:rsidRPr="00855E3C" w:rsidRDefault="00855E3C" w:rsidP="00855E3C">
            <w:pPr>
              <w:bidi w:val="0"/>
              <w:rPr>
                <w:lang w:bidi="ar-EG"/>
              </w:rPr>
            </w:pPr>
            <w:r w:rsidRPr="00855E3C">
              <w:rPr>
                <w:lang w:bidi="ar-EG"/>
              </w:rPr>
              <w:t>Diluted earnings (loss) per share</w:t>
            </w:r>
          </w:p>
        </w:tc>
        <w:tc>
          <w:tcPr>
            <w:tcW w:w="686" w:type="dxa"/>
            <w:noWrap/>
            <w:hideMark/>
          </w:tcPr>
          <w:p w14:paraId="00FA5437" w14:textId="77777777" w:rsidR="00855E3C" w:rsidRPr="00855E3C" w:rsidRDefault="00855E3C" w:rsidP="00855E3C">
            <w:pPr>
              <w:bidi w:val="0"/>
              <w:rPr>
                <w:lang w:bidi="ar-EG"/>
              </w:rPr>
            </w:pPr>
          </w:p>
        </w:tc>
        <w:tc>
          <w:tcPr>
            <w:tcW w:w="985" w:type="dxa"/>
            <w:noWrap/>
            <w:hideMark/>
          </w:tcPr>
          <w:p w14:paraId="1E7D7E13" w14:textId="77777777" w:rsidR="00855E3C" w:rsidRPr="00855E3C" w:rsidRDefault="00855E3C" w:rsidP="00855E3C">
            <w:pPr>
              <w:bidi w:val="0"/>
              <w:rPr>
                <w:lang w:bidi="ar-EG"/>
              </w:rPr>
            </w:pPr>
          </w:p>
        </w:tc>
        <w:tc>
          <w:tcPr>
            <w:tcW w:w="816" w:type="dxa"/>
            <w:noWrap/>
            <w:hideMark/>
          </w:tcPr>
          <w:p w14:paraId="4F5A6C4E" w14:textId="77777777" w:rsidR="00855E3C" w:rsidRPr="00855E3C" w:rsidRDefault="00855E3C" w:rsidP="00855E3C">
            <w:pPr>
              <w:bidi w:val="0"/>
              <w:rPr>
                <w:lang w:bidi="ar-EG"/>
              </w:rPr>
            </w:pPr>
          </w:p>
        </w:tc>
        <w:tc>
          <w:tcPr>
            <w:tcW w:w="612" w:type="dxa"/>
            <w:noWrap/>
            <w:hideMark/>
          </w:tcPr>
          <w:p w14:paraId="5AF9C3AA" w14:textId="77777777" w:rsidR="00855E3C" w:rsidRPr="00855E3C" w:rsidRDefault="00855E3C" w:rsidP="00855E3C">
            <w:pPr>
              <w:bidi w:val="0"/>
              <w:rPr>
                <w:lang w:bidi="ar-EG"/>
              </w:rPr>
            </w:pPr>
          </w:p>
        </w:tc>
        <w:tc>
          <w:tcPr>
            <w:tcW w:w="3143" w:type="dxa"/>
            <w:noWrap/>
            <w:hideMark/>
          </w:tcPr>
          <w:p w14:paraId="3AD43251" w14:textId="77777777" w:rsidR="00855E3C" w:rsidRPr="00855E3C" w:rsidRDefault="00855E3C" w:rsidP="00855E3C">
            <w:pPr>
              <w:bidi w:val="0"/>
              <w:rPr>
                <w:lang w:bidi="ar-EG"/>
              </w:rPr>
            </w:pPr>
          </w:p>
        </w:tc>
      </w:tr>
      <w:tr w:rsidR="00855E3C" w:rsidRPr="00855E3C" w14:paraId="26C43E5A" w14:textId="77777777" w:rsidTr="00B44D0F">
        <w:trPr>
          <w:trHeight w:val="285"/>
        </w:trPr>
        <w:tc>
          <w:tcPr>
            <w:tcW w:w="1052" w:type="dxa"/>
            <w:noWrap/>
            <w:hideMark/>
          </w:tcPr>
          <w:p w14:paraId="4D588EBE" w14:textId="77777777" w:rsidR="00855E3C" w:rsidRPr="00855E3C" w:rsidRDefault="00855E3C" w:rsidP="00855E3C">
            <w:pPr>
              <w:bidi w:val="0"/>
              <w:rPr>
                <w:lang w:bidi="ar-EG"/>
              </w:rPr>
            </w:pPr>
            <w:r w:rsidRPr="00855E3C">
              <w:rPr>
                <w:lang w:bidi="ar-EG"/>
              </w:rPr>
              <w:t>IAS 33.66</w:t>
            </w:r>
          </w:p>
        </w:tc>
        <w:tc>
          <w:tcPr>
            <w:tcW w:w="3753" w:type="dxa"/>
            <w:noWrap/>
            <w:hideMark/>
          </w:tcPr>
          <w:p w14:paraId="5968DD79" w14:textId="77777777" w:rsidR="00855E3C" w:rsidRPr="00855E3C" w:rsidRDefault="00855E3C" w:rsidP="00855E3C">
            <w:pPr>
              <w:bidi w:val="0"/>
              <w:rPr>
                <w:lang w:bidi="ar-EG"/>
              </w:rPr>
            </w:pPr>
            <w:r w:rsidRPr="00855E3C">
              <w:rPr>
                <w:lang w:bidi="ar-EG"/>
              </w:rPr>
              <w:t>– From continuing operations</w:t>
            </w:r>
          </w:p>
        </w:tc>
        <w:tc>
          <w:tcPr>
            <w:tcW w:w="686" w:type="dxa"/>
            <w:noWrap/>
            <w:hideMark/>
          </w:tcPr>
          <w:p w14:paraId="27054B9E" w14:textId="77777777" w:rsidR="00855E3C" w:rsidRPr="00855E3C" w:rsidRDefault="00855E3C" w:rsidP="00855E3C">
            <w:pPr>
              <w:bidi w:val="0"/>
              <w:rPr>
                <w:lang w:bidi="ar-EG"/>
              </w:rPr>
            </w:pPr>
          </w:p>
        </w:tc>
        <w:tc>
          <w:tcPr>
            <w:tcW w:w="985" w:type="dxa"/>
            <w:noWrap/>
            <w:hideMark/>
          </w:tcPr>
          <w:p w14:paraId="1132AC04" w14:textId="77777777" w:rsidR="00855E3C" w:rsidRPr="00855E3C" w:rsidRDefault="00855E3C" w:rsidP="00855E3C">
            <w:pPr>
              <w:bidi w:val="0"/>
              <w:rPr>
                <w:lang w:bidi="ar-EG"/>
              </w:rPr>
            </w:pPr>
            <w:r w:rsidRPr="00855E3C">
              <w:rPr>
                <w:lang w:bidi="ar-EG"/>
              </w:rPr>
              <w:t>1.19</w:t>
            </w:r>
          </w:p>
        </w:tc>
        <w:tc>
          <w:tcPr>
            <w:tcW w:w="816" w:type="dxa"/>
            <w:noWrap/>
            <w:hideMark/>
          </w:tcPr>
          <w:p w14:paraId="5FFDD118" w14:textId="77777777" w:rsidR="00855E3C" w:rsidRPr="00855E3C" w:rsidRDefault="00855E3C" w:rsidP="00855E3C">
            <w:pPr>
              <w:bidi w:val="0"/>
              <w:rPr>
                <w:lang w:bidi="ar-EG"/>
              </w:rPr>
            </w:pPr>
            <w:r w:rsidRPr="00855E3C">
              <w:rPr>
                <w:lang w:bidi="ar-EG"/>
              </w:rPr>
              <w:t>0.93</w:t>
            </w:r>
          </w:p>
        </w:tc>
        <w:tc>
          <w:tcPr>
            <w:tcW w:w="612" w:type="dxa"/>
            <w:noWrap/>
            <w:hideMark/>
          </w:tcPr>
          <w:p w14:paraId="274B760A" w14:textId="77777777" w:rsidR="00855E3C" w:rsidRPr="00855E3C" w:rsidRDefault="00855E3C" w:rsidP="00855E3C">
            <w:pPr>
              <w:bidi w:val="0"/>
              <w:rPr>
                <w:lang w:bidi="ar-EG"/>
              </w:rPr>
            </w:pPr>
          </w:p>
        </w:tc>
        <w:tc>
          <w:tcPr>
            <w:tcW w:w="3143" w:type="dxa"/>
            <w:noWrap/>
            <w:hideMark/>
          </w:tcPr>
          <w:p w14:paraId="14FC1BD4" w14:textId="77777777" w:rsidR="00855E3C" w:rsidRPr="00855E3C" w:rsidRDefault="00855E3C" w:rsidP="00855E3C">
            <w:pPr>
              <w:bidi w:val="0"/>
              <w:rPr>
                <w:lang w:bidi="ar-EG"/>
              </w:rPr>
            </w:pPr>
          </w:p>
        </w:tc>
      </w:tr>
      <w:tr w:rsidR="00B44D0F" w:rsidRPr="00855E3C" w14:paraId="799B15F0" w14:textId="77777777" w:rsidTr="00B44D0F">
        <w:trPr>
          <w:trHeight w:val="285"/>
        </w:trPr>
        <w:tc>
          <w:tcPr>
            <w:tcW w:w="1052" w:type="dxa"/>
            <w:noWrap/>
            <w:hideMark/>
          </w:tcPr>
          <w:p w14:paraId="5198CE39" w14:textId="77777777" w:rsidR="00855E3C" w:rsidRPr="00855E3C" w:rsidRDefault="00855E3C" w:rsidP="00855E3C">
            <w:pPr>
              <w:bidi w:val="0"/>
              <w:rPr>
                <w:lang w:bidi="ar-EG"/>
              </w:rPr>
            </w:pPr>
            <w:r w:rsidRPr="00855E3C">
              <w:rPr>
                <w:lang w:bidi="ar-EG"/>
              </w:rPr>
              <w:t>IAS 33.68A</w:t>
            </w:r>
          </w:p>
        </w:tc>
        <w:tc>
          <w:tcPr>
            <w:tcW w:w="3753" w:type="dxa"/>
            <w:noWrap/>
            <w:hideMark/>
          </w:tcPr>
          <w:p w14:paraId="6E2C3E24" w14:textId="77777777" w:rsidR="00855E3C" w:rsidRPr="00855E3C" w:rsidRDefault="00855E3C" w:rsidP="00855E3C">
            <w:pPr>
              <w:bidi w:val="0"/>
              <w:rPr>
                <w:lang w:bidi="ar-EG"/>
              </w:rPr>
            </w:pPr>
            <w:r w:rsidRPr="00855E3C">
              <w:rPr>
                <w:lang w:bidi="ar-EG"/>
              </w:rPr>
              <w:t>– From discontinued operations</w:t>
            </w:r>
          </w:p>
        </w:tc>
        <w:tc>
          <w:tcPr>
            <w:tcW w:w="686" w:type="dxa"/>
            <w:noWrap/>
            <w:hideMark/>
          </w:tcPr>
          <w:p w14:paraId="3258D853" w14:textId="77777777" w:rsidR="00855E3C" w:rsidRPr="00855E3C" w:rsidRDefault="00855E3C" w:rsidP="00855E3C">
            <w:pPr>
              <w:bidi w:val="0"/>
              <w:rPr>
                <w:lang w:bidi="ar-EG"/>
              </w:rPr>
            </w:pPr>
          </w:p>
        </w:tc>
        <w:tc>
          <w:tcPr>
            <w:tcW w:w="985" w:type="dxa"/>
            <w:noWrap/>
            <w:hideMark/>
          </w:tcPr>
          <w:p w14:paraId="156FBBB3" w14:textId="77777777" w:rsidR="00855E3C" w:rsidRPr="00855E3C" w:rsidRDefault="00855E3C" w:rsidP="00855E3C">
            <w:pPr>
              <w:bidi w:val="0"/>
              <w:rPr>
                <w:lang w:bidi="ar-EG"/>
              </w:rPr>
            </w:pPr>
            <w:r w:rsidRPr="00855E3C">
              <w:rPr>
                <w:lang w:bidi="ar-EG"/>
              </w:rPr>
              <w:t>(0.00)</w:t>
            </w:r>
          </w:p>
        </w:tc>
        <w:tc>
          <w:tcPr>
            <w:tcW w:w="816" w:type="dxa"/>
            <w:noWrap/>
            <w:hideMark/>
          </w:tcPr>
          <w:p w14:paraId="7A8089CE" w14:textId="77777777" w:rsidR="00855E3C" w:rsidRPr="00855E3C" w:rsidRDefault="00855E3C" w:rsidP="00855E3C">
            <w:pPr>
              <w:bidi w:val="0"/>
              <w:rPr>
                <w:lang w:bidi="ar-EG"/>
              </w:rPr>
            </w:pPr>
            <w:r w:rsidRPr="00855E3C">
              <w:rPr>
                <w:lang w:bidi="ar-EG"/>
              </w:rPr>
              <w:t>-0.03</w:t>
            </w:r>
          </w:p>
        </w:tc>
        <w:tc>
          <w:tcPr>
            <w:tcW w:w="612" w:type="dxa"/>
            <w:noWrap/>
            <w:hideMark/>
          </w:tcPr>
          <w:p w14:paraId="3033A47D" w14:textId="77777777" w:rsidR="00855E3C" w:rsidRPr="00855E3C" w:rsidRDefault="00855E3C" w:rsidP="00855E3C">
            <w:pPr>
              <w:bidi w:val="0"/>
              <w:rPr>
                <w:lang w:bidi="ar-EG"/>
              </w:rPr>
            </w:pPr>
          </w:p>
        </w:tc>
        <w:tc>
          <w:tcPr>
            <w:tcW w:w="3143" w:type="dxa"/>
            <w:noWrap/>
            <w:hideMark/>
          </w:tcPr>
          <w:p w14:paraId="483A249A" w14:textId="77777777" w:rsidR="00855E3C" w:rsidRPr="00855E3C" w:rsidRDefault="00855E3C" w:rsidP="00855E3C">
            <w:pPr>
              <w:bidi w:val="0"/>
              <w:rPr>
                <w:lang w:bidi="ar-EG"/>
              </w:rPr>
            </w:pPr>
          </w:p>
        </w:tc>
      </w:tr>
      <w:tr w:rsidR="00855E3C" w:rsidRPr="00855E3C" w14:paraId="3C9BB3C1" w14:textId="77777777" w:rsidTr="00B44D0F">
        <w:trPr>
          <w:trHeight w:val="285"/>
        </w:trPr>
        <w:tc>
          <w:tcPr>
            <w:tcW w:w="1052" w:type="dxa"/>
            <w:noWrap/>
            <w:hideMark/>
          </w:tcPr>
          <w:p w14:paraId="4DA58AE7" w14:textId="77777777" w:rsidR="00855E3C" w:rsidRPr="00855E3C" w:rsidRDefault="00855E3C" w:rsidP="00855E3C">
            <w:pPr>
              <w:bidi w:val="0"/>
              <w:rPr>
                <w:lang w:bidi="ar-EG"/>
              </w:rPr>
            </w:pPr>
            <w:r w:rsidRPr="00855E3C">
              <w:rPr>
                <w:lang w:bidi="ar-EG"/>
              </w:rPr>
              <w:t>IAS 33.66</w:t>
            </w:r>
          </w:p>
        </w:tc>
        <w:tc>
          <w:tcPr>
            <w:tcW w:w="3753" w:type="dxa"/>
            <w:noWrap/>
            <w:hideMark/>
          </w:tcPr>
          <w:p w14:paraId="62CE9D5A" w14:textId="77777777" w:rsidR="00855E3C" w:rsidRPr="00855E3C" w:rsidRDefault="00855E3C" w:rsidP="00855E3C">
            <w:pPr>
              <w:bidi w:val="0"/>
              <w:rPr>
                <w:lang w:bidi="ar-EG"/>
              </w:rPr>
            </w:pPr>
            <w:r w:rsidRPr="00855E3C">
              <w:rPr>
                <w:lang w:bidi="ar-EG"/>
              </w:rPr>
              <w:t>Total</w:t>
            </w:r>
          </w:p>
        </w:tc>
        <w:tc>
          <w:tcPr>
            <w:tcW w:w="686" w:type="dxa"/>
            <w:noWrap/>
            <w:hideMark/>
          </w:tcPr>
          <w:p w14:paraId="2B7772F1" w14:textId="77777777" w:rsidR="00855E3C" w:rsidRPr="00855E3C" w:rsidRDefault="00855E3C" w:rsidP="00855E3C">
            <w:pPr>
              <w:bidi w:val="0"/>
              <w:rPr>
                <w:lang w:bidi="ar-EG"/>
              </w:rPr>
            </w:pPr>
          </w:p>
        </w:tc>
        <w:tc>
          <w:tcPr>
            <w:tcW w:w="985" w:type="dxa"/>
            <w:noWrap/>
            <w:hideMark/>
          </w:tcPr>
          <w:p w14:paraId="20815AF3" w14:textId="77777777" w:rsidR="00855E3C" w:rsidRPr="00855E3C" w:rsidRDefault="00855E3C" w:rsidP="00855E3C">
            <w:pPr>
              <w:bidi w:val="0"/>
              <w:rPr>
                <w:lang w:bidi="ar-EG"/>
              </w:rPr>
            </w:pPr>
            <w:r w:rsidRPr="00855E3C">
              <w:rPr>
                <w:lang w:bidi="ar-EG"/>
              </w:rPr>
              <w:t>1.19</w:t>
            </w:r>
          </w:p>
        </w:tc>
        <w:tc>
          <w:tcPr>
            <w:tcW w:w="816" w:type="dxa"/>
            <w:noWrap/>
            <w:hideMark/>
          </w:tcPr>
          <w:p w14:paraId="1D8AD620" w14:textId="77777777" w:rsidR="00855E3C" w:rsidRPr="00855E3C" w:rsidRDefault="00855E3C" w:rsidP="00855E3C">
            <w:pPr>
              <w:bidi w:val="0"/>
              <w:rPr>
                <w:lang w:bidi="ar-EG"/>
              </w:rPr>
            </w:pPr>
            <w:r w:rsidRPr="00855E3C">
              <w:rPr>
                <w:lang w:bidi="ar-EG"/>
              </w:rPr>
              <w:t>0.9</w:t>
            </w:r>
          </w:p>
        </w:tc>
        <w:tc>
          <w:tcPr>
            <w:tcW w:w="612" w:type="dxa"/>
            <w:noWrap/>
            <w:hideMark/>
          </w:tcPr>
          <w:p w14:paraId="724545CA" w14:textId="77777777" w:rsidR="00855E3C" w:rsidRPr="00855E3C" w:rsidRDefault="00855E3C" w:rsidP="00855E3C">
            <w:pPr>
              <w:bidi w:val="0"/>
              <w:rPr>
                <w:lang w:bidi="ar-EG"/>
              </w:rPr>
            </w:pPr>
          </w:p>
        </w:tc>
        <w:tc>
          <w:tcPr>
            <w:tcW w:w="3143" w:type="dxa"/>
            <w:noWrap/>
            <w:hideMark/>
          </w:tcPr>
          <w:p w14:paraId="6693511D" w14:textId="77777777" w:rsidR="00855E3C" w:rsidRPr="00855E3C" w:rsidRDefault="00855E3C" w:rsidP="00855E3C">
            <w:pPr>
              <w:bidi w:val="0"/>
              <w:rPr>
                <w:lang w:bidi="ar-EG"/>
              </w:rPr>
            </w:pPr>
          </w:p>
        </w:tc>
      </w:tr>
      <w:tr w:rsidR="00B44D0F" w:rsidRPr="00855E3C" w14:paraId="17D10542" w14:textId="77777777" w:rsidTr="00B44D0F">
        <w:trPr>
          <w:trHeight w:val="285"/>
        </w:trPr>
        <w:tc>
          <w:tcPr>
            <w:tcW w:w="1052" w:type="dxa"/>
            <w:noWrap/>
            <w:hideMark/>
          </w:tcPr>
          <w:p w14:paraId="3C4BD45F" w14:textId="77777777" w:rsidR="00855E3C" w:rsidRPr="00855E3C" w:rsidRDefault="00855E3C" w:rsidP="00855E3C">
            <w:pPr>
              <w:bidi w:val="0"/>
              <w:rPr>
                <w:lang w:bidi="ar-EG"/>
              </w:rPr>
            </w:pPr>
          </w:p>
        </w:tc>
        <w:tc>
          <w:tcPr>
            <w:tcW w:w="4439" w:type="dxa"/>
            <w:gridSpan w:val="2"/>
            <w:noWrap/>
            <w:hideMark/>
          </w:tcPr>
          <w:p w14:paraId="441F1182" w14:textId="77777777" w:rsidR="00855E3C" w:rsidRPr="00855E3C" w:rsidRDefault="00855E3C" w:rsidP="00855E3C">
            <w:pPr>
              <w:bidi w:val="0"/>
              <w:rPr>
                <w:lang w:bidi="ar-EG"/>
              </w:rPr>
            </w:pPr>
            <w:r w:rsidRPr="00855E3C">
              <w:rPr>
                <w:lang w:bidi="ar-EG"/>
              </w:rPr>
              <w:t>6 Illustrative Corporation Group: IFRS Example Consolidated Financial Statements – 31 December 2021</w:t>
            </w:r>
          </w:p>
        </w:tc>
        <w:tc>
          <w:tcPr>
            <w:tcW w:w="985" w:type="dxa"/>
            <w:noWrap/>
            <w:hideMark/>
          </w:tcPr>
          <w:p w14:paraId="76EF8FA0" w14:textId="77777777" w:rsidR="00855E3C" w:rsidRPr="00855E3C" w:rsidRDefault="00855E3C" w:rsidP="00855E3C">
            <w:pPr>
              <w:bidi w:val="0"/>
              <w:rPr>
                <w:lang w:bidi="ar-EG"/>
              </w:rPr>
            </w:pPr>
          </w:p>
        </w:tc>
        <w:tc>
          <w:tcPr>
            <w:tcW w:w="816" w:type="dxa"/>
            <w:noWrap/>
            <w:hideMark/>
          </w:tcPr>
          <w:p w14:paraId="5F65E070" w14:textId="77777777" w:rsidR="00855E3C" w:rsidRPr="00855E3C" w:rsidRDefault="00855E3C" w:rsidP="00855E3C">
            <w:pPr>
              <w:bidi w:val="0"/>
              <w:rPr>
                <w:lang w:bidi="ar-EG"/>
              </w:rPr>
            </w:pPr>
          </w:p>
        </w:tc>
        <w:tc>
          <w:tcPr>
            <w:tcW w:w="612" w:type="dxa"/>
            <w:noWrap/>
            <w:hideMark/>
          </w:tcPr>
          <w:p w14:paraId="62601781" w14:textId="77777777" w:rsidR="00855E3C" w:rsidRPr="00855E3C" w:rsidRDefault="00855E3C" w:rsidP="00855E3C">
            <w:pPr>
              <w:bidi w:val="0"/>
              <w:rPr>
                <w:lang w:bidi="ar-EG"/>
              </w:rPr>
            </w:pPr>
          </w:p>
        </w:tc>
        <w:tc>
          <w:tcPr>
            <w:tcW w:w="3143" w:type="dxa"/>
            <w:noWrap/>
            <w:hideMark/>
          </w:tcPr>
          <w:p w14:paraId="1B72A282" w14:textId="77777777" w:rsidR="00855E3C" w:rsidRPr="00855E3C" w:rsidRDefault="00855E3C" w:rsidP="00855E3C">
            <w:pPr>
              <w:bidi w:val="0"/>
              <w:rPr>
                <w:lang w:bidi="ar-EG"/>
              </w:rPr>
            </w:pPr>
          </w:p>
        </w:tc>
      </w:tr>
    </w:tbl>
    <w:p w14:paraId="6B2A7409" w14:textId="753AD4D3" w:rsidR="006166FB" w:rsidRDefault="004624A3" w:rsidP="004624A3">
      <w:pPr>
        <w:bidi w:val="0"/>
        <w:rPr>
          <w:lang w:bidi="ar-EG"/>
        </w:rPr>
      </w:pPr>
      <w:r>
        <w:rPr>
          <w:lang w:bidi="ar-EG"/>
        </w:rPr>
        <w:tab/>
      </w:r>
      <w:r>
        <w:rPr>
          <w:lang w:bidi="ar-EG"/>
        </w:rPr>
        <w:tab/>
      </w:r>
      <w:r>
        <w:rPr>
          <w:lang w:bidi="ar-EG"/>
        </w:rPr>
        <w:tab/>
      </w:r>
    </w:p>
    <w:p w14:paraId="16485ECD" w14:textId="77777777" w:rsidR="00855E3C" w:rsidRDefault="00855E3C" w:rsidP="00855E3C">
      <w:pPr>
        <w:bidi w:val="0"/>
        <w:rPr>
          <w:lang w:bidi="ar-EG"/>
        </w:rPr>
      </w:pPr>
    </w:p>
    <w:p w14:paraId="7AEB5F1E" w14:textId="77777777" w:rsidR="00855E3C" w:rsidRPr="004624A3" w:rsidRDefault="00855E3C" w:rsidP="00855E3C">
      <w:pPr>
        <w:bidi w:val="0"/>
        <w:rPr>
          <w:rtl/>
          <w:lang w:bidi="ar-EG"/>
        </w:rPr>
      </w:pPr>
    </w:p>
    <w:sectPr w:rsidR="00855E3C" w:rsidRPr="004624A3" w:rsidSect="00BC6371">
      <w:pgSz w:w="11906" w:h="16838"/>
      <w:pgMar w:top="709" w:right="282" w:bottom="284" w:left="56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3F719" w14:textId="77777777" w:rsidR="00BC6371" w:rsidRDefault="00BC6371" w:rsidP="0014342C">
      <w:r>
        <w:separator/>
      </w:r>
    </w:p>
  </w:endnote>
  <w:endnote w:type="continuationSeparator" w:id="0">
    <w:p w14:paraId="01D9C66E" w14:textId="77777777" w:rsidR="00BC6371" w:rsidRDefault="00BC6371" w:rsidP="00143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31BB2" w14:textId="77777777" w:rsidR="00BC6371" w:rsidRDefault="00BC6371" w:rsidP="0014342C">
      <w:r>
        <w:separator/>
      </w:r>
    </w:p>
  </w:footnote>
  <w:footnote w:type="continuationSeparator" w:id="0">
    <w:p w14:paraId="2E1C69E1" w14:textId="77777777" w:rsidR="00BC6371" w:rsidRDefault="00BC6371" w:rsidP="001434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DE"/>
    <w:rsid w:val="00142345"/>
    <w:rsid w:val="0014342C"/>
    <w:rsid w:val="00147E23"/>
    <w:rsid w:val="001E4BB8"/>
    <w:rsid w:val="00333A39"/>
    <w:rsid w:val="00400C06"/>
    <w:rsid w:val="00411A3E"/>
    <w:rsid w:val="00452B35"/>
    <w:rsid w:val="004624A3"/>
    <w:rsid w:val="004772EE"/>
    <w:rsid w:val="005246D0"/>
    <w:rsid w:val="006166FB"/>
    <w:rsid w:val="0066237F"/>
    <w:rsid w:val="006762FC"/>
    <w:rsid w:val="00725495"/>
    <w:rsid w:val="00773991"/>
    <w:rsid w:val="007A4B4E"/>
    <w:rsid w:val="008276BC"/>
    <w:rsid w:val="00855E3C"/>
    <w:rsid w:val="00960928"/>
    <w:rsid w:val="0096118F"/>
    <w:rsid w:val="00AA669C"/>
    <w:rsid w:val="00AC52DF"/>
    <w:rsid w:val="00AD4CC5"/>
    <w:rsid w:val="00B44D0F"/>
    <w:rsid w:val="00B64396"/>
    <w:rsid w:val="00BC6371"/>
    <w:rsid w:val="00BF5D4C"/>
    <w:rsid w:val="00C32FDE"/>
    <w:rsid w:val="00DC0BD6"/>
    <w:rsid w:val="00DD7790"/>
    <w:rsid w:val="00E150DF"/>
    <w:rsid w:val="00E6670A"/>
    <w:rsid w:val="00E66C34"/>
    <w:rsid w:val="00EE2070"/>
    <w:rsid w:val="00F36213"/>
    <w:rsid w:val="00F75725"/>
    <w:rsid w:val="00FA00EB"/>
    <w:rsid w:val="00FA35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5E93"/>
  <w15:chartTrackingRefBased/>
  <w15:docId w15:val="{A24930A2-385E-413E-87AA-D64FE74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3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342C"/>
    <w:pPr>
      <w:tabs>
        <w:tab w:val="center" w:pos="4153"/>
        <w:tab w:val="right" w:pos="8306"/>
      </w:tabs>
    </w:pPr>
  </w:style>
  <w:style w:type="character" w:customStyle="1" w:styleId="HeaderChar">
    <w:name w:val="Header Char"/>
    <w:basedOn w:val="DefaultParagraphFont"/>
    <w:link w:val="Header"/>
    <w:uiPriority w:val="99"/>
    <w:rsid w:val="0014342C"/>
  </w:style>
  <w:style w:type="paragraph" w:styleId="Footer">
    <w:name w:val="footer"/>
    <w:basedOn w:val="Normal"/>
    <w:link w:val="FooterChar"/>
    <w:uiPriority w:val="99"/>
    <w:unhideWhenUsed/>
    <w:rsid w:val="0014342C"/>
    <w:pPr>
      <w:tabs>
        <w:tab w:val="center" w:pos="4153"/>
        <w:tab w:val="right" w:pos="8306"/>
      </w:tabs>
    </w:pPr>
  </w:style>
  <w:style w:type="character" w:customStyle="1" w:styleId="FooterChar">
    <w:name w:val="Footer Char"/>
    <w:basedOn w:val="DefaultParagraphFont"/>
    <w:link w:val="Footer"/>
    <w:uiPriority w:val="99"/>
    <w:rsid w:val="00143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79700">
      <w:marLeft w:val="0"/>
      <w:marRight w:val="0"/>
      <w:marTop w:val="0"/>
      <w:marBottom w:val="0"/>
      <w:divBdr>
        <w:top w:val="none" w:sz="0" w:space="0" w:color="auto"/>
        <w:left w:val="none" w:sz="0" w:space="0" w:color="auto"/>
        <w:bottom w:val="none" w:sz="0" w:space="0" w:color="auto"/>
        <w:right w:val="none" w:sz="0" w:space="0" w:color="auto"/>
      </w:divBdr>
      <w:divsChild>
        <w:div w:id="1580552855">
          <w:marLeft w:val="0"/>
          <w:marRight w:val="0"/>
          <w:marTop w:val="0"/>
          <w:marBottom w:val="0"/>
          <w:divBdr>
            <w:top w:val="none" w:sz="0" w:space="0" w:color="auto"/>
            <w:left w:val="none" w:sz="0" w:space="0" w:color="auto"/>
            <w:bottom w:val="none" w:sz="0" w:space="0" w:color="auto"/>
            <w:right w:val="none" w:sz="0" w:space="0" w:color="auto"/>
          </w:divBdr>
        </w:div>
      </w:divsChild>
    </w:div>
    <w:div w:id="212619567">
      <w:marLeft w:val="0"/>
      <w:marRight w:val="0"/>
      <w:marTop w:val="0"/>
      <w:marBottom w:val="0"/>
      <w:divBdr>
        <w:top w:val="none" w:sz="0" w:space="0" w:color="auto"/>
        <w:left w:val="none" w:sz="0" w:space="0" w:color="auto"/>
        <w:bottom w:val="none" w:sz="0" w:space="0" w:color="auto"/>
        <w:right w:val="none" w:sz="0" w:space="0" w:color="auto"/>
      </w:divBdr>
    </w:div>
    <w:div w:id="384914538">
      <w:marLeft w:val="0"/>
      <w:marRight w:val="0"/>
      <w:marTop w:val="0"/>
      <w:marBottom w:val="0"/>
      <w:divBdr>
        <w:top w:val="none" w:sz="0" w:space="0" w:color="auto"/>
        <w:left w:val="none" w:sz="0" w:space="0" w:color="auto"/>
        <w:bottom w:val="none" w:sz="0" w:space="0" w:color="auto"/>
        <w:right w:val="none" w:sz="0" w:space="0" w:color="auto"/>
      </w:divBdr>
      <w:divsChild>
        <w:div w:id="1224020667">
          <w:marLeft w:val="0"/>
          <w:marRight w:val="0"/>
          <w:marTop w:val="0"/>
          <w:marBottom w:val="0"/>
          <w:divBdr>
            <w:top w:val="none" w:sz="0" w:space="0" w:color="auto"/>
            <w:left w:val="none" w:sz="0" w:space="0" w:color="auto"/>
            <w:bottom w:val="none" w:sz="0" w:space="0" w:color="auto"/>
            <w:right w:val="none" w:sz="0" w:space="0" w:color="auto"/>
          </w:divBdr>
          <w:divsChild>
            <w:div w:id="570237993">
              <w:marLeft w:val="0"/>
              <w:marRight w:val="0"/>
              <w:marTop w:val="0"/>
              <w:marBottom w:val="0"/>
              <w:divBdr>
                <w:top w:val="none" w:sz="0" w:space="0" w:color="auto"/>
                <w:left w:val="none" w:sz="0" w:space="0" w:color="auto"/>
                <w:bottom w:val="none" w:sz="0" w:space="0" w:color="auto"/>
                <w:right w:val="none" w:sz="0" w:space="0" w:color="auto"/>
              </w:divBdr>
              <w:divsChild>
                <w:div w:id="14168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708884">
      <w:marLeft w:val="0"/>
      <w:marRight w:val="0"/>
      <w:marTop w:val="0"/>
      <w:marBottom w:val="0"/>
      <w:divBdr>
        <w:top w:val="none" w:sz="0" w:space="0" w:color="auto"/>
        <w:left w:val="none" w:sz="0" w:space="0" w:color="auto"/>
        <w:bottom w:val="none" w:sz="0" w:space="0" w:color="auto"/>
        <w:right w:val="none" w:sz="0" w:space="0" w:color="auto"/>
      </w:divBdr>
    </w:div>
    <w:div w:id="658925931">
      <w:marLeft w:val="0"/>
      <w:marRight w:val="0"/>
      <w:marTop w:val="0"/>
      <w:marBottom w:val="0"/>
      <w:divBdr>
        <w:top w:val="none" w:sz="0" w:space="0" w:color="auto"/>
        <w:left w:val="none" w:sz="0" w:space="0" w:color="auto"/>
        <w:bottom w:val="none" w:sz="0" w:space="0" w:color="auto"/>
        <w:right w:val="none" w:sz="0" w:space="0" w:color="auto"/>
      </w:divBdr>
    </w:div>
    <w:div w:id="837962065">
      <w:marLeft w:val="0"/>
      <w:marRight w:val="0"/>
      <w:marTop w:val="0"/>
      <w:marBottom w:val="0"/>
      <w:divBdr>
        <w:top w:val="none" w:sz="0" w:space="0" w:color="auto"/>
        <w:left w:val="none" w:sz="0" w:space="0" w:color="auto"/>
        <w:bottom w:val="none" w:sz="0" w:space="0" w:color="auto"/>
        <w:right w:val="none" w:sz="0" w:space="0" w:color="auto"/>
      </w:divBdr>
      <w:divsChild>
        <w:div w:id="769424941">
          <w:marLeft w:val="0"/>
          <w:marRight w:val="0"/>
          <w:marTop w:val="0"/>
          <w:marBottom w:val="0"/>
          <w:divBdr>
            <w:top w:val="none" w:sz="0" w:space="0" w:color="auto"/>
            <w:left w:val="none" w:sz="0" w:space="0" w:color="auto"/>
            <w:bottom w:val="none" w:sz="0" w:space="0" w:color="auto"/>
            <w:right w:val="none" w:sz="0" w:space="0" w:color="auto"/>
          </w:divBdr>
        </w:div>
      </w:divsChild>
    </w:div>
    <w:div w:id="850997329">
      <w:bodyDiv w:val="1"/>
      <w:marLeft w:val="0"/>
      <w:marRight w:val="0"/>
      <w:marTop w:val="0"/>
      <w:marBottom w:val="0"/>
      <w:divBdr>
        <w:top w:val="none" w:sz="0" w:space="0" w:color="auto"/>
        <w:left w:val="none" w:sz="0" w:space="0" w:color="auto"/>
        <w:bottom w:val="none" w:sz="0" w:space="0" w:color="auto"/>
        <w:right w:val="none" w:sz="0" w:space="0" w:color="auto"/>
      </w:divBdr>
      <w:divsChild>
        <w:div w:id="406996280">
          <w:marLeft w:val="0"/>
          <w:marRight w:val="0"/>
          <w:marTop w:val="0"/>
          <w:marBottom w:val="0"/>
          <w:divBdr>
            <w:top w:val="none" w:sz="0" w:space="0" w:color="auto"/>
            <w:left w:val="none" w:sz="0" w:space="0" w:color="auto"/>
            <w:bottom w:val="none" w:sz="0" w:space="0" w:color="auto"/>
            <w:right w:val="none" w:sz="0" w:space="0" w:color="auto"/>
          </w:divBdr>
          <w:divsChild>
            <w:div w:id="1283078642">
              <w:marLeft w:val="0"/>
              <w:marRight w:val="0"/>
              <w:marTop w:val="0"/>
              <w:marBottom w:val="0"/>
              <w:divBdr>
                <w:top w:val="none" w:sz="0" w:space="0" w:color="auto"/>
                <w:left w:val="none" w:sz="0" w:space="0" w:color="auto"/>
                <w:bottom w:val="none" w:sz="0" w:space="0" w:color="auto"/>
                <w:right w:val="none" w:sz="0" w:space="0" w:color="auto"/>
              </w:divBdr>
            </w:div>
          </w:divsChild>
        </w:div>
        <w:div w:id="1473328900">
          <w:marLeft w:val="0"/>
          <w:marRight w:val="0"/>
          <w:marTop w:val="0"/>
          <w:marBottom w:val="0"/>
          <w:divBdr>
            <w:top w:val="none" w:sz="0" w:space="0" w:color="auto"/>
            <w:left w:val="none" w:sz="0" w:space="0" w:color="auto"/>
            <w:bottom w:val="none" w:sz="0" w:space="0" w:color="auto"/>
            <w:right w:val="none" w:sz="0" w:space="0" w:color="auto"/>
          </w:divBdr>
          <w:divsChild>
            <w:div w:id="1734886337">
              <w:marLeft w:val="0"/>
              <w:marRight w:val="0"/>
              <w:marTop w:val="0"/>
              <w:marBottom w:val="0"/>
              <w:divBdr>
                <w:top w:val="none" w:sz="0" w:space="0" w:color="auto"/>
                <w:left w:val="none" w:sz="0" w:space="0" w:color="auto"/>
                <w:bottom w:val="none" w:sz="0" w:space="0" w:color="auto"/>
                <w:right w:val="none" w:sz="0" w:space="0" w:color="auto"/>
              </w:divBdr>
              <w:divsChild>
                <w:div w:id="9377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80626">
      <w:marLeft w:val="0"/>
      <w:marRight w:val="0"/>
      <w:marTop w:val="0"/>
      <w:marBottom w:val="0"/>
      <w:divBdr>
        <w:top w:val="none" w:sz="0" w:space="0" w:color="auto"/>
        <w:left w:val="none" w:sz="0" w:space="0" w:color="auto"/>
        <w:bottom w:val="none" w:sz="0" w:space="0" w:color="auto"/>
        <w:right w:val="none" w:sz="0" w:space="0" w:color="auto"/>
      </w:divBdr>
      <w:divsChild>
        <w:div w:id="1056469688">
          <w:marLeft w:val="0"/>
          <w:marRight w:val="0"/>
          <w:marTop w:val="0"/>
          <w:marBottom w:val="0"/>
          <w:divBdr>
            <w:top w:val="none" w:sz="0" w:space="0" w:color="auto"/>
            <w:left w:val="none" w:sz="0" w:space="0" w:color="auto"/>
            <w:bottom w:val="none" w:sz="0" w:space="0" w:color="auto"/>
            <w:right w:val="none" w:sz="0" w:space="0" w:color="auto"/>
          </w:divBdr>
        </w:div>
      </w:divsChild>
    </w:div>
    <w:div w:id="949975626">
      <w:marLeft w:val="0"/>
      <w:marRight w:val="0"/>
      <w:marTop w:val="0"/>
      <w:marBottom w:val="0"/>
      <w:divBdr>
        <w:top w:val="none" w:sz="0" w:space="0" w:color="auto"/>
        <w:left w:val="none" w:sz="0" w:space="0" w:color="auto"/>
        <w:bottom w:val="none" w:sz="0" w:space="0" w:color="auto"/>
        <w:right w:val="none" w:sz="0" w:space="0" w:color="auto"/>
      </w:divBdr>
      <w:divsChild>
        <w:div w:id="1246190146">
          <w:marLeft w:val="0"/>
          <w:marRight w:val="0"/>
          <w:marTop w:val="0"/>
          <w:marBottom w:val="0"/>
          <w:divBdr>
            <w:top w:val="none" w:sz="0" w:space="0" w:color="auto"/>
            <w:left w:val="none" w:sz="0" w:space="0" w:color="auto"/>
            <w:bottom w:val="none" w:sz="0" w:space="0" w:color="auto"/>
            <w:right w:val="none" w:sz="0" w:space="0" w:color="auto"/>
          </w:divBdr>
          <w:divsChild>
            <w:div w:id="609509658">
              <w:marLeft w:val="0"/>
              <w:marRight w:val="0"/>
              <w:marTop w:val="0"/>
              <w:marBottom w:val="0"/>
              <w:divBdr>
                <w:top w:val="none" w:sz="0" w:space="0" w:color="auto"/>
                <w:left w:val="none" w:sz="0" w:space="0" w:color="auto"/>
                <w:bottom w:val="none" w:sz="0" w:space="0" w:color="auto"/>
                <w:right w:val="none" w:sz="0" w:space="0" w:color="auto"/>
              </w:divBdr>
              <w:divsChild>
                <w:div w:id="839002736">
                  <w:marLeft w:val="0"/>
                  <w:marRight w:val="0"/>
                  <w:marTop w:val="0"/>
                  <w:marBottom w:val="0"/>
                  <w:divBdr>
                    <w:top w:val="none" w:sz="0" w:space="0" w:color="auto"/>
                    <w:left w:val="none" w:sz="0" w:space="0" w:color="auto"/>
                    <w:bottom w:val="none" w:sz="0" w:space="0" w:color="auto"/>
                    <w:right w:val="none" w:sz="0" w:space="0" w:color="auto"/>
                  </w:divBdr>
                  <w:divsChild>
                    <w:div w:id="1199472460">
                      <w:marLeft w:val="0"/>
                      <w:marRight w:val="0"/>
                      <w:marTop w:val="0"/>
                      <w:marBottom w:val="0"/>
                      <w:divBdr>
                        <w:top w:val="none" w:sz="0" w:space="0" w:color="auto"/>
                        <w:left w:val="none" w:sz="0" w:space="0" w:color="auto"/>
                        <w:bottom w:val="none" w:sz="0" w:space="0" w:color="auto"/>
                        <w:right w:val="none" w:sz="0" w:space="0" w:color="auto"/>
                      </w:divBdr>
                      <w:divsChild>
                        <w:div w:id="21142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868913">
      <w:marLeft w:val="0"/>
      <w:marRight w:val="0"/>
      <w:marTop w:val="0"/>
      <w:marBottom w:val="0"/>
      <w:divBdr>
        <w:top w:val="none" w:sz="0" w:space="0" w:color="auto"/>
        <w:left w:val="none" w:sz="0" w:space="0" w:color="auto"/>
        <w:bottom w:val="none" w:sz="0" w:space="0" w:color="auto"/>
        <w:right w:val="none" w:sz="0" w:space="0" w:color="auto"/>
      </w:divBdr>
      <w:divsChild>
        <w:div w:id="282882297">
          <w:marLeft w:val="0"/>
          <w:marRight w:val="0"/>
          <w:marTop w:val="0"/>
          <w:marBottom w:val="0"/>
          <w:divBdr>
            <w:top w:val="none" w:sz="0" w:space="0" w:color="auto"/>
            <w:left w:val="none" w:sz="0" w:space="0" w:color="auto"/>
            <w:bottom w:val="none" w:sz="0" w:space="0" w:color="auto"/>
            <w:right w:val="none" w:sz="0" w:space="0" w:color="auto"/>
          </w:divBdr>
        </w:div>
      </w:divsChild>
    </w:div>
    <w:div w:id="1136488371">
      <w:marLeft w:val="0"/>
      <w:marRight w:val="0"/>
      <w:marTop w:val="0"/>
      <w:marBottom w:val="0"/>
      <w:divBdr>
        <w:top w:val="none" w:sz="0" w:space="0" w:color="auto"/>
        <w:left w:val="none" w:sz="0" w:space="0" w:color="auto"/>
        <w:bottom w:val="none" w:sz="0" w:space="0" w:color="auto"/>
        <w:right w:val="none" w:sz="0" w:space="0" w:color="auto"/>
      </w:divBdr>
      <w:divsChild>
        <w:div w:id="147988154">
          <w:marLeft w:val="0"/>
          <w:marRight w:val="0"/>
          <w:marTop w:val="0"/>
          <w:marBottom w:val="0"/>
          <w:divBdr>
            <w:top w:val="none" w:sz="0" w:space="0" w:color="auto"/>
            <w:left w:val="none" w:sz="0" w:space="0" w:color="auto"/>
            <w:bottom w:val="none" w:sz="0" w:space="0" w:color="auto"/>
            <w:right w:val="none" w:sz="0" w:space="0" w:color="auto"/>
          </w:divBdr>
          <w:divsChild>
            <w:div w:id="2059697278">
              <w:marLeft w:val="0"/>
              <w:marRight w:val="0"/>
              <w:marTop w:val="0"/>
              <w:marBottom w:val="0"/>
              <w:divBdr>
                <w:top w:val="none" w:sz="0" w:space="0" w:color="auto"/>
                <w:left w:val="none" w:sz="0" w:space="0" w:color="auto"/>
                <w:bottom w:val="none" w:sz="0" w:space="0" w:color="auto"/>
                <w:right w:val="none" w:sz="0" w:space="0" w:color="auto"/>
              </w:divBdr>
              <w:divsChild>
                <w:div w:id="2839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460495">
      <w:marLeft w:val="0"/>
      <w:marRight w:val="0"/>
      <w:marTop w:val="0"/>
      <w:marBottom w:val="0"/>
      <w:divBdr>
        <w:top w:val="none" w:sz="0" w:space="0" w:color="auto"/>
        <w:left w:val="none" w:sz="0" w:space="0" w:color="auto"/>
        <w:bottom w:val="none" w:sz="0" w:space="0" w:color="auto"/>
        <w:right w:val="none" w:sz="0" w:space="0" w:color="auto"/>
      </w:divBdr>
      <w:divsChild>
        <w:div w:id="1200704586">
          <w:marLeft w:val="0"/>
          <w:marRight w:val="0"/>
          <w:marTop w:val="0"/>
          <w:marBottom w:val="0"/>
          <w:divBdr>
            <w:top w:val="none" w:sz="0" w:space="0" w:color="auto"/>
            <w:left w:val="none" w:sz="0" w:space="0" w:color="auto"/>
            <w:bottom w:val="none" w:sz="0" w:space="0" w:color="auto"/>
            <w:right w:val="none" w:sz="0" w:space="0" w:color="auto"/>
          </w:divBdr>
        </w:div>
      </w:divsChild>
    </w:div>
    <w:div w:id="1166898299">
      <w:bodyDiv w:val="1"/>
      <w:marLeft w:val="0"/>
      <w:marRight w:val="0"/>
      <w:marTop w:val="0"/>
      <w:marBottom w:val="0"/>
      <w:divBdr>
        <w:top w:val="none" w:sz="0" w:space="0" w:color="auto"/>
        <w:left w:val="none" w:sz="0" w:space="0" w:color="auto"/>
        <w:bottom w:val="none" w:sz="0" w:space="0" w:color="auto"/>
        <w:right w:val="none" w:sz="0" w:space="0" w:color="auto"/>
      </w:divBdr>
      <w:divsChild>
        <w:div w:id="1934587068">
          <w:marLeft w:val="0"/>
          <w:marRight w:val="0"/>
          <w:marTop w:val="0"/>
          <w:marBottom w:val="0"/>
          <w:divBdr>
            <w:top w:val="none" w:sz="0" w:space="0" w:color="auto"/>
            <w:left w:val="none" w:sz="0" w:space="0" w:color="auto"/>
            <w:bottom w:val="none" w:sz="0" w:space="0" w:color="auto"/>
            <w:right w:val="none" w:sz="0" w:space="0" w:color="auto"/>
          </w:divBdr>
          <w:divsChild>
            <w:div w:id="282468447">
              <w:marLeft w:val="0"/>
              <w:marRight w:val="0"/>
              <w:marTop w:val="0"/>
              <w:marBottom w:val="0"/>
              <w:divBdr>
                <w:top w:val="none" w:sz="0" w:space="0" w:color="auto"/>
                <w:left w:val="none" w:sz="0" w:space="0" w:color="auto"/>
                <w:bottom w:val="none" w:sz="0" w:space="0" w:color="auto"/>
                <w:right w:val="none" w:sz="0" w:space="0" w:color="auto"/>
              </w:divBdr>
            </w:div>
          </w:divsChild>
        </w:div>
        <w:div w:id="737553528">
          <w:marLeft w:val="0"/>
          <w:marRight w:val="0"/>
          <w:marTop w:val="0"/>
          <w:marBottom w:val="0"/>
          <w:divBdr>
            <w:top w:val="none" w:sz="0" w:space="0" w:color="auto"/>
            <w:left w:val="none" w:sz="0" w:space="0" w:color="auto"/>
            <w:bottom w:val="none" w:sz="0" w:space="0" w:color="auto"/>
            <w:right w:val="none" w:sz="0" w:space="0" w:color="auto"/>
          </w:divBdr>
          <w:divsChild>
            <w:div w:id="1393503817">
              <w:marLeft w:val="0"/>
              <w:marRight w:val="0"/>
              <w:marTop w:val="0"/>
              <w:marBottom w:val="0"/>
              <w:divBdr>
                <w:top w:val="none" w:sz="0" w:space="0" w:color="auto"/>
                <w:left w:val="none" w:sz="0" w:space="0" w:color="auto"/>
                <w:bottom w:val="none" w:sz="0" w:space="0" w:color="auto"/>
                <w:right w:val="none" w:sz="0" w:space="0" w:color="auto"/>
              </w:divBdr>
              <w:divsChild>
                <w:div w:id="9235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51512">
      <w:bodyDiv w:val="1"/>
      <w:marLeft w:val="0"/>
      <w:marRight w:val="0"/>
      <w:marTop w:val="0"/>
      <w:marBottom w:val="0"/>
      <w:divBdr>
        <w:top w:val="none" w:sz="0" w:space="0" w:color="auto"/>
        <w:left w:val="none" w:sz="0" w:space="0" w:color="auto"/>
        <w:bottom w:val="none" w:sz="0" w:space="0" w:color="auto"/>
        <w:right w:val="none" w:sz="0" w:space="0" w:color="auto"/>
      </w:divBdr>
    </w:div>
    <w:div w:id="1391613866">
      <w:marLeft w:val="0"/>
      <w:marRight w:val="0"/>
      <w:marTop w:val="0"/>
      <w:marBottom w:val="0"/>
      <w:divBdr>
        <w:top w:val="none" w:sz="0" w:space="0" w:color="auto"/>
        <w:left w:val="none" w:sz="0" w:space="0" w:color="auto"/>
        <w:bottom w:val="none" w:sz="0" w:space="0" w:color="auto"/>
        <w:right w:val="none" w:sz="0" w:space="0" w:color="auto"/>
      </w:divBdr>
      <w:divsChild>
        <w:div w:id="1214273391">
          <w:marLeft w:val="0"/>
          <w:marRight w:val="0"/>
          <w:marTop w:val="0"/>
          <w:marBottom w:val="0"/>
          <w:divBdr>
            <w:top w:val="none" w:sz="0" w:space="0" w:color="auto"/>
            <w:left w:val="none" w:sz="0" w:space="0" w:color="auto"/>
            <w:bottom w:val="none" w:sz="0" w:space="0" w:color="auto"/>
            <w:right w:val="none" w:sz="0" w:space="0" w:color="auto"/>
          </w:divBdr>
          <w:divsChild>
            <w:div w:id="1396271597">
              <w:marLeft w:val="0"/>
              <w:marRight w:val="0"/>
              <w:marTop w:val="0"/>
              <w:marBottom w:val="0"/>
              <w:divBdr>
                <w:top w:val="none" w:sz="0" w:space="0" w:color="auto"/>
                <w:left w:val="none" w:sz="0" w:space="0" w:color="auto"/>
                <w:bottom w:val="none" w:sz="0" w:space="0" w:color="auto"/>
                <w:right w:val="none" w:sz="0" w:space="0" w:color="auto"/>
              </w:divBdr>
              <w:divsChild>
                <w:div w:id="1388145277">
                  <w:marLeft w:val="0"/>
                  <w:marRight w:val="0"/>
                  <w:marTop w:val="0"/>
                  <w:marBottom w:val="0"/>
                  <w:divBdr>
                    <w:top w:val="none" w:sz="0" w:space="0" w:color="auto"/>
                    <w:left w:val="none" w:sz="0" w:space="0" w:color="auto"/>
                    <w:bottom w:val="none" w:sz="0" w:space="0" w:color="auto"/>
                    <w:right w:val="none" w:sz="0" w:space="0" w:color="auto"/>
                  </w:divBdr>
                  <w:divsChild>
                    <w:div w:id="1529832350">
                      <w:marLeft w:val="0"/>
                      <w:marRight w:val="0"/>
                      <w:marTop w:val="0"/>
                      <w:marBottom w:val="0"/>
                      <w:divBdr>
                        <w:top w:val="none" w:sz="0" w:space="0" w:color="auto"/>
                        <w:left w:val="none" w:sz="0" w:space="0" w:color="auto"/>
                        <w:bottom w:val="none" w:sz="0" w:space="0" w:color="auto"/>
                        <w:right w:val="none" w:sz="0" w:space="0" w:color="auto"/>
                      </w:divBdr>
                      <w:divsChild>
                        <w:div w:id="6445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8598">
      <w:bodyDiv w:val="1"/>
      <w:marLeft w:val="0"/>
      <w:marRight w:val="0"/>
      <w:marTop w:val="0"/>
      <w:marBottom w:val="0"/>
      <w:divBdr>
        <w:top w:val="none" w:sz="0" w:space="0" w:color="auto"/>
        <w:left w:val="none" w:sz="0" w:space="0" w:color="auto"/>
        <w:bottom w:val="none" w:sz="0" w:space="0" w:color="auto"/>
        <w:right w:val="none" w:sz="0" w:space="0" w:color="auto"/>
      </w:divBdr>
    </w:div>
    <w:div w:id="1577670313">
      <w:bodyDiv w:val="1"/>
      <w:marLeft w:val="0"/>
      <w:marRight w:val="0"/>
      <w:marTop w:val="0"/>
      <w:marBottom w:val="0"/>
      <w:divBdr>
        <w:top w:val="none" w:sz="0" w:space="0" w:color="auto"/>
        <w:left w:val="none" w:sz="0" w:space="0" w:color="auto"/>
        <w:bottom w:val="none" w:sz="0" w:space="0" w:color="auto"/>
        <w:right w:val="none" w:sz="0" w:space="0" w:color="auto"/>
      </w:divBdr>
      <w:divsChild>
        <w:div w:id="387151394">
          <w:marLeft w:val="0"/>
          <w:marRight w:val="0"/>
          <w:marTop w:val="0"/>
          <w:marBottom w:val="0"/>
          <w:divBdr>
            <w:top w:val="none" w:sz="0" w:space="0" w:color="auto"/>
            <w:left w:val="none" w:sz="0" w:space="0" w:color="auto"/>
            <w:bottom w:val="none" w:sz="0" w:space="0" w:color="auto"/>
            <w:right w:val="none" w:sz="0" w:space="0" w:color="auto"/>
          </w:divBdr>
          <w:divsChild>
            <w:div w:id="130489103">
              <w:marLeft w:val="0"/>
              <w:marRight w:val="0"/>
              <w:marTop w:val="0"/>
              <w:marBottom w:val="0"/>
              <w:divBdr>
                <w:top w:val="none" w:sz="0" w:space="0" w:color="auto"/>
                <w:left w:val="none" w:sz="0" w:space="0" w:color="auto"/>
                <w:bottom w:val="none" w:sz="0" w:space="0" w:color="auto"/>
                <w:right w:val="none" w:sz="0" w:space="0" w:color="auto"/>
              </w:divBdr>
            </w:div>
          </w:divsChild>
        </w:div>
        <w:div w:id="1675105276">
          <w:marLeft w:val="0"/>
          <w:marRight w:val="0"/>
          <w:marTop w:val="0"/>
          <w:marBottom w:val="0"/>
          <w:divBdr>
            <w:top w:val="none" w:sz="0" w:space="0" w:color="auto"/>
            <w:left w:val="none" w:sz="0" w:space="0" w:color="auto"/>
            <w:bottom w:val="none" w:sz="0" w:space="0" w:color="auto"/>
            <w:right w:val="none" w:sz="0" w:space="0" w:color="auto"/>
          </w:divBdr>
          <w:divsChild>
            <w:div w:id="1412387718">
              <w:marLeft w:val="0"/>
              <w:marRight w:val="0"/>
              <w:marTop w:val="0"/>
              <w:marBottom w:val="0"/>
              <w:divBdr>
                <w:top w:val="none" w:sz="0" w:space="0" w:color="auto"/>
                <w:left w:val="none" w:sz="0" w:space="0" w:color="auto"/>
                <w:bottom w:val="none" w:sz="0" w:space="0" w:color="auto"/>
                <w:right w:val="none" w:sz="0" w:space="0" w:color="auto"/>
              </w:divBdr>
              <w:divsChild>
                <w:div w:id="4092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38666">
      <w:marLeft w:val="0"/>
      <w:marRight w:val="0"/>
      <w:marTop w:val="0"/>
      <w:marBottom w:val="0"/>
      <w:divBdr>
        <w:top w:val="none" w:sz="0" w:space="0" w:color="auto"/>
        <w:left w:val="none" w:sz="0" w:space="0" w:color="auto"/>
        <w:bottom w:val="none" w:sz="0" w:space="0" w:color="auto"/>
        <w:right w:val="none" w:sz="0" w:space="0" w:color="auto"/>
      </w:divBdr>
      <w:divsChild>
        <w:div w:id="626816431">
          <w:marLeft w:val="0"/>
          <w:marRight w:val="0"/>
          <w:marTop w:val="0"/>
          <w:marBottom w:val="0"/>
          <w:divBdr>
            <w:top w:val="none" w:sz="0" w:space="0" w:color="auto"/>
            <w:left w:val="none" w:sz="0" w:space="0" w:color="auto"/>
            <w:bottom w:val="none" w:sz="0" w:space="0" w:color="auto"/>
            <w:right w:val="none" w:sz="0" w:space="0" w:color="auto"/>
          </w:divBdr>
        </w:div>
      </w:divsChild>
    </w:div>
    <w:div w:id="1642225923">
      <w:marLeft w:val="0"/>
      <w:marRight w:val="0"/>
      <w:marTop w:val="0"/>
      <w:marBottom w:val="0"/>
      <w:divBdr>
        <w:top w:val="none" w:sz="0" w:space="0" w:color="auto"/>
        <w:left w:val="none" w:sz="0" w:space="0" w:color="auto"/>
        <w:bottom w:val="none" w:sz="0" w:space="0" w:color="auto"/>
        <w:right w:val="none" w:sz="0" w:space="0" w:color="auto"/>
      </w:divBdr>
      <w:divsChild>
        <w:div w:id="100614501">
          <w:marLeft w:val="0"/>
          <w:marRight w:val="0"/>
          <w:marTop w:val="0"/>
          <w:marBottom w:val="0"/>
          <w:divBdr>
            <w:top w:val="none" w:sz="0" w:space="0" w:color="auto"/>
            <w:left w:val="none" w:sz="0" w:space="0" w:color="auto"/>
            <w:bottom w:val="none" w:sz="0" w:space="0" w:color="auto"/>
            <w:right w:val="none" w:sz="0" w:space="0" w:color="auto"/>
          </w:divBdr>
          <w:divsChild>
            <w:div w:id="2005547059">
              <w:marLeft w:val="0"/>
              <w:marRight w:val="0"/>
              <w:marTop w:val="0"/>
              <w:marBottom w:val="0"/>
              <w:divBdr>
                <w:top w:val="none" w:sz="0" w:space="0" w:color="auto"/>
                <w:left w:val="none" w:sz="0" w:space="0" w:color="auto"/>
                <w:bottom w:val="none" w:sz="0" w:space="0" w:color="auto"/>
                <w:right w:val="none" w:sz="0" w:space="0" w:color="auto"/>
              </w:divBdr>
              <w:divsChild>
                <w:div w:id="1391076000">
                  <w:marLeft w:val="0"/>
                  <w:marRight w:val="0"/>
                  <w:marTop w:val="0"/>
                  <w:marBottom w:val="0"/>
                  <w:divBdr>
                    <w:top w:val="none" w:sz="0" w:space="0" w:color="auto"/>
                    <w:left w:val="none" w:sz="0" w:space="0" w:color="auto"/>
                    <w:bottom w:val="none" w:sz="0" w:space="0" w:color="auto"/>
                    <w:right w:val="none" w:sz="0" w:space="0" w:color="auto"/>
                  </w:divBdr>
                  <w:divsChild>
                    <w:div w:id="1153371606">
                      <w:marLeft w:val="0"/>
                      <w:marRight w:val="0"/>
                      <w:marTop w:val="0"/>
                      <w:marBottom w:val="0"/>
                      <w:divBdr>
                        <w:top w:val="none" w:sz="0" w:space="0" w:color="auto"/>
                        <w:left w:val="none" w:sz="0" w:space="0" w:color="auto"/>
                        <w:bottom w:val="none" w:sz="0" w:space="0" w:color="auto"/>
                        <w:right w:val="none" w:sz="0" w:space="0" w:color="auto"/>
                      </w:divBdr>
                      <w:divsChild>
                        <w:div w:id="14646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94860">
      <w:marLeft w:val="0"/>
      <w:marRight w:val="0"/>
      <w:marTop w:val="0"/>
      <w:marBottom w:val="0"/>
      <w:divBdr>
        <w:top w:val="none" w:sz="0" w:space="0" w:color="auto"/>
        <w:left w:val="none" w:sz="0" w:space="0" w:color="auto"/>
        <w:bottom w:val="none" w:sz="0" w:space="0" w:color="auto"/>
        <w:right w:val="none" w:sz="0" w:space="0" w:color="auto"/>
      </w:divBdr>
      <w:divsChild>
        <w:div w:id="1084717184">
          <w:marLeft w:val="0"/>
          <w:marRight w:val="0"/>
          <w:marTop w:val="0"/>
          <w:marBottom w:val="0"/>
          <w:divBdr>
            <w:top w:val="none" w:sz="0" w:space="0" w:color="auto"/>
            <w:left w:val="none" w:sz="0" w:space="0" w:color="auto"/>
            <w:bottom w:val="none" w:sz="0" w:space="0" w:color="auto"/>
            <w:right w:val="none" w:sz="0" w:space="0" w:color="auto"/>
          </w:divBdr>
          <w:divsChild>
            <w:div w:id="716586680">
              <w:marLeft w:val="0"/>
              <w:marRight w:val="0"/>
              <w:marTop w:val="0"/>
              <w:marBottom w:val="0"/>
              <w:divBdr>
                <w:top w:val="none" w:sz="0" w:space="0" w:color="auto"/>
                <w:left w:val="none" w:sz="0" w:space="0" w:color="auto"/>
                <w:bottom w:val="none" w:sz="0" w:space="0" w:color="auto"/>
                <w:right w:val="none" w:sz="0" w:space="0" w:color="auto"/>
              </w:divBdr>
              <w:divsChild>
                <w:div w:id="5229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66345">
      <w:marLeft w:val="0"/>
      <w:marRight w:val="0"/>
      <w:marTop w:val="0"/>
      <w:marBottom w:val="0"/>
      <w:divBdr>
        <w:top w:val="none" w:sz="0" w:space="0" w:color="auto"/>
        <w:left w:val="none" w:sz="0" w:space="0" w:color="auto"/>
        <w:bottom w:val="none" w:sz="0" w:space="0" w:color="auto"/>
        <w:right w:val="none" w:sz="0" w:space="0" w:color="auto"/>
      </w:divBdr>
      <w:divsChild>
        <w:div w:id="626396364">
          <w:marLeft w:val="0"/>
          <w:marRight w:val="0"/>
          <w:marTop w:val="0"/>
          <w:marBottom w:val="0"/>
          <w:divBdr>
            <w:top w:val="none" w:sz="0" w:space="0" w:color="auto"/>
            <w:left w:val="none" w:sz="0" w:space="0" w:color="auto"/>
            <w:bottom w:val="none" w:sz="0" w:space="0" w:color="auto"/>
            <w:right w:val="none" w:sz="0" w:space="0" w:color="auto"/>
          </w:divBdr>
        </w:div>
      </w:divsChild>
    </w:div>
    <w:div w:id="2065442347">
      <w:marLeft w:val="0"/>
      <w:marRight w:val="0"/>
      <w:marTop w:val="0"/>
      <w:marBottom w:val="0"/>
      <w:divBdr>
        <w:top w:val="none" w:sz="0" w:space="0" w:color="auto"/>
        <w:left w:val="none" w:sz="0" w:space="0" w:color="auto"/>
        <w:bottom w:val="none" w:sz="0" w:space="0" w:color="auto"/>
        <w:right w:val="none" w:sz="0" w:space="0" w:color="auto"/>
      </w:divBdr>
      <w:divsChild>
        <w:div w:id="1624270234">
          <w:marLeft w:val="0"/>
          <w:marRight w:val="0"/>
          <w:marTop w:val="0"/>
          <w:marBottom w:val="0"/>
          <w:divBdr>
            <w:top w:val="none" w:sz="0" w:space="0" w:color="auto"/>
            <w:left w:val="none" w:sz="0" w:space="0" w:color="auto"/>
            <w:bottom w:val="none" w:sz="0" w:space="0" w:color="auto"/>
            <w:right w:val="none" w:sz="0" w:space="0" w:color="auto"/>
          </w:divBdr>
        </w:div>
      </w:divsChild>
    </w:div>
    <w:div w:id="2071924838">
      <w:marLeft w:val="0"/>
      <w:marRight w:val="0"/>
      <w:marTop w:val="0"/>
      <w:marBottom w:val="0"/>
      <w:divBdr>
        <w:top w:val="none" w:sz="0" w:space="0" w:color="auto"/>
        <w:left w:val="none" w:sz="0" w:space="0" w:color="auto"/>
        <w:bottom w:val="none" w:sz="0" w:space="0" w:color="auto"/>
        <w:right w:val="none" w:sz="0" w:space="0" w:color="auto"/>
      </w:divBdr>
      <w:divsChild>
        <w:div w:id="606349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13</Pages>
  <Words>3984</Words>
  <Characters>22710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Abuouf</dc:creator>
  <cp:keywords/>
  <dc:description/>
  <cp:lastModifiedBy>Ahmed Abuouf</cp:lastModifiedBy>
  <cp:revision>31</cp:revision>
  <dcterms:created xsi:type="dcterms:W3CDTF">2024-02-03T08:16:00Z</dcterms:created>
  <dcterms:modified xsi:type="dcterms:W3CDTF">2024-02-03T13:26:00Z</dcterms:modified>
</cp:coreProperties>
</file>