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700"/>
        <w:jc w:val="center"/>
      </w:pPr>
      <w:r>
        <w:rPr>
          <w:b/>
          <w:bCs/>
          <w:color w:val="1A1A22"/>
          <w:sz w:val="52"/>
          <w:szCs w:val="52"/>
        </w:rPr>
        <w:t xml:space="preserve">TrendPulse GoldenGoose</w:t>
      </w:r>
    </w:p>
    <w:p>
      <w:pPr>
        <w:spacing w:after="30"/>
        <w:jc w:val="center"/>
      </w:pPr>
      <w:r>
        <w:rPr>
          <w:b/>
          <w:bCs/>
          <w:color w:val="C6A052"/>
          <w:sz w:val="30"/>
          <w:szCs w:val="30"/>
        </w:rPr>
        <w:t xml:space="preserve">E4 · User Guide</w:t>
      </w:r>
    </w:p>
    <w:p>
      <w:pPr>
        <w:spacing w:after="260"/>
        <w:jc w:val="center"/>
      </w:pPr>
      <w:r>
        <w:rPr>
          <w:color w:val="4B7BF5"/>
          <w:sz w:val="24"/>
          <w:szCs w:val="24"/>
        </w:rPr>
        <w:t xml:space="preserve">Part 1 — Install, Verify &amp; Run</w:t>
      </w:r>
    </w:p>
    <w:p>
      <w:pPr>
        <w:spacing w:after="80"/>
        <w:jc w:val="center"/>
      </w:pPr>
      <w:r>
        <w:rPr>
          <w:i/>
          <w:iCs/>
          <w:color w:val="6B6456"/>
          <w:sz w:val="22"/>
          <w:szCs w:val="22"/>
        </w:rPr>
        <w:t xml:space="preserve">The free, open-source gold engine for MetaTrader 5 — from download to a verified, AI-gated live deployment.</w:t>
      </w:r>
    </w:p>
    <w:p>
      <w:pPr>
        <w:spacing w:after="120"/>
      </w:pPr>
    </w:p>
    <w:tbl>
      <w:tblPr>
        <w:tblW w:type="dxa" w:w="9360"/>
        <w:tblBorders>
          <w:top w:val="single" w:color="4B7BF5" w:sz="2"/>
          <w:left w:val="single" w:color="4B7BF5" w:sz="18"/>
          <w:bottom w:val="single" w:color="4B7BF5" w:sz="2"/>
          <w:right w:val="single" w:color="4B7BF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A5599"/>
                <w:sz w:val="20"/>
                <w:szCs w:val="20"/>
              </w:rPr>
              <w:t xml:space="preserve">Two guides</w:t>
            </w:r>
          </w:p>
          <w:p>
            <w:pPr>
              <w:spacing w:line="276"/>
            </w:pPr>
            <w:r>
              <w:rPr>
                <w:color w:val="333333"/>
                <w:sz w:val="20"/>
                <w:szCs w:val="20"/>
              </w:rPr>
              <w:t xml:space="preserve">This is </w:t>
            </w:r>
            <w:r>
              <w:rPr>
                <w:b/>
                <w:bCs/>
                <w:color w:val="1A1A22"/>
                <w:sz w:val="20"/>
                <w:szCs w:val="20"/>
              </w:rPr>
              <w:t xml:space="preserve">Part 1</w:t>
            </w:r>
            <w:r>
              <w:rPr>
                <w:color w:val="333333"/>
                <w:sz w:val="20"/>
                <w:szCs w:val="20"/>
              </w:rPr>
              <w:t xml:space="preserve">: getting the EA installed, verified against the published results, and running. Ready to go deeper into every input and tuning knob? See </w:t>
            </w:r>
            <w:r>
              <w:rPr>
                <w:b/>
                <w:bCs/>
                <w:color w:val="1A1A22"/>
                <w:sz w:val="20"/>
                <w:szCs w:val="20"/>
              </w:rPr>
              <w:t xml:space="preserve">Part 2 — The Deep Dive</w:t>
            </w:r>
            <w:r>
              <w:rPr>
                <w:color w:val="333333"/>
                <w:sz w:val="20"/>
                <w:szCs w:val="20"/>
              </w:rPr>
              <w:t xml:space="preserve">, where every important input (and the minor ones that still matter) is explained in full.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6B6456"/>
          <w:sz w:val="18"/>
          <w:szCs w:val="18"/>
        </w:rPr>
        <w:t xml:space="preserve">Home / landing page:  </w:t>
      </w:r>
      <w:r>
        <w:rPr>
          <w:color w:val="4B7BF5"/>
          <w:sz w:val="18"/>
          <w:szCs w:val="18"/>
          <w:u w:val="single"/>
        </w:rPr>
        <w:t xml:space="preserve">https://trendpulselabs.github.io/</w:t>
      </w:r>
    </w:p>
    <w:p>
      <w:pPr>
        <w:spacing w:after="40"/>
      </w:pPr>
      <w:r>
        <w:rPr>
          <w:b/>
          <w:bCs/>
          <w:color w:val="6B6456"/>
          <w:sz w:val="18"/>
          <w:szCs w:val="18"/>
        </w:rPr>
        <w:t xml:space="preserve">Premium — APEX Pro v6:  </w:t>
      </w:r>
      <w:r>
        <w:rPr>
          <w:color w:val="4B7BF5"/>
          <w:sz w:val="18"/>
          <w:szCs w:val="18"/>
          <w:u w:val="single"/>
        </w:rPr>
        <w:t xml:space="preserve">https://trendpulselabs.github.io/apex/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A1A22"/>
          <w:sz w:val="30"/>
          <w:szCs w:val="30"/>
        </w:rPr>
        <w:t xml:space="preserve">0 · What you need</w:t>
      </w:r>
    </w:p>
    <w:p>
      <w:pPr>
        <w:spacing w:after="130" w:line="288"/>
      </w:pPr>
      <w:r>
        <w:rPr>
          <w:color w:val="2B2B33"/>
          <w:sz w:val="21"/>
          <w:szCs w:val="21"/>
        </w:rPr>
        <w:t xml:space="preserve">GoldenGoose is the </w:t>
      </w:r>
      <w:r>
        <w:rPr>
          <w:b/>
          <w:bCs/>
          <w:color w:val="1A1A22"/>
          <w:sz w:val="21"/>
          <w:szCs w:val="21"/>
        </w:rPr>
        <w:t xml:space="preserve">E4 “Pullback” engine</w:t>
      </w:r>
      <w:r>
        <w:rPr>
          <w:color w:val="2B2B33"/>
          <w:sz w:val="21"/>
          <w:szCs w:val="21"/>
        </w:rPr>
        <w:t xml:space="preserve"> from TrendPulse APEX Pro, released free and fully open-source. It trades </w:t>
      </w:r>
      <w:r>
        <w:rPr>
          <w:b/>
          <w:bCs/>
          <w:color w:val="1A1A22"/>
          <w:sz w:val="21"/>
          <w:szCs w:val="21"/>
        </w:rPr>
        <w:t xml:space="preserve">gold only</w:t>
      </w:r>
      <w:r>
        <w:rPr>
          <w:color w:val="2B2B33"/>
          <w:sz w:val="21"/>
          <w:szCs w:val="21"/>
        </w:rPr>
        <w:t xml:space="preserve"> — standard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XAUUSD</w:t>
      </w:r>
      <w:r>
        <w:rPr>
          <w:color w:val="2B2B33"/>
          <w:sz w:val="21"/>
          <w:szCs w:val="21"/>
        </w:rPr>
        <w:t xml:space="preserve">, or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XAUUSDmicro</w:t>
      </w:r>
      <w:r>
        <w:rPr>
          <w:color w:val="2B2B33"/>
          <w:sz w:val="21"/>
          <w:szCs w:val="21"/>
        </w:rPr>
        <w:t xml:space="preserve"> for smaller accounts. Before you begin, make sure you have: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color w:val="2B2B33"/>
          <w:sz w:val="21"/>
          <w:szCs w:val="21"/>
        </w:rPr>
        <w:t xml:space="preserve">MetaTrader 5, from any broker offering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XAUUSD</w:t>
      </w:r>
      <w:r>
        <w:rPr>
          <w:color w:val="2B2B33"/>
          <w:sz w:val="21"/>
          <w:szCs w:val="21"/>
        </w:rPr>
        <w:t xml:space="preserve"> (and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XAUUSDmicro</w:t>
      </w:r>
      <w:r>
        <w:rPr>
          <w:color w:val="2B2B33"/>
          <w:sz w:val="21"/>
          <w:szCs w:val="21"/>
        </w:rPr>
        <w:t xml:space="preserve"> if your account is under $500).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color w:val="2B2B33"/>
          <w:sz w:val="21"/>
          <w:szCs w:val="21"/>
        </w:rPr>
        <w:t xml:space="preserve">The EA file: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TrendPulseGoldenGoose_E4.mq5</w:t>
      </w:r>
      <w:r>
        <w:rPr>
          <w:color w:val="2B2B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color w:val="2B2B33"/>
          <w:sz w:val="21"/>
          <w:szCs w:val="21"/>
        </w:rPr>
        <w:t xml:space="preserve">For the optional AI layer (added later): Python 3.10+, and either an OpenAI API key or a local Ollama install.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color w:val="2B2B33"/>
          <w:sz w:val="21"/>
          <w:szCs w:val="21"/>
        </w:rPr>
        <w:t xml:space="preserve">A VPS is strongly recommended for live running (24/5 uptime).</w:t>
      </w:r>
    </w:p>
    <w:p>
      <w:pPr>
        <w:pStyle w:val="Heading1"/>
        <w:spacing w:after="140" w:before="320"/>
      </w:pPr>
      <w:r>
        <w:rPr>
          <w:b/>
          <w:bCs/>
          <w:color w:val="1A1A22"/>
          <w:sz w:val="30"/>
          <w:szCs w:val="30"/>
        </w:rPr>
        <w:t xml:space="preserve">1 · Install the EA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In MetaTrader 5, open </w:t>
      </w:r>
      <w:r>
        <w:rPr>
          <w:b/>
          <w:bCs/>
          <w:color w:val="1A1A22"/>
          <w:sz w:val="21"/>
          <w:szCs w:val="21"/>
        </w:rPr>
        <w:t xml:space="preserve">File → Open Data Folder</w:t>
      </w:r>
      <w:r>
        <w:rPr>
          <w:color w:val="2B2B33"/>
          <w:sz w:val="21"/>
          <w:szCs w:val="21"/>
        </w:rPr>
        <w:t xml:space="preserve">, then navigate to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MQL5\Experts\</w:t>
      </w:r>
      <w:r>
        <w:rPr>
          <w:color w:val="2B2B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Copy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TrendPulseGoldenGoose_E4.mq5</w:t>
      </w:r>
      <w:r>
        <w:rPr>
          <w:color w:val="2B2B33"/>
          <w:sz w:val="21"/>
          <w:szCs w:val="21"/>
        </w:rPr>
        <w:t xml:space="preserve"> into that folder.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Open </w:t>
      </w:r>
      <w:r>
        <w:rPr>
          <w:b/>
          <w:bCs/>
          <w:color w:val="1A1A22"/>
          <w:sz w:val="21"/>
          <w:szCs w:val="21"/>
        </w:rPr>
        <w:t xml:space="preserve">MetaEditor</w:t>
      </w:r>
      <w:r>
        <w:rPr>
          <w:color w:val="2B2B33"/>
          <w:sz w:val="21"/>
          <w:szCs w:val="21"/>
        </w:rPr>
        <w:t xml:space="preserve">, find the file in the Navigator, and press </w:t>
      </w:r>
      <w:r>
        <w:rPr>
          <w:b/>
          <w:bCs/>
          <w:color w:val="1A1A22"/>
          <w:sz w:val="21"/>
          <w:szCs w:val="21"/>
        </w:rPr>
        <w:t xml:space="preserve">F7</w:t>
      </w:r>
      <w:r>
        <w:rPr>
          <w:color w:val="2B2B33"/>
          <w:sz w:val="21"/>
          <w:szCs w:val="21"/>
        </w:rPr>
        <w:t xml:space="preserve"> to compile. You want “0 errors, 0 warnings.”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Back in MT5, the EA appears under </w:t>
      </w:r>
      <w:r>
        <w:rPr>
          <w:b/>
          <w:bCs/>
          <w:color w:val="1A1A22"/>
          <w:sz w:val="21"/>
          <w:szCs w:val="21"/>
        </w:rPr>
        <w:t xml:space="preserve">Navigator → Expert Advisors</w:t>
      </w:r>
      <w:r>
        <w:rPr>
          <w:color w:val="2B2B33"/>
          <w:sz w:val="21"/>
          <w:szCs w:val="21"/>
        </w:rPr>
        <w:t xml:space="preserve">. Drag it onto an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XAUUSD</w:t>
      </w:r>
      <w:r>
        <w:rPr>
          <w:color w:val="2B2B33"/>
          <w:sz w:val="21"/>
          <w:szCs w:val="21"/>
        </w:rPr>
        <w:t xml:space="preserve"> (or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XAUUSDmicro</w:t>
      </w:r>
      <w:r>
        <w:rPr>
          <w:color w:val="2B2B33"/>
          <w:sz w:val="21"/>
          <w:szCs w:val="21"/>
        </w:rPr>
        <w:t xml:space="preserve">) chart.</w:t>
      </w:r>
    </w:p>
    <w:tbl>
      <w:tblPr>
        <w:tblW w:type="dxa" w:w="9360"/>
        <w:tblBorders>
          <w:top w:val="single" w:color="4B7BF5" w:sz="2"/>
          <w:left w:val="single" w:color="4B7BF5" w:sz="18"/>
          <w:bottom w:val="single" w:color="4B7BF5" w:sz="2"/>
          <w:right w:val="single" w:color="4B7BF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A5599"/>
                <w:sz w:val="20"/>
                <w:szCs w:val="20"/>
              </w:rPr>
              <w:t xml:space="preserve">Auto-detect</w:t>
            </w:r>
          </w:p>
          <w:p>
            <w:pPr>
              <w:spacing w:line="276"/>
            </w:pPr>
            <w:r>
              <w:rPr>
                <w:color w:val="333333"/>
                <w:sz w:val="20"/>
                <w:szCs w:val="20"/>
              </w:rPr>
              <w:t xml:space="preserve">GoldenGoose binds to whichever symbol you attach it to. Attach it to a standard gold chart and it trades </w:t>
            </w:r>
            <w:r>
              <w:rPr>
                <w:rFonts w:ascii="Consolas" w:cs="Consolas" w:eastAsia="Consolas" w:hAnsi="Consolas"/>
                <w:color w:val="A03A00"/>
                <w:sz w:val="18"/>
                <w:szCs w:val="18"/>
              </w:rPr>
              <w:t xml:space="preserve">XAUUSD</w:t>
            </w:r>
            <w:r>
              <w:rPr>
                <w:color w:val="333333"/>
                <w:sz w:val="20"/>
                <w:szCs w:val="20"/>
              </w:rPr>
              <w:t xml:space="preserve">; attach it to the micro chart and it trades </w:t>
            </w:r>
            <w:r>
              <w:rPr>
                <w:rFonts w:ascii="Consolas" w:cs="Consolas" w:eastAsia="Consolas" w:hAnsi="Consolas"/>
                <w:color w:val="A03A00"/>
                <w:sz w:val="18"/>
                <w:szCs w:val="18"/>
              </w:rPr>
              <w:t xml:space="preserve">XAUUSDmicro</w:t>
            </w:r>
            <w:r>
              <w:rPr>
                <w:color w:val="333333"/>
                <w:sz w:val="20"/>
                <w:szCs w:val="20"/>
              </w:rPr>
              <w:t xml:space="preserve">. You do not need to change any symbol setting by hand.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A1A22"/>
          <w:sz w:val="30"/>
          <w:szCs w:val="30"/>
        </w:rPr>
        <w:t xml:space="preserve">2 · The account rule (read this first)</w:t>
      </w:r>
    </w:p>
    <w:tbl>
      <w:tblPr>
        <w:tblW w:type="dxa" w:w="9360"/>
        <w:tblBorders>
          <w:top w:val="single" w:color="D08A3A" w:sz="2"/>
          <w:left w:val="single" w:color="D08A3A" w:sz="18"/>
          <w:bottom w:val="single" w:color="D08A3A" w:sz="2"/>
          <w:right w:val="single" w:color="D08A3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0E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A5A18"/>
                <w:sz w:val="20"/>
                <w:szCs w:val="20"/>
              </w:rPr>
              <w:t xml:space="preserve">No compromise</w:t>
            </w:r>
          </w:p>
          <w:p>
            <w:pPr>
              <w:spacing w:line="276"/>
            </w:pPr>
            <w:r>
              <w:rPr>
                <w:color w:val="333333"/>
                <w:sz w:val="20"/>
                <w:szCs w:val="20"/>
              </w:rPr>
              <w:t xml:space="preserve">Accounts under </w:t>
            </w:r>
            <w:r>
              <w:rPr>
                <w:b/>
                <w:bCs/>
                <w:color w:val="1A1A22"/>
                <w:sz w:val="20"/>
                <w:szCs w:val="20"/>
              </w:rPr>
              <w:t xml:space="preserve">$500</w:t>
            </w:r>
            <w:r>
              <w:rPr>
                <w:color w:val="333333"/>
                <w:sz w:val="20"/>
                <w:szCs w:val="20"/>
              </w:rPr>
              <w:t xml:space="preserve"> use </w:t>
            </w:r>
            <w:r>
              <w:rPr>
                <w:rFonts w:ascii="Consolas" w:cs="Consolas" w:eastAsia="Consolas" w:hAnsi="Consolas"/>
                <w:color w:val="A03A00"/>
                <w:sz w:val="18"/>
                <w:szCs w:val="18"/>
              </w:rPr>
              <w:t xml:space="preserve">XAUUSDmicro</w:t>
            </w:r>
            <w:r>
              <w:rPr>
                <w:color w:val="333333"/>
                <w:sz w:val="20"/>
                <w:szCs w:val="20"/>
              </w:rPr>
              <w:t xml:space="preserve">. Accounts </w:t>
            </w:r>
            <w:r>
              <w:rPr>
                <w:b/>
                <w:bCs/>
                <w:color w:val="1A1A22"/>
                <w:sz w:val="20"/>
                <w:szCs w:val="20"/>
              </w:rPr>
              <w:t xml:space="preserve">$500 and above</w:t>
            </w:r>
            <w:r>
              <w:rPr>
                <w:color w:val="333333"/>
                <w:sz w:val="20"/>
                <w:szCs w:val="20"/>
              </w:rPr>
              <w:t xml:space="preserve"> use standard </w:t>
            </w:r>
            <w:r>
              <w:rPr>
                <w:rFonts w:ascii="Consolas" w:cs="Consolas" w:eastAsia="Consolas" w:hAnsi="Consolas"/>
                <w:color w:val="A03A00"/>
                <w:sz w:val="18"/>
                <w:szCs w:val="18"/>
              </w:rPr>
              <w:t xml:space="preserve">XAUUSD</w:t>
            </w:r>
            <w:r>
              <w:rPr>
                <w:color w:val="333333"/>
                <w:sz w:val="20"/>
                <w:szCs w:val="20"/>
              </w:rPr>
              <w:t xml:space="preserve">. Running standard lots on a small account is the single fastest way to turn a sound system into a blown account through drawdown that was never the system’s fault.</w:t>
            </w:r>
          </w:p>
        </w:tc>
      </w:tr>
    </w:tbl>
    <w:p>
      <w:pPr>
        <w:spacing w:after="130" w:line="288"/>
      </w:pPr>
      <w:r>
        <w:rPr>
          <w:color w:val="2B2B33"/>
          <w:sz w:val="21"/>
          <w:szCs w:val="21"/>
        </w:rPr>
        <w:t xml:space="preserve">Micro contracts are 100× finer, so a small account can size positions correctly instead of being forced onto oversized standard lots. This one rule protects more accounts than any other setting in the EA.</w:t>
      </w:r>
    </w:p>
    <w:p>
      <w:pPr>
        <w:pStyle w:val="Heading1"/>
        <w:spacing w:after="140" w:before="320"/>
      </w:pPr>
      <w:r>
        <w:rPr>
          <w:b/>
          <w:bCs/>
          <w:color w:val="1A1A22"/>
          <w:sz w:val="30"/>
          <w:szCs w:val="30"/>
        </w:rPr>
        <w:t xml:space="preserve">3 · Confirm it loaded — the boot banner</w:t>
      </w:r>
    </w:p>
    <w:p>
      <w:pPr>
        <w:spacing w:after="130" w:line="288"/>
      </w:pPr>
      <w:r>
        <w:rPr>
          <w:color w:val="2B2B33"/>
          <w:sz w:val="21"/>
          <w:szCs w:val="21"/>
        </w:rPr>
        <w:t xml:space="preserve">When the EA attaches successfully, it prints a boot banner to the </w:t>
      </w:r>
      <w:r>
        <w:rPr>
          <w:b/>
          <w:bCs/>
          <w:color w:val="1A1A22"/>
          <w:sz w:val="21"/>
          <w:szCs w:val="21"/>
        </w:rPr>
        <w:t xml:space="preserve">Experts</w:t>
      </w:r>
      <w:r>
        <w:rPr>
          <w:color w:val="2B2B33"/>
          <w:sz w:val="21"/>
          <w:szCs w:val="21"/>
        </w:rPr>
        <w:t xml:space="preserve"> tab (and, if you’ve wired Telegram, a matching card there). It’s a full readout of the live configuration — a quick way to confirm everything is set the way you expect. Yours will look like this:</w:t>
      </w:r>
    </w:p>
    <w:p>
      <w:pPr>
        <w:pBdr>
          <w:left w:val="single" w:color="C6A052" w:sz="18" w:space="8"/>
        </w:pBdr>
        <w:shd w:fill="F3F1EC" w:val="clear"/>
        <w:spacing w:after="0" w:before="6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🪿🥚🟨  T R E N D P U L S E   G O L D E N   G O O S E   ·   E4  🟨🥚🪿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single engine  -  XAUUSD  -  PULLBACK  -  open source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🟨🟩🟨🟩🟨🟩🟨🟩🟨🟩🟨🟩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💰 Risk  1.0% / R   [HWM %peak]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📐 R = 2.0xATR @ M15   VLE unit 2 (auto-$)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🧱 Pyramid  [on-rung]  maxTiers 3  size 0.50x*0.50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🔒 Disaster  L1 1.0R  -  L2 0.5R (flip leg)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⛽ Fuel  vol&gt;=1.171  ADX&lt;29.3  [frozen]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🪜 Rungs  +0.5 -&gt; +2.5R  (banked ladder)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📉 k-trail  2.0-&gt;1.5-&gt;1.1-&gt;0.8-&gt;0.6-&gt;0.5 xATR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⚡ Flip &lt;= rung 3  -  max legs 2  -  12h stop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🚧 Breaker  5.0R  = $214.57 at R $42.91  (realized+floating)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📆 Day cap  5 buys - 5 sells  (1 at a time, L2 free)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🧠 AI gate  ON  -  fail-CLOSED  -  timeout 8000ms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📅 Friday  16:00 cut / 21:30 flat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🟨🟩🟨🟩🟨🟩🟨🟩🟨🟩🟨🟩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🥚 E4  PULLBACK   #88000104   VLE $7.00 @min lot (base $7)  ⚡flip</w:t>
      </w:r>
    </w:p>
    <w:p>
      <w:pPr>
        <w:pBdr>
          <w:left w:val="single" w:color="C6A052" w:sz="18" w:space="8"/>
        </w:pBdr>
        <w:shd w:fill="F3F1EC" w:val="clear"/>
        <w:spacing w:after="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🟨🟩🟨🟩🟨🟩🟨🟩🟨🟩🟨🟩</w:t>
      </w:r>
    </w:p>
    <w:p>
      <w:pPr>
        <w:pBdr>
          <w:left w:val="single" w:color="C6A052" w:sz="18" w:space="8"/>
        </w:pBdr>
        <w:shd w:fill="F3F1EC" w:val="clear"/>
        <w:spacing w:after="150" w:before="0" w:line="264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🟢 GOLDEN GOOSE E4 online — AI gate armed, hunting setups...</w:t>
      </w:r>
    </w:p>
    <w:p>
      <w:pPr>
        <w:spacing w:after="180"/>
        <w:jc w:val="center"/>
      </w:pPr>
      <w:r>
        <w:rPr>
          <w:i/>
          <w:iCs/>
          <w:color w:val="6B6456"/>
          <w:sz w:val="17"/>
          <w:szCs w:val="17"/>
        </w:rPr>
        <w:t xml:space="preserve">The GoldenGoose E4 boot banner — every active setting at a glance, printed the moment the EA starts.</w:t>
      </w:r>
    </w:p>
    <w:p>
      <w:pPr>
        <w:spacing w:after="130" w:line="288"/>
      </w:pPr>
      <w:r>
        <w:rPr>
          <w:color w:val="2B2B33"/>
          <w:sz w:val="21"/>
          <w:szCs w:val="21"/>
        </w:rPr>
        <w:t xml:space="preserve">Read it top to bottom: risk per trade, the R unit, the fuel gate thresholds, the ladder and trail, the daily breaker (shown here as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$214.57</w:t>
      </w:r>
      <w:r>
        <w:rPr>
          <w:color w:val="2B2B33"/>
          <w:sz w:val="21"/>
          <w:szCs w:val="21"/>
        </w:rPr>
        <w:t xml:space="preserve"> at an R of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$42.91</w:t>
      </w:r>
      <w:r>
        <w:rPr>
          <w:color w:val="2B2B33"/>
          <w:sz w:val="21"/>
          <w:szCs w:val="21"/>
        </w:rPr>
        <w:t xml:space="preserve">), and the AI gate line at the bottom. If the AI gate says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OFF</w:t>
      </w:r>
      <w:r>
        <w:rPr>
          <w:color w:val="2B2B33"/>
          <w:sz w:val="21"/>
          <w:szCs w:val="21"/>
        </w:rPr>
        <w:t xml:space="preserve">, the EA is running as the verified baseline — which is exactly where you want to start.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A1A22"/>
          <w:sz w:val="30"/>
          <w:szCs w:val="30"/>
        </w:rPr>
        <w:t xml:space="preserve">4 · Verify before you trust</w:t>
      </w:r>
    </w:p>
    <w:tbl>
      <w:tblPr>
        <w:tblW w:type="dxa" w:w="9360"/>
        <w:tblBorders>
          <w:top w:val="single" w:color="C6A052" w:sz="2"/>
          <w:left w:val="single" w:color="C6A052" w:sz="18"/>
          <w:bottom w:val="single" w:color="C6A052" w:sz="2"/>
          <w:right w:val="single" w:color="C6A052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6E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8A6A20"/>
                <w:sz w:val="20"/>
                <w:szCs w:val="20"/>
              </w:rPr>
              <w:t xml:space="preserve">This is the whole point</w:t>
            </w:r>
          </w:p>
          <w:p>
            <w:pPr>
              <w:spacing w:line="276"/>
            </w:pPr>
            <w:r>
              <w:rPr>
                <w:color w:val="333333"/>
                <w:sz w:val="20"/>
                <w:szCs w:val="20"/>
              </w:rPr>
              <w:t xml:space="preserve">The promise of GoldenGoose is that you can reproduce its published numbers yourself. Do not skip this step — it is what separates an honest system from a marketing backtest.</w:t>
            </w:r>
          </w:p>
        </w:tc>
      </w:tr>
    </w:tbl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Open the </w:t>
      </w:r>
      <w:r>
        <w:rPr>
          <w:b/>
          <w:bCs/>
          <w:color w:val="1A1A22"/>
          <w:sz w:val="21"/>
          <w:szCs w:val="21"/>
        </w:rPr>
        <w:t xml:space="preserve">Strategy Tester</w:t>
      </w:r>
      <w:r>
        <w:rPr>
          <w:color w:val="2B2B33"/>
          <w:sz w:val="21"/>
          <w:szCs w:val="21"/>
        </w:rPr>
        <w:t xml:space="preserve"> (Ctrl+R).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Select the EA, set the symbol to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XAUUSD</w:t>
      </w:r>
      <w:r>
        <w:rPr>
          <w:color w:val="2B2B33"/>
          <w:sz w:val="21"/>
          <w:szCs w:val="21"/>
        </w:rPr>
        <w:t xml:space="preserve">, and set </w:t>
      </w:r>
      <w:r>
        <w:rPr>
          <w:b/>
          <w:bCs/>
          <w:color w:val="1A1A22"/>
          <w:sz w:val="21"/>
          <w:szCs w:val="21"/>
        </w:rPr>
        <w:t xml:space="preserve">Modelling = Every tick based on real ticks</w:t>
      </w:r>
      <w:r>
        <w:rPr>
          <w:color w:val="2B2B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Set the date range to the </w:t>
      </w:r>
      <w:r>
        <w:rPr>
          <w:b/>
          <w:bCs/>
          <w:color w:val="1A1A22"/>
          <w:sz w:val="21"/>
          <w:szCs w:val="21"/>
        </w:rPr>
        <w:t xml:space="preserve">same window</w:t>
      </w:r>
      <w:r>
        <w:rPr>
          <w:color w:val="2B2B33"/>
          <w:sz w:val="21"/>
          <w:szCs w:val="21"/>
        </w:rPr>
        <w:t xml:space="preserve"> as the published result you’re checking (for example, Jan–Jul 2026 for the default preset).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Load the shipped preset via </w:t>
      </w:r>
      <w:r>
        <w:rPr>
          <w:b/>
          <w:bCs/>
          <w:color w:val="1A1A22"/>
          <w:sz w:val="21"/>
          <w:szCs w:val="21"/>
        </w:rPr>
        <w:t xml:space="preserve">Load</w:t>
      </w:r>
      <w:r>
        <w:rPr>
          <w:color w:val="2B2B33"/>
          <w:sz w:val="21"/>
          <w:szCs w:val="21"/>
        </w:rPr>
        <w:t xml:space="preserve"> in the Inputs tab.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Run it, then compare your net %, profit factor, trade count, and max drawdown against the table below and the full reports.</w:t>
      </w:r>
    </w:p>
    <w:tbl>
      <w:tblPr>
        <w:tblW w:type="dxa" w:w="9360"/>
        <w:tblBorders>
          <w:top w:val="single" w:color="D08A3A" w:sz="2"/>
          <w:left w:val="single" w:color="D08A3A" w:sz="18"/>
          <w:bottom w:val="single" w:color="D08A3A" w:sz="2"/>
          <w:right w:val="single" w:color="D08A3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0E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A5A18"/>
                <w:sz w:val="20"/>
                <w:szCs w:val="20"/>
              </w:rPr>
              <w:t xml:space="preserve">Modelling quality</w:t>
            </w:r>
          </w:p>
          <w:p>
            <w:pPr>
              <w:spacing w:line="276"/>
            </w:pPr>
            <w:r>
              <w:rPr>
                <w:color w:val="333333"/>
                <w:sz w:val="20"/>
                <w:szCs w:val="20"/>
              </w:rPr>
              <w:t xml:space="preserve">Always test on </w:t>
            </w:r>
            <w:r>
              <w:rPr>
                <w:b/>
                <w:bCs/>
                <w:color w:val="1A1A22"/>
                <w:sz w:val="20"/>
                <w:szCs w:val="20"/>
              </w:rPr>
              <w:t xml:space="preserve">Every tick based on real ticks</w:t>
            </w:r>
            <w:r>
              <w:rPr>
                <w:color w:val="333333"/>
                <w:sz w:val="20"/>
                <w:szCs w:val="20"/>
              </w:rPr>
              <w:t xml:space="preserve">. Anything coarser produces numbers that won’t match — real-tick modelling is the only mode that reflects how the engine actually behaves.</w:t>
            </w:r>
          </w:p>
        </w:tc>
      </w:tr>
    </w:tbl>
    <w:p>
      <w:pPr>
        <w:pStyle w:val="Heading3"/>
        <w:spacing w:after="90" w:before="200"/>
      </w:pPr>
      <w:r>
        <w:rPr>
          <w:b/>
          <w:bCs/>
          <w:color w:val="4B7BF5"/>
          <w:sz w:val="20"/>
          <w:szCs w:val="20"/>
        </w:rPr>
        <w:t xml:space="preserve">Published results to check against</w:t>
      </w:r>
    </w:p>
    <w:p>
      <w:pPr>
        <w:spacing w:after="130" w:line="288"/>
      </w:pPr>
      <w:r>
        <w:rPr>
          <w:color w:val="2B2B33"/>
          <w:sz w:val="21"/>
          <w:szCs w:val="21"/>
        </w:rPr>
        <w:t xml:space="preserve">Gold (XAUUSD), $3,000 start, on real ticks:</w:t>
      </w:r>
    </w:p>
    <w:tbl>
      <w:tblPr>
        <w:tblW w:type="dxa" w:w="9360"/>
        <w:tblBorders>
          <w:top w:val="single" w:color="D8D2C4" w:sz="1"/>
          <w:left w:val="single" w:color="D8D2C4" w:sz="1"/>
          <w:bottom w:val="single" w:color="D8D2C4" w:sz="1"/>
          <w:right w:val="single" w:color="D8D2C4" w:sz="1"/>
          <w:insideH w:val="single" w:color="E4DFD3" w:sz="1"/>
          <w:insideV w:val="single" w:color="E4DFD3" w:sz="1"/>
        </w:tblBorders>
      </w:tblPr>
      <w:tblGrid>
        <w:gridCol w:w="2600"/>
        <w:gridCol w:w="2900"/>
        <w:gridCol w:w="1200"/>
        <w:gridCol w:w="1300"/>
        <w:gridCol w:w="1360"/>
      </w:tblGrid>
      <w:tr>
        <w:trPr>
          <w:tblHeader/>
        </w:trPr>
        <w:tc>
          <w:tcPr>
            <w:tcW w:type="dxa" w:w="2600"/>
            <w:shd w:fill="1A1A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Run</w:t>
            </w:r>
          </w:p>
        </w:tc>
        <w:tc>
          <w:tcPr>
            <w:tcW w:type="dxa" w:w="2900"/>
            <w:shd w:fill="1A1A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Window</w:t>
            </w:r>
          </w:p>
        </w:tc>
        <w:tc>
          <w:tcPr>
            <w:tcW w:type="dxa" w:w="1200"/>
            <w:shd w:fill="1A1A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PF</w:t>
            </w:r>
          </w:p>
        </w:tc>
        <w:tc>
          <w:tcPr>
            <w:tcW w:type="dxa" w:w="1300"/>
            <w:shd w:fill="1A1A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Max DD</w:t>
            </w:r>
          </w:p>
        </w:tc>
        <w:tc>
          <w:tcPr>
            <w:tcW w:type="dxa" w:w="1360"/>
            <w:shd w:fill="1A1A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Net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2A00"/>
                <w:sz w:val="17"/>
                <w:szCs w:val="17"/>
              </w:rPr>
              <w:t xml:space="preserve">Default (Preset A)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Jan–Jul 2026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1.64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5.1%</w:t>
            </w:r>
          </w:p>
        </w:tc>
        <w:tc>
          <w:tcPr>
            <w:tcW w:type="dxa" w:w="13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1A1A22"/>
                <w:sz w:val="18"/>
                <w:szCs w:val="18"/>
              </w:rPr>
              <w:t xml:space="preserve">+36.9%</w:t>
            </w:r>
          </w:p>
        </w:tc>
      </w:tr>
      <w:tr>
        <w:tc>
          <w:tcPr>
            <w:tcW w:type="dxa" w:w="260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2A00"/>
                <w:sz w:val="17"/>
                <w:szCs w:val="17"/>
              </w:rPr>
              <w:t xml:space="preserve">Out-of-sample</w:t>
            </w:r>
          </w:p>
        </w:tc>
        <w:tc>
          <w:tcPr>
            <w:tcW w:type="dxa" w:w="290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Jan 2024 – Jul 2026</w:t>
            </w:r>
          </w:p>
        </w:tc>
        <w:tc>
          <w:tcPr>
            <w:tcW w:type="dxa" w:w="120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1.06</w:t>
            </w:r>
          </w:p>
        </w:tc>
        <w:tc>
          <w:tcPr>
            <w:tcW w:type="dxa" w:w="130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31.1%</w:t>
            </w:r>
          </w:p>
        </w:tc>
        <w:tc>
          <w:tcPr>
            <w:tcW w:type="dxa" w:w="136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1A1A22"/>
                <w:sz w:val="18"/>
                <w:szCs w:val="18"/>
              </w:rPr>
              <w:t xml:space="preserve">+18.1%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2A00"/>
                <w:sz w:val="17"/>
                <w:szCs w:val="17"/>
              </w:rPr>
              <w:t xml:space="preserve">Preset B · 5× (aggressive)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Jan–Jul 2026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1.52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27.0%</w:t>
            </w:r>
          </w:p>
        </w:tc>
        <w:tc>
          <w:tcPr>
            <w:tcW w:type="dxa" w:w="13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1A1A22"/>
                <w:sz w:val="18"/>
                <w:szCs w:val="18"/>
              </w:rPr>
              <w:t xml:space="preserve">+307%</w:t>
            </w:r>
          </w:p>
        </w:tc>
      </w:tr>
    </w:tbl>
    <w:p>
      <w:pPr>
        <w:spacing w:after="60"/>
      </w:pPr>
    </w:p>
    <w:p>
      <w:pPr>
        <w:spacing w:after="130" w:line="288"/>
      </w:pPr>
      <w:r>
        <w:rPr>
          <w:b/>
          <w:bCs/>
          <w:color w:val="1A1A22"/>
          <w:sz w:val="21"/>
          <w:szCs w:val="21"/>
        </w:rPr>
        <w:t xml:space="preserve">Read the out-of-sample row first.</w:t>
      </w:r>
      <w:r>
        <w:rPr>
          <w:color w:val="2B2B33"/>
          <w:sz w:val="21"/>
          <w:szCs w:val="21"/>
        </w:rPr>
        <w:t xml:space="preserve"> Over 2½ years the engine was never tuned on, the edge compresses to PF 1.06 with drawdown near 31%. That’s not hidden — it’s the honest picture of a single engine tuned to the current regime. Full reports for every window are in the results folder.</w:t>
      </w:r>
    </w:p>
    <w:p>
      <w:pPr>
        <w:spacing w:after="40"/>
      </w:pPr>
      <w:r>
        <w:rPr>
          <w:b/>
          <w:bCs/>
          <w:color w:val="6B6456"/>
          <w:sz w:val="18"/>
          <w:szCs w:val="18"/>
        </w:rPr>
        <w:t xml:space="preserve">Full backtest reports:  </w:t>
      </w:r>
      <w:r>
        <w:rPr>
          <w:color w:val="4B7BF5"/>
          <w:sz w:val="18"/>
          <w:szCs w:val="18"/>
          <w:u w:val="single"/>
        </w:rPr>
        <w:t xml:space="preserve">https://drive.google.com/drive/folders/1g8kcJO-PKm7I-Pa6MYpyC3xMUGzcVQDb</w:t>
      </w:r>
    </w:p>
    <w:p>
      <w:pPr>
        <w:spacing w:after="40"/>
      </w:pPr>
      <w:r>
        <w:rPr>
          <w:b/>
          <w:bCs/>
          <w:color w:val="6B6456"/>
          <w:sz w:val="18"/>
          <w:szCs w:val="18"/>
        </w:rPr>
        <w:t xml:space="preserve">Live-tracked demo (FXBlue):  </w:t>
      </w:r>
      <w:r>
        <w:rPr>
          <w:color w:val="4B7BF5"/>
          <w:sz w:val="18"/>
          <w:szCs w:val="18"/>
          <w:u w:val="single"/>
        </w:rPr>
        <w:t xml:space="preserve">https://www.fxblue.com/users/EddyTrendPulse</w:t>
      </w:r>
    </w:p>
    <w:p>
      <w:pPr>
        <w:pStyle w:val="Heading1"/>
        <w:spacing w:after="140" w:before="320"/>
      </w:pPr>
      <w:r>
        <w:rPr>
          <w:b/>
          <w:bCs/>
          <w:color w:val="1A1A22"/>
          <w:sz w:val="30"/>
          <w:szCs w:val="30"/>
        </w:rPr>
        <w:t xml:space="preserve">5 · Choose your preset</w:t>
      </w:r>
    </w:p>
    <w:tbl>
      <w:tblPr>
        <w:tblW w:type="dxa" w:w="9360"/>
        <w:tblBorders>
          <w:top w:val="single" w:color="D8D2C4" w:sz="1"/>
          <w:left w:val="single" w:color="D8D2C4" w:sz="1"/>
          <w:bottom w:val="single" w:color="D8D2C4" w:sz="1"/>
          <w:right w:val="single" w:color="D8D2C4" w:sz="1"/>
          <w:insideH w:val="single" w:color="E4DFD3" w:sz="1"/>
          <w:insideV w:val="single" w:color="E4DFD3" w:sz="1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shd w:fill="1A1A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1A1A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Preset A — Default</w:t>
            </w:r>
          </w:p>
        </w:tc>
        <w:tc>
          <w:tcPr>
            <w:tcW w:type="dxa" w:w="3480"/>
            <w:shd w:fill="1A1A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Preset B — Aggressive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2A00"/>
                <w:sz w:val="17"/>
                <w:szCs w:val="17"/>
              </w:rPr>
              <w:t xml:space="preserve">Risk profile</w:t>
            </w:r>
          </w:p>
        </w:tc>
        <w:tc>
          <w:tcPr>
            <w:tcW w:type="dxa" w:w="348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348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5× compounding</w:t>
            </w:r>
          </w:p>
        </w:tc>
      </w:tr>
      <w:tr>
        <w:tc>
          <w:tcPr>
            <w:tcW w:type="dxa" w:w="240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2A00"/>
                <w:sz w:val="17"/>
                <w:szCs w:val="17"/>
              </w:rPr>
              <w:t xml:space="preserve">Net (Jan–Jul 26)</w:t>
            </w:r>
          </w:p>
        </w:tc>
        <w:tc>
          <w:tcPr>
            <w:tcW w:type="dxa" w:w="348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+36.9%</w:t>
            </w:r>
          </w:p>
        </w:tc>
        <w:tc>
          <w:tcPr>
            <w:tcW w:type="dxa" w:w="348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+307%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2A00"/>
                <w:sz w:val="17"/>
                <w:szCs w:val="17"/>
              </w:rPr>
              <w:t xml:space="preserve">Max drawdown</w:t>
            </w:r>
          </w:p>
        </w:tc>
        <w:tc>
          <w:tcPr>
            <w:tcW w:type="dxa" w:w="348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5.1%</w:t>
            </w:r>
          </w:p>
        </w:tc>
        <w:tc>
          <w:tcPr>
            <w:tcW w:type="dxa" w:w="348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27.0%</w:t>
            </w:r>
          </w:p>
        </w:tc>
      </w:tr>
      <w:tr>
        <w:tc>
          <w:tcPr>
            <w:tcW w:type="dxa" w:w="240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2A00"/>
                <w:sz w:val="17"/>
                <w:szCs w:val="17"/>
              </w:rPr>
              <w:t xml:space="preserve">Best for</w:t>
            </w:r>
          </w:p>
        </w:tc>
        <w:tc>
          <w:tcPr>
            <w:tcW w:type="dxa" w:w="348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Most accounts</w:t>
            </w:r>
          </w:p>
        </w:tc>
        <w:tc>
          <w:tcPr>
            <w:tcW w:type="dxa" w:w="348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High risk tolerance only</w:t>
            </w:r>
          </w:p>
        </w:tc>
      </w:tr>
    </w:tbl>
    <w:p>
      <w:pPr>
        <w:spacing w:after="60"/>
      </w:pPr>
    </w:p>
    <w:p>
      <w:pPr>
        <w:spacing w:after="130" w:line="288"/>
      </w:pPr>
      <w:r>
        <w:rPr>
          <w:color w:val="2B2B33"/>
          <w:sz w:val="21"/>
          <w:szCs w:val="21"/>
        </w:rPr>
        <w:t xml:space="preserve">Start with </w:t>
      </w:r>
      <w:r>
        <w:rPr>
          <w:b/>
          <w:bCs/>
          <w:color w:val="1A1A22"/>
          <w:sz w:val="21"/>
          <w:szCs w:val="21"/>
        </w:rPr>
        <w:t xml:space="preserve">Preset A</w:t>
      </w:r>
      <w:r>
        <w:rPr>
          <w:color w:val="2B2B33"/>
          <w:sz w:val="21"/>
          <w:szCs w:val="21"/>
        </w:rPr>
        <w:t xml:space="preserve">. Preset B’s returns come with materially deeper drawdowns — only move to it once you understand and can stomach that. Exactly which inputs change between the two, and how to build your own, is covered in </w:t>
      </w:r>
      <w:r>
        <w:rPr>
          <w:b/>
          <w:bCs/>
          <w:color w:val="1A1A22"/>
          <w:sz w:val="21"/>
          <w:szCs w:val="21"/>
        </w:rPr>
        <w:t xml:space="preserve">Part 2</w:t>
      </w:r>
      <w:r>
        <w:rPr>
          <w:color w:val="2B2B33"/>
          <w:sz w:val="21"/>
          <w:szCs w:val="21"/>
        </w:rPr>
        <w:t xml:space="preserve">.</w:t>
      </w:r>
    </w:p>
    <w:p>
      <w:pPr>
        <w:pStyle w:val="Heading1"/>
        <w:spacing w:after="140" w:before="320"/>
      </w:pPr>
      <w:r>
        <w:rPr>
          <w:b/>
          <w:bCs/>
          <w:color w:val="1A1A22"/>
          <w:sz w:val="30"/>
          <w:szCs w:val="30"/>
        </w:rPr>
        <w:t xml:space="preserve">6 · Demo first, then small real money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Attach the EA to a </w:t>
      </w:r>
      <w:r>
        <w:rPr>
          <w:b/>
          <w:bCs/>
          <w:color w:val="1A1A22"/>
          <w:sz w:val="21"/>
          <w:szCs w:val="21"/>
        </w:rPr>
        <w:t xml:space="preserve">demo</w:t>
      </w:r>
      <w:r>
        <w:rPr>
          <w:color w:val="2B2B33"/>
          <w:sz w:val="21"/>
          <w:szCs w:val="21"/>
        </w:rPr>
        <w:t xml:space="preserve"> gold chart and let it run. Confirm the live behaviour matches what you saw in the tester.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When ready for </w:t>
      </w:r>
      <w:r>
        <w:rPr>
          <w:b/>
          <w:bCs/>
          <w:color w:val="1A1A22"/>
          <w:sz w:val="21"/>
          <w:szCs w:val="21"/>
        </w:rPr>
        <w:t xml:space="preserve">real money</w:t>
      </w:r>
      <w:r>
        <w:rPr>
          <w:color w:val="2B2B33"/>
          <w:sz w:val="21"/>
          <w:szCs w:val="21"/>
        </w:rPr>
        <w:t xml:space="preserve">, start with an amount you’re genuinely willing to lose. Let it earn your trust through good stretches and bad.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B2B33"/>
          <w:sz w:val="21"/>
          <w:szCs w:val="21"/>
        </w:rPr>
        <w:t xml:space="preserve">Scale on </w:t>
      </w:r>
      <w:r>
        <w:rPr>
          <w:b/>
          <w:bCs/>
          <w:color w:val="1A1A22"/>
          <w:sz w:val="21"/>
          <w:szCs w:val="21"/>
        </w:rPr>
        <w:t xml:space="preserve">your own evidence</w:t>
      </w:r>
      <w:r>
        <w:rPr>
          <w:color w:val="2B2B33"/>
          <w:sz w:val="21"/>
          <w:szCs w:val="21"/>
        </w:rPr>
        <w:t xml:space="preserve"> — not anyone’s promise.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A1A22"/>
          <w:sz w:val="30"/>
          <w:szCs w:val="30"/>
        </w:rPr>
        <w:t xml:space="preserve">7 · Add the agentic AI gatekeeper</w:t>
      </w:r>
    </w:p>
    <w:p>
      <w:pPr>
        <w:spacing w:after="130" w:line="288"/>
      </w:pPr>
      <w:r>
        <w:rPr>
          <w:color w:val="2B2B33"/>
          <w:sz w:val="21"/>
          <w:szCs w:val="21"/>
        </w:rPr>
        <w:t xml:space="preserve">GoldenGoose ships with the AI gate </w:t>
      </w:r>
      <w:r>
        <w:rPr>
          <w:b/>
          <w:bCs/>
          <w:color w:val="1A1A22"/>
          <w:sz w:val="21"/>
          <w:szCs w:val="21"/>
        </w:rPr>
        <w:t xml:space="preserve">OFF</w:t>
      </w:r>
      <w:r>
        <w:rPr>
          <w:color w:val="2B2B33"/>
          <w:sz w:val="21"/>
          <w:szCs w:val="21"/>
        </w:rPr>
        <w:t xml:space="preserve"> — so out of the box it trades exactly like the verified baseline you just reproduced. Once you’re satisfied with that, you can arm the AI layer, which vets every signal before a trade opens.</w:t>
      </w:r>
    </w:p>
    <w:tbl>
      <w:tblPr>
        <w:tblW w:type="dxa" w:w="9360"/>
        <w:tblBorders>
          <w:top w:val="single" w:color="4B7BF5" w:sz="2"/>
          <w:left w:val="single" w:color="4B7BF5" w:sz="18"/>
          <w:bottom w:val="single" w:color="4B7BF5" w:sz="2"/>
          <w:right w:val="single" w:color="4B7BF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A5599"/>
                <w:sz w:val="20"/>
                <w:szCs w:val="20"/>
              </w:rPr>
              <w:t xml:space="preserve">How the gate behaves</w:t>
            </w:r>
          </w:p>
          <w:p>
            <w:pPr>
              <w:spacing w:line="276"/>
            </w:pPr>
            <w:r>
              <w:rPr>
                <w:color w:val="333333"/>
                <w:sz w:val="20"/>
                <w:szCs w:val="20"/>
              </w:rPr>
              <w:t xml:space="preserve">The EA asks the sidecar on every signal. </w:t>
            </w:r>
            <w:r>
              <w:rPr>
                <w:b/>
                <w:bCs/>
                <w:color w:val="1A1A22"/>
                <w:sz w:val="20"/>
                <w:szCs w:val="20"/>
              </w:rPr>
              <w:t xml:space="preserve">VALID</w:t>
            </w:r>
            <w:r>
              <w:rPr>
                <w:color w:val="333333"/>
                <w:sz w:val="20"/>
                <w:szCs w:val="20"/>
              </w:rPr>
              <w:t xml:space="preserve"> → the trade proceeds. </w:t>
            </w:r>
            <w:r>
              <w:rPr>
                <w:b/>
                <w:bCs/>
                <w:color w:val="1A1A22"/>
                <w:sz w:val="20"/>
                <w:szCs w:val="20"/>
              </w:rPr>
              <w:t xml:space="preserve">REJECT</w:t>
            </w:r>
            <w:r>
              <w:rPr>
                <w:color w:val="333333"/>
                <w:sz w:val="20"/>
                <w:szCs w:val="20"/>
              </w:rPr>
              <w:t xml:space="preserve"> → the trade is blocked. Any failure at all (sidecar down, timeout) → the EA </w:t>
            </w:r>
            <w:r>
              <w:rPr>
                <w:b/>
                <w:bCs/>
                <w:color w:val="1A1A22"/>
                <w:sz w:val="20"/>
                <w:szCs w:val="20"/>
              </w:rPr>
              <w:t xml:space="preserve">skips</w:t>
            </w:r>
            <w:r>
              <w:rPr>
                <w:color w:val="333333"/>
                <w:sz w:val="20"/>
                <w:szCs w:val="20"/>
              </w:rPr>
              <w:t xml:space="preserve"> the trade. This is fail-closed: it never trades blind, so a rejected trade is always a genuine AI veto, never a silent crash.</w:t>
            </w:r>
          </w:p>
        </w:tc>
      </w:tr>
    </w:tbl>
    <w:p>
      <w:pPr>
        <w:pStyle w:val="Heading3"/>
        <w:spacing w:after="90" w:before="200"/>
      </w:pPr>
      <w:r>
        <w:rPr>
          <w:b/>
          <w:bCs/>
          <w:color w:val="4B7BF5"/>
          <w:sz w:val="20"/>
          <w:szCs w:val="20"/>
        </w:rPr>
        <w:t xml:space="preserve">The four AI inputs</w:t>
      </w:r>
    </w:p>
    <w:tbl>
      <w:tblPr>
        <w:tblW w:type="dxa" w:w="9360"/>
        <w:tblBorders>
          <w:top w:val="single" w:color="D8D2C4" w:sz="1"/>
          <w:left w:val="single" w:color="D8D2C4" w:sz="1"/>
          <w:bottom w:val="single" w:color="D8D2C4" w:sz="1"/>
          <w:right w:val="single" w:color="D8D2C4" w:sz="1"/>
          <w:insideH w:val="single" w:color="E4DFD3" w:sz="1"/>
          <w:insideV w:val="single" w:color="E4DFD3" w:sz="1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1A1A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6460"/>
            <w:shd w:fill="1A1A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2A00"/>
                <w:sz w:val="17"/>
                <w:szCs w:val="17"/>
              </w:rPr>
              <w:t xml:space="preserve">InpUseAIGate</w:t>
            </w:r>
          </w:p>
        </w:tc>
        <w:tc>
          <w:tcPr>
            <w:tcW w:type="dxa" w:w="64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1A1A22"/>
                <w:sz w:val="18"/>
                <w:szCs w:val="18"/>
              </w:rPr>
              <w:t xml:space="preserve">Master switch.</w:t>
            </w:r>
            <w:r>
              <w:rPr>
                <w:color w:val="333333"/>
                <w:sz w:val="18"/>
                <w:szCs w:val="18"/>
              </w:rPr>
              <w:t xml:space="preserve"> OFF (default) = trades exactly like the verified baseline. ON = AI layer armed and mandatory to trade.</w:t>
            </w:r>
          </w:p>
        </w:tc>
      </w:tr>
      <w:tr>
        <w:tc>
          <w:tcPr>
            <w:tcW w:type="dxa" w:w="290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2A00"/>
                <w:sz w:val="17"/>
                <w:szCs w:val="17"/>
              </w:rPr>
              <w:t xml:space="preserve">InpAIGateURL</w:t>
            </w:r>
          </w:p>
        </w:tc>
        <w:tc>
          <w:tcPr>
            <w:tcW w:type="dxa" w:w="646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The Python sidecar endpoint, </w:t>
            </w:r>
            <w:r>
              <w:rPr>
                <w:b/>
                <w:bCs/>
                <w:color w:val="1A1A22"/>
                <w:sz w:val="18"/>
                <w:szCs w:val="18"/>
              </w:rPr>
              <w:t xml:space="preserve">http://127.0.0.1:8765/</w:t>
            </w:r>
            <w:r>
              <w:rPr>
                <w:color w:val="333333"/>
                <w:sz w:val="18"/>
                <w:szCs w:val="18"/>
              </w:rPr>
              <w:t xml:space="preserve">. Must be whitelisted in Tools → Options → Expert Advisors → Allow WebRequest.</w:t>
            </w:r>
          </w:p>
        </w:tc>
      </w:tr>
      <w:tr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2A00"/>
                <w:sz w:val="17"/>
                <w:szCs w:val="17"/>
              </w:rPr>
              <w:t xml:space="preserve">InpAITimeoutMs</w:t>
            </w:r>
          </w:p>
        </w:tc>
        <w:tc>
          <w:tcPr>
            <w:tcW w:type="dxa" w:w="64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WebRequest timeout in milliseconds (default 8000). On timeout → the trade is skipped (fail-closed).</w:t>
            </w:r>
          </w:p>
        </w:tc>
      </w:tr>
      <w:tr>
        <w:tc>
          <w:tcPr>
            <w:tcW w:type="dxa" w:w="290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2A00"/>
                <w:sz w:val="17"/>
                <w:szCs w:val="17"/>
              </w:rPr>
              <w:t xml:space="preserve">InpAIGateTgOnValid</w:t>
            </w:r>
          </w:p>
        </w:tc>
        <w:tc>
          <w:tcPr>
            <w:tcW w:type="dxa" w:w="6460"/>
            <w:shd w:fill="F7F5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333333"/>
                <w:sz w:val="18"/>
                <w:szCs w:val="18"/>
              </w:rPr>
              <w:t xml:space="preserve">Also push VALID (allow) decisions to Telegram. REJECT and FAIL always alert regardless.</w:t>
            </w:r>
          </w:p>
        </w:tc>
      </w:tr>
    </w:tbl>
    <w:p>
      <w:pPr>
        <w:spacing w:after="80"/>
      </w:pPr>
    </w:p>
    <w:p>
      <w:pPr>
        <w:spacing w:after="130" w:line="288"/>
      </w:pPr>
      <w:r>
        <w:rPr>
          <w:b/>
          <w:bCs/>
          <w:color w:val="1A1A22"/>
          <w:sz w:val="21"/>
          <w:szCs w:val="21"/>
        </w:rPr>
        <w:t xml:space="preserve">Full setup of the Python sidecar — for both Windows and Mac — is in Part 2, Section “Setting up the AI Sidecar.”</w:t>
      </w:r>
      <w:r>
        <w:rPr>
          <w:color w:val="2B2B33"/>
          <w:sz w:val="21"/>
          <w:szCs w:val="21"/>
        </w:rPr>
        <w:t xml:space="preserve"> Once the sidecar is running and the URL is whitelisted, flip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InpUseAIGate</w:t>
      </w:r>
      <w:r>
        <w:rPr>
          <w:color w:val="2B2B33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true</w:t>
      </w:r>
      <w:r>
        <w:rPr>
          <w:color w:val="2B2B33"/>
          <w:sz w:val="21"/>
          <w:szCs w:val="21"/>
        </w:rPr>
        <w:t xml:space="preserve"> and the gate is live.</w:t>
      </w:r>
    </w:p>
    <w:p>
      <w:pPr>
        <w:pStyle w:val="Heading1"/>
        <w:spacing w:after="140" w:before="320"/>
      </w:pPr>
      <w:r>
        <w:rPr>
          <w:b/>
          <w:bCs/>
          <w:color w:val="1A1A22"/>
          <w:sz w:val="30"/>
          <w:szCs w:val="30"/>
        </w:rPr>
        <w:t xml:space="preserve">8 · Troubleshooting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b/>
          <w:bCs/>
          <w:color w:val="1A1A22"/>
          <w:sz w:val="21"/>
          <w:szCs w:val="21"/>
        </w:rPr>
        <w:t xml:space="preserve">AI always skips / “AI UNAVAILABLE”: </w:t>
      </w:r>
      <w:r>
        <w:rPr>
          <w:color w:val="2B2B33"/>
          <w:sz w:val="21"/>
          <w:szCs w:val="21"/>
        </w:rPr>
        <w:t xml:space="preserve">the sidecar isn’t reachable. Check it’s running, the port matches, and WebRequest is allowed for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127.0.0.1:8765</w:t>
      </w:r>
      <w:r>
        <w:rPr>
          <w:color w:val="2B2B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b/>
          <w:bCs/>
          <w:color w:val="1A1A22"/>
          <w:sz w:val="21"/>
          <w:szCs w:val="21"/>
        </w:rPr>
        <w:t xml:space="preserve">Tester numbers don’t match: </w:t>
      </w:r>
      <w:r>
        <w:rPr>
          <w:color w:val="2B2B33"/>
          <w:sz w:val="21"/>
          <w:szCs w:val="21"/>
        </w:rPr>
        <w:t xml:space="preserve">confirm </w:t>
      </w:r>
      <w:r>
        <w:rPr>
          <w:b/>
          <w:bCs/>
          <w:color w:val="1A1A22"/>
          <w:sz w:val="21"/>
          <w:szCs w:val="21"/>
        </w:rPr>
        <w:t xml:space="preserve">Every tick based on real ticks</w:t>
      </w:r>
      <w:r>
        <w:rPr>
          <w:color w:val="2B2B33"/>
          <w:sz w:val="21"/>
          <w:szCs w:val="21"/>
        </w:rPr>
        <w:t xml:space="preserve">, the exact window, and that you loaded the right preset.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b/>
          <w:bCs/>
          <w:color w:val="1A1A22"/>
          <w:sz w:val="21"/>
          <w:szCs w:val="21"/>
        </w:rPr>
        <w:t xml:space="preserve">No trades on a small account: </w:t>
      </w:r>
      <w:r>
        <w:rPr>
          <w:color w:val="2B2B33"/>
          <w:sz w:val="21"/>
          <w:szCs w:val="21"/>
        </w:rPr>
        <w:t xml:space="preserve">check you’re on </w:t>
      </w:r>
      <w:r>
        <w:rPr>
          <w:rFonts w:ascii="Consolas" w:cs="Consolas" w:eastAsia="Consolas" w:hAnsi="Consolas"/>
          <w:color w:val="A03A00"/>
          <w:sz w:val="19"/>
          <w:szCs w:val="19"/>
        </w:rPr>
        <w:t xml:space="preserve">XAUUSDmicro</w:t>
      </w:r>
      <w:r>
        <w:rPr>
          <w:color w:val="2B2B33"/>
          <w:sz w:val="21"/>
          <w:szCs w:val="21"/>
        </w:rPr>
        <w:t xml:space="preserve"> — the ladder needs the finer contract to size correctly.</w:t>
      </w:r>
    </w:p>
    <w:p>
      <w:pPr>
        <w:pBdr>
          <w:bottom w:val="single" w:color="C6A052" w:sz="4"/>
        </w:pBdr>
        <w:spacing w:after="120" w:before="80"/>
      </w:pPr>
    </w:p>
    <w:p>
      <w:pPr>
        <w:pStyle w:val="Heading3"/>
        <w:spacing w:after="90" w:before="200"/>
      </w:pPr>
      <w:r>
        <w:rPr>
          <w:b/>
          <w:bCs/>
          <w:color w:val="4B7BF5"/>
          <w:sz w:val="20"/>
          <w:szCs w:val="20"/>
        </w:rPr>
        <w:t xml:space="preserve">Where to go next</w:t>
      </w:r>
    </w:p>
    <w:p>
      <w:pPr>
        <w:spacing w:after="40"/>
      </w:pPr>
      <w:r>
        <w:rPr>
          <w:b/>
          <w:bCs/>
          <w:color w:val="6B6456"/>
          <w:sz w:val="18"/>
          <w:szCs w:val="18"/>
        </w:rPr>
        <w:t xml:space="preserve">Part 2 — the full input deep-dive:  </w:t>
      </w:r>
      <w:r>
        <w:rPr>
          <w:color w:val="4B7BF5"/>
          <w:sz w:val="18"/>
          <w:szCs w:val="18"/>
          <w:u w:val="single"/>
        </w:rPr>
        <w:t xml:space="preserve">https://drive.google.com/drive/folders/1hs271IgDDpWyc_rVt1Ud6rA2V0ttW2GL</w:t>
      </w:r>
    </w:p>
    <w:p>
      <w:pPr>
        <w:spacing w:after="40"/>
      </w:pPr>
      <w:r>
        <w:rPr>
          <w:b/>
          <w:bCs/>
          <w:color w:val="6B6456"/>
          <w:sz w:val="18"/>
          <w:szCs w:val="18"/>
        </w:rPr>
        <w:t xml:space="preserve">Home / landing page:  </w:t>
      </w:r>
      <w:r>
        <w:rPr>
          <w:color w:val="4B7BF5"/>
          <w:sz w:val="18"/>
          <w:szCs w:val="18"/>
          <w:u w:val="single"/>
        </w:rPr>
        <w:t xml:space="preserve">https://trendpulselabs.github.io/</w:t>
      </w:r>
    </w:p>
    <w:p>
      <w:pPr>
        <w:spacing w:after="40"/>
      </w:pPr>
      <w:r>
        <w:rPr>
          <w:b/>
          <w:bCs/>
          <w:color w:val="6B6456"/>
          <w:sz w:val="18"/>
          <w:szCs w:val="18"/>
        </w:rPr>
        <w:t xml:space="preserve">Premium — APEX Pro v6:  </w:t>
      </w:r>
      <w:r>
        <w:rPr>
          <w:color w:val="4B7BF5"/>
          <w:sz w:val="18"/>
          <w:szCs w:val="18"/>
          <w:u w:val="single"/>
        </w:rPr>
        <w:t xml:space="preserve">https://trendpulselabs.github.io/apex/</w:t>
      </w:r>
    </w:p>
    <w:p>
      <w:pPr>
        <w:spacing w:after="40"/>
      </w:pPr>
      <w:r>
        <w:rPr>
          <w:b/>
          <w:bCs/>
          <w:color w:val="6B6456"/>
          <w:sz w:val="18"/>
          <w:szCs w:val="18"/>
        </w:rPr>
        <w:t xml:space="preserve">Telegram:  </w:t>
      </w:r>
      <w:r>
        <w:rPr>
          <w:color w:val="4B7BF5"/>
          <w:sz w:val="18"/>
          <w:szCs w:val="18"/>
          <w:u w:val="single"/>
        </w:rPr>
        <w:t xml:space="preserve">https://t.me/+ZJK0gS8BuREyN2Jk</w:t>
      </w:r>
    </w:p>
    <w:p>
      <w:pPr>
        <w:spacing w:after="40"/>
      </w:pPr>
      <w:r>
        <w:rPr>
          <w:b/>
          <w:bCs/>
          <w:color w:val="6B6456"/>
          <w:sz w:val="18"/>
          <w:szCs w:val="18"/>
        </w:rPr>
        <w:t xml:space="preserve">Discord:  </w:t>
      </w:r>
      <w:r>
        <w:rPr>
          <w:color w:val="4B7BF5"/>
          <w:sz w:val="18"/>
          <w:szCs w:val="18"/>
          <w:u w:val="single"/>
        </w:rPr>
        <w:t xml:space="preserve">https://discord.gg/8sKk7mD4b8</w:t>
      </w:r>
    </w:p>
    <w:p>
      <w:pPr>
        <w:spacing w:after="40"/>
      </w:pPr>
      <w:r>
        <w:rPr>
          <w:b/>
          <w:bCs/>
          <w:color w:val="6B6456"/>
          <w:sz w:val="18"/>
          <w:szCs w:val="18"/>
        </w:rPr>
        <w:t xml:space="preserve">Send your CSV / feedback:  </w:t>
      </w:r>
      <w:r>
        <w:rPr>
          <w:color w:val="4B7BF5"/>
          <w:sz w:val="18"/>
          <w:szCs w:val="18"/>
          <w:u w:val="single"/>
        </w:rPr>
        <w:t xml:space="preserve">https://docs.google.com/forms/d/e/1FAIpQLSdwKy7vUJCXWftAQZivyANXBWFeVtkoeUbS2Rur_Fj6tkW_KA/viewform</w:t>
      </w:r>
    </w:p>
    <w:p>
      <w:pPr>
        <w:spacing w:after="60"/>
      </w:pPr>
    </w:p>
    <w:p>
      <w:pPr>
        <w:spacing w:after="130" w:line="288"/>
        <w:jc w:val="center"/>
      </w:pPr>
      <w:r>
        <w:rPr>
          <w:i/>
          <w:iCs/>
          <w:color w:val="2B2B33"/>
          <w:sz w:val="21"/>
          <w:szCs w:val="21"/>
        </w:rPr>
        <w:t xml:space="preserve">Research and educational purposes only — not financial advice. Verify everything yourself before risking real money.</w:t>
      </w:r>
    </w:p>
    <w:sectPr>
      <w:headerReference w:type="default" r:id="rId7"/>
      <w:footerReference w:type="default" r:id="rId8"/>
      <w:pgSz w:w="12240" w:h="15840" w:orient="portrait"/>
      <w:pgMar w:top="1150" w:right="1200" w:bottom="115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4680"/>
        <w:tab w:val="right" w:pos="9360"/>
      </w:tabs>
    </w:pPr>
    <w:r>
      <w:rPr>
        <w:color w:val="6B6456"/>
        <w:sz w:val="16"/>
        <w:szCs w:val="16"/>
      </w:rPr>
      <w:t xml:space="preserve">	© 2026 TrendPulseLabs</w:t>
    </w:r>
    <w:r>
      <w:rPr>
        <w:sz w:val="16"/>
        <w:szCs w:val="16"/>
      </w:rPr>
      <w:t xml:space="preserve">	</w:t>
    </w:r>
    <w:r>
      <w:drawing>
        <wp:inline distT="0" distB="0" distL="0" distR="0">
          <wp:extent cx="247650" cy="1809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1809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drawing>
        <wp:inline distT="0" distB="0" distL="0" distR="0">
          <wp:extent cx="2000250" cy="600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02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)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46fe44155ab9c233d32641390befebbd6233d9b3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8bd615a6017773d19de7c9d72e629ca2346139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2026-07-26T22:34:11.628Z</dcterms:created>
  <dcterms:modified xsi:type="dcterms:W3CDTF">2026-07-26T22:34:11.628Z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