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00"/>
        <w:jc w:val="center"/>
      </w:pPr>
      <w:r>
        <w:rPr>
          <w:b/>
          <w:bCs/>
          <w:color w:val="1A1A22"/>
          <w:sz w:val="52"/>
          <w:szCs w:val="52"/>
        </w:rPr>
        <w:t xml:space="preserve">TrendPulse GoldenGoose</w:t>
      </w:r>
    </w:p>
    <w:p>
      <w:pPr>
        <w:spacing w:after="30"/>
        <w:jc w:val="center"/>
      </w:pPr>
      <w:r>
        <w:rPr>
          <w:b/>
          <w:bCs/>
          <w:color w:val="C6A052"/>
          <w:sz w:val="30"/>
          <w:szCs w:val="30"/>
        </w:rPr>
        <w:t xml:space="preserve">E4 · User Guide</w:t>
      </w:r>
    </w:p>
    <w:p>
      <w:pPr>
        <w:spacing w:after="260"/>
        <w:jc w:val="center"/>
      </w:pPr>
      <w:r>
        <w:rPr>
          <w:color w:val="4B7BF5"/>
          <w:sz w:val="24"/>
          <w:szCs w:val="24"/>
        </w:rPr>
        <w:t xml:space="preserve">Part 2 — The Deep Dive</w:t>
      </w:r>
    </w:p>
    <w:p>
      <w:pPr>
        <w:spacing w:after="80"/>
        <w:jc w:val="center"/>
      </w:pPr>
      <w:r>
        <w:rPr>
          <w:i/>
          <w:iCs/>
          <w:color w:val="6B6456"/>
          <w:sz w:val="22"/>
          <w:szCs w:val="22"/>
        </w:rPr>
        <w:t xml:space="preserve">Every input that matters — the important knobs, the minor ones that still move the needle, and the full AI sidecar setup for Windows and Mac.</w:t>
      </w:r>
    </w:p>
    <w:p>
      <w:pPr>
        <w:spacing w:after="120"/>
      </w:pPr>
    </w:p>
    <w:tbl>
      <w:tblPr>
        <w:tblW w:type="dxa" w:w="9360"/>
        <w:tblBorders>
          <w:top w:val="single" w:color="C6A052" w:sz="2"/>
          <w:left w:val="single" w:color="C6A052" w:sz="18"/>
          <w:bottom w:val="single" w:color="C6A052" w:sz="2"/>
          <w:right w:val="single" w:color="C6A052" w:sz="2"/>
          <w:insideH w:val="none"/>
          <w:insideV w:val="none"/>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0"/>
                <w:sz w:val="20"/>
                <w:szCs w:val="20"/>
              </w:rPr>
              <w:t xml:space="preserve">Open by design</w:t>
            </w:r>
          </w:p>
          <w:p>
            <w:pPr>
              <w:spacing w:line="276"/>
            </w:pPr>
            <w:r>
              <w:rPr>
                <w:color w:val="333333"/>
                <w:sz w:val="20"/>
                <w:szCs w:val="20"/>
              </w:rPr>
              <w:t xml:space="preserve">GoldenGoose is fully open source, so nothing here is hidden. This guide walks the actual input groups as they appear in MetaTrader — the same panels you see in the EA’s settings — and explains what each one does and when to touch it.</w:t>
            </w:r>
          </w:p>
        </w:tc>
      </w:tr>
    </w:tbl>
    <w:p>
      <w:pPr>
        <w:spacing w:after="40"/>
      </w:pPr>
    </w:p>
    <w:p>
      <w:pPr>
        <w:spacing w:after="40"/>
      </w:pPr>
      <w:r>
        <w:rPr>
          <w:b/>
          <w:bCs/>
          <w:color w:val="6B6456"/>
          <w:sz w:val="18"/>
          <w:szCs w:val="18"/>
        </w:rPr>
        <w:t xml:space="preserve">Part 1 (setup &amp; run):  </w:t>
      </w:r>
      <w:r>
        <w:rPr>
          <w:color w:val="4B7BF5"/>
          <w:sz w:val="18"/>
          <w:szCs w:val="18"/>
          <w:u w:val="single"/>
        </w:rPr>
        <w:t xml:space="preserve">https://drive.google.com/drive/folders/1hs271IgDDpWyc_rVt1Ud6rA2V0ttW2GL</w:t>
      </w:r>
    </w:p>
    <w:p>
      <w:pPr>
        <w:spacing w:after="40"/>
      </w:pPr>
      <w:r>
        <w:rPr>
          <w:b/>
          <w:bCs/>
          <w:color w:val="6B6456"/>
          <w:sz w:val="18"/>
          <w:szCs w:val="18"/>
        </w:rPr>
        <w:t xml:space="preserve">Home / landing page:  </w:t>
      </w:r>
      <w:r>
        <w:rPr>
          <w:color w:val="4B7BF5"/>
          <w:sz w:val="18"/>
          <w:szCs w:val="18"/>
          <w:u w:val="single"/>
        </w:rPr>
        <w:t xml:space="preserve">https://trendpulselabs.github.io/</w:t>
      </w:r>
    </w:p>
    <w:p>
      <w:r>
        <w:br w:type="page"/>
      </w:r>
    </w:p>
    <w:p>
      <w:pPr>
        <w:pStyle w:val="Heading1"/>
        <w:spacing w:after="140" w:before="320"/>
      </w:pPr>
      <w:r>
        <w:rPr>
          <w:b/>
          <w:bCs/>
          <w:color w:val="1A1A22"/>
          <w:sz w:val="30"/>
          <w:szCs w:val="30"/>
        </w:rPr>
        <w:t xml:space="preserve">1 · How the inputs are organised</w:t>
      </w:r>
    </w:p>
    <w:p>
      <w:pPr>
        <w:spacing w:after="130" w:line="288"/>
      </w:pPr>
      <w:r>
        <w:rPr>
          <w:color w:val="2B2B33"/>
          <w:sz w:val="21"/>
          <w:szCs w:val="21"/>
        </w:rPr>
        <w:t xml:space="preserve">When you drop GoldenGoose on a chart, the </w:t>
      </w:r>
      <w:r>
        <w:rPr>
          <w:b/>
          <w:bCs/>
          <w:color w:val="1A1A22"/>
          <w:sz w:val="21"/>
          <w:szCs w:val="21"/>
        </w:rPr>
        <w:t xml:space="preserve">Inputs</w:t>
      </w:r>
      <w:r>
        <w:rPr>
          <w:color w:val="2B2B33"/>
          <w:sz w:val="21"/>
          <w:szCs w:val="21"/>
        </w:rPr>
        <w:t xml:space="preserve"> tab groups its settings into logical blocks. You don’t need to touch most of them — the defaults are the verified configuration. This guide flags which inputs are </w:t>
      </w:r>
      <w:r>
        <w:rPr>
          <w:b/>
          <w:bCs/>
          <w:color w:val="A07A28"/>
          <w:sz w:val="21"/>
          <w:szCs w:val="21"/>
        </w:rPr>
        <w:t xml:space="preserve">high-impact</w:t>
      </w:r>
      <w:r>
        <w:rPr>
          <w:color w:val="2B2B33"/>
          <w:sz w:val="21"/>
          <w:szCs w:val="21"/>
        </w:rPr>
        <w:t xml:space="preserve"> (change the behaviour meaningfully) and which are </w:t>
      </w:r>
      <w:r>
        <w:rPr>
          <w:b/>
          <w:bCs/>
          <w:color w:val="4B7BF5"/>
          <w:sz w:val="21"/>
          <w:szCs w:val="21"/>
        </w:rPr>
        <w:t xml:space="preserve">minor</w:t>
      </w:r>
      <w:r>
        <w:rPr>
          <w:color w:val="2B2B33"/>
          <w:sz w:val="21"/>
          <w:szCs w:val="21"/>
        </w:rPr>
        <w:t xml:space="preserve"> (safe to leave, but useful to understand).</w:t>
      </w:r>
    </w:p>
    <w:tbl>
      <w:tblPr>
        <w:tblW w:type="dxa" w:w="9360"/>
        <w:tblBorders>
          <w:top w:val="single" w:color="D08A3A" w:sz="2"/>
          <w:left w:val="single" w:color="D08A3A" w:sz="18"/>
          <w:bottom w:val="single" w:color="D08A3A" w:sz="2"/>
          <w:right w:val="single" w:color="D08A3A" w:sz="2"/>
          <w:insideH w:val="none"/>
          <w:insideV w:val="none"/>
        </w:tblBorders>
      </w:tblPr>
      <w:tblGrid>
        <w:gridCol w:w="9360"/>
      </w:tblGrid>
      <w:tr>
        <w:tc>
          <w:tcPr>
            <w:tcW w:type="dxa" w:w="9360"/>
            <w:shd w:fill="FBF0E6" w:val="clear"/>
            <w:tcMar>
              <w:top w:type="dxa" w:w="120"/>
              <w:left w:type="dxa" w:w="160"/>
              <w:bottom w:type="dxa" w:w="120"/>
              <w:right w:type="dxa" w:w="160"/>
            </w:tcMar>
          </w:tcPr>
          <w:p>
            <w:pPr>
              <w:spacing w:after="60"/>
            </w:pPr>
            <w:r>
              <w:rPr>
                <w:b/>
                <w:bCs/>
                <w:color w:val="9A5A18"/>
                <w:sz w:val="20"/>
                <w:szCs w:val="20"/>
              </w:rPr>
              <w:t xml:space="preserve">Golden rule of tuning</w:t>
            </w:r>
          </w:p>
          <w:p>
            <w:pPr>
              <w:spacing w:line="276"/>
            </w:pPr>
            <w:r>
              <w:rPr>
                <w:color w:val="333333"/>
                <w:sz w:val="20"/>
                <w:szCs w:val="20"/>
              </w:rPr>
              <w:t xml:space="preserve">Change </w:t>
            </w:r>
            <w:r>
              <w:rPr>
                <w:b/>
                <w:bCs/>
                <w:color w:val="1A1A22"/>
                <w:sz w:val="20"/>
                <w:szCs w:val="20"/>
              </w:rPr>
              <w:t xml:space="preserve">one input at a time</w:t>
            </w:r>
            <w:r>
              <w:rPr>
                <w:color w:val="333333"/>
                <w:sz w:val="20"/>
                <w:szCs w:val="20"/>
              </w:rPr>
              <w:t xml:space="preserve">, then re-run the tester over the same window and compare. If you change five things at once and the result shifts, you’ve learned nothing about which one did it. This is how the whole system was built, and it’s how you should tune it.</w:t>
            </w:r>
          </w:p>
        </w:tc>
      </w:tr>
    </w:tbl>
    <w:p>
      <w:pPr>
        <w:pStyle w:val="Heading1"/>
        <w:spacing w:after="140" w:before="320"/>
      </w:pPr>
      <w:r>
        <w:rPr>
          <w:b/>
          <w:bCs/>
          <w:color w:val="1A1A22"/>
          <w:sz w:val="30"/>
          <w:szCs w:val="30"/>
        </w:rPr>
        <w:t xml:space="preserve">2 · Symbol &amp; account</w:t>
      </w:r>
    </w:p>
    <w:p>
      <w:pPr>
        <w:spacing w:after="130" w:line="288"/>
      </w:pPr>
      <w:r>
        <w:rPr>
          <w:color w:val="2B2B33"/>
          <w:sz w:val="21"/>
          <w:szCs w:val="21"/>
        </w:rPr>
        <w:t xml:space="preserve">The first thing most people need: telling the EA which gold symbol to trade. GoldenGoose can auto-detect, or you can pin it explicitly.</w:t>
      </w:r>
    </w:p>
    <w:p>
      <w:pPr>
        <w:spacing w:after="60" w:before="120"/>
        <w:jc w:val="center"/>
      </w:pPr>
      <w:r>
        <w:drawing>
          <wp:inline distT="0" distB="0" distL="0" distR="0">
            <wp:extent cx="3238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124200"/>
                    </a:xfrm>
                    <a:prstGeom prst="rect">
                      <a:avLst/>
                    </a:prstGeom>
                  </pic:spPr>
                </pic:pic>
              </a:graphicData>
            </a:graphic>
          </wp:inline>
        </w:drawing>
      </w:r>
    </w:p>
    <w:p>
      <w:pPr>
        <w:spacing w:after="180"/>
        <w:jc w:val="center"/>
      </w:pPr>
      <w:r>
        <w:rPr>
          <w:i/>
          <w:iCs/>
          <w:color w:val="6B6456"/>
          <w:sz w:val="17"/>
          <w:szCs w:val="17"/>
        </w:rPr>
        <w:t xml:space="preserve">The symbol / account group as it appears in MetaTrader.</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3100"/>
        <w:gridCol w:w="6260"/>
      </w:tblGrid>
      <w:tr>
        <w:trPr>
          <w:tblHeader/>
        </w:trPr>
        <w:tc>
          <w:tcPr>
            <w:tcW w:type="dxa" w:w="3100"/>
            <w:shd w:fill="1A1A22" w:val="clear"/>
            <w:tcMar>
              <w:top w:type="dxa" w:w="80"/>
              <w:left w:type="dxa" w:w="120"/>
              <w:bottom w:type="dxa" w:w="80"/>
              <w:right w:type="dxa" w:w="120"/>
            </w:tcMar>
          </w:tcPr>
          <w:p>
            <w:r>
              <w:rPr>
                <w:b/>
                <w:bCs/>
                <w:color w:val="FFFFFF"/>
                <w:sz w:val="18"/>
                <w:szCs w:val="18"/>
              </w:rPr>
              <w:t xml:space="preserve">Input</w:t>
            </w:r>
          </w:p>
        </w:tc>
        <w:tc>
          <w:tcPr>
            <w:tcW w:type="dxa" w:w="6260"/>
            <w:shd w:fill="1A1A22" w:val="clear"/>
            <w:tcMar>
              <w:top w:type="dxa" w:w="80"/>
              <w:left w:type="dxa" w:w="120"/>
              <w:bottom w:type="dxa" w:w="80"/>
              <w:right w:type="dxa" w:w="120"/>
            </w:tcMar>
          </w:tcPr>
          <w:p>
            <w:r>
              <w:rPr>
                <w:b/>
                <w:bCs/>
                <w:color w:val="FFFFFF"/>
                <w:sz w:val="18"/>
                <w:szCs w:val="18"/>
              </w:rPr>
              <w:t xml:space="preserve">What it does</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InpAutoDetectSymbol</w:t>
            </w:r>
          </w:p>
        </w:tc>
        <w:tc>
          <w:tcPr>
            <w:tcW w:type="dxa" w:w="6260"/>
            <w:shd w:fill="FFFFFF" w:val="clear"/>
            <w:tcMar>
              <w:top w:type="dxa" w:w="70"/>
              <w:left w:type="dxa" w:w="120"/>
              <w:bottom w:type="dxa" w:w="70"/>
              <w:right w:type="dxa" w:w="120"/>
            </w:tcMar>
          </w:tcPr>
          <w:p>
            <w:r>
              <w:rPr>
                <w:b/>
                <w:bCs/>
                <w:color w:val="1A1A22"/>
                <w:sz w:val="18"/>
                <w:szCs w:val="18"/>
              </w:rPr>
              <w:t xml:space="preserve">High-impact.</w:t>
            </w:r>
            <w:r>
              <w:rPr>
                <w:color w:val="333333"/>
                <w:sz w:val="18"/>
                <w:szCs w:val="18"/>
              </w:rPr>
              <w:t xml:space="preserve"> ON = the EA trades whatever gold symbol the chart is (XAUUSD or XAUUSDmicro). This is the simplest setup: attach to the right chart, done.</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InpTradeXAUUSD</w:t>
            </w:r>
          </w:p>
        </w:tc>
        <w:tc>
          <w:tcPr>
            <w:tcW w:type="dxa" w:w="6260"/>
            <w:shd w:fill="F7F5F0" w:val="clear"/>
            <w:tcMar>
              <w:top w:type="dxa" w:w="70"/>
              <w:left w:type="dxa" w:w="120"/>
              <w:bottom w:type="dxa" w:w="70"/>
              <w:right w:type="dxa" w:w="120"/>
            </w:tcMar>
          </w:tcPr>
          <w:p>
            <w:r>
              <w:rPr>
                <w:color w:val="333333"/>
                <w:sz w:val="18"/>
                <w:szCs w:val="18"/>
              </w:rPr>
              <w:t xml:space="preserve">Force-enable standard XAUUSD trading. Use when you want to pin the symbol rather than rely on auto-detect.</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InpTradeXAUUSDmicro</w:t>
            </w:r>
          </w:p>
        </w:tc>
        <w:tc>
          <w:tcPr>
            <w:tcW w:type="dxa" w:w="6260"/>
            <w:shd w:fill="FFFFFF" w:val="clear"/>
            <w:tcMar>
              <w:top w:type="dxa" w:w="70"/>
              <w:left w:type="dxa" w:w="120"/>
              <w:bottom w:type="dxa" w:w="70"/>
              <w:right w:type="dxa" w:w="120"/>
            </w:tcMar>
          </w:tcPr>
          <w:p>
            <w:r>
              <w:rPr>
                <w:color w:val="333333"/>
                <w:sz w:val="18"/>
                <w:szCs w:val="18"/>
              </w:rPr>
              <w:t xml:space="preserve">Force-enable XAUUSDmicro trading. </w:t>
            </w:r>
            <w:r>
              <w:rPr>
                <w:b/>
                <w:bCs/>
                <w:color w:val="1A1A22"/>
                <w:sz w:val="18"/>
                <w:szCs w:val="18"/>
              </w:rPr>
              <w:t xml:space="preserve">Under $500 → this is the one you want.</w:t>
            </w:r>
          </w:p>
        </w:tc>
      </w:tr>
    </w:tbl>
    <w:p>
      <w:pPr>
        <w:spacing w:after="60"/>
      </w:pPr>
    </w:p>
    <w:tbl>
      <w:tblPr>
        <w:tblW w:type="dxa" w:w="9360"/>
        <w:tblBorders>
          <w:top w:val="single" w:color="4B7BF5" w:sz="2"/>
          <w:left w:val="single" w:color="4B7BF5" w:sz="18"/>
          <w:bottom w:val="single" w:color="4B7BF5" w:sz="2"/>
          <w:right w:val="single" w:color="4B7BF5" w:sz="2"/>
          <w:insideH w:val="none"/>
          <w:insideV w:val="none"/>
        </w:tblBorders>
      </w:tblPr>
      <w:tblGrid>
        <w:gridCol w:w="9360"/>
      </w:tblGrid>
      <w:tr>
        <w:tc>
          <w:tcPr>
            <w:tcW w:type="dxa" w:w="9360"/>
            <w:shd w:fill="EEF3FC" w:val="clear"/>
            <w:tcMar>
              <w:top w:type="dxa" w:w="120"/>
              <w:left w:type="dxa" w:w="160"/>
              <w:bottom w:type="dxa" w:w="120"/>
              <w:right w:type="dxa" w:w="160"/>
            </w:tcMar>
          </w:tcPr>
          <w:p>
            <w:pPr>
              <w:spacing w:after="60"/>
            </w:pPr>
            <w:r>
              <w:rPr>
                <w:b/>
                <w:bCs/>
                <w:color w:val="2A5599"/>
                <w:sz w:val="20"/>
                <w:szCs w:val="20"/>
              </w:rPr>
              <w:t xml:space="preserve">Switching between XAUUSD and XAUUSDmicro</w:t>
            </w:r>
          </w:p>
          <w:p>
            <w:pPr>
              <w:spacing w:line="276"/>
            </w:pPr>
            <w:r>
              <w:rPr>
                <w:color w:val="333333"/>
                <w:sz w:val="20"/>
                <w:szCs w:val="20"/>
              </w:rPr>
              <w:t xml:space="preserve">The cleanest way: leave </w:t>
            </w:r>
            <w:r>
              <w:rPr>
                <w:rFonts w:ascii="Consolas" w:cs="Consolas" w:eastAsia="Consolas" w:hAnsi="Consolas"/>
                <w:color w:val="A03A00"/>
                <w:sz w:val="18"/>
                <w:szCs w:val="18"/>
              </w:rPr>
              <w:t xml:space="preserve">InpAutoDetectSymbol = true</w:t>
            </w:r>
            <w:r>
              <w:rPr>
                <w:color w:val="333333"/>
                <w:sz w:val="20"/>
                <w:szCs w:val="20"/>
              </w:rPr>
              <w:t xml:space="preserve"> and simply attach the EA to the chart of the symbol you want. To run </w:t>
            </w:r>
            <w:r>
              <w:rPr>
                <w:b/>
                <w:bCs/>
                <w:color w:val="1A1A22"/>
                <w:sz w:val="20"/>
                <w:szCs w:val="20"/>
              </w:rPr>
              <w:t xml:space="preserve">both</w:t>
            </w:r>
            <w:r>
              <w:rPr>
                <w:color w:val="333333"/>
                <w:sz w:val="20"/>
                <w:szCs w:val="20"/>
              </w:rPr>
              <w:t xml:space="preserve"> at once (a standard and a micro account, say), run two instances — one on each chart. The magic numbers differ per symbol (</w:t>
            </w:r>
            <w:r>
              <w:rPr>
                <w:rFonts w:ascii="Consolas" w:cs="Consolas" w:eastAsia="Consolas" w:hAnsi="Consolas"/>
                <w:color w:val="A03A00"/>
                <w:sz w:val="18"/>
                <w:szCs w:val="18"/>
              </w:rPr>
              <w:t xml:space="preserve">88000104</w:t>
            </w:r>
            <w:r>
              <w:rPr>
                <w:color w:val="333333"/>
                <w:sz w:val="20"/>
                <w:szCs w:val="20"/>
              </w:rPr>
              <w:t xml:space="preserve"> standard, </w:t>
            </w:r>
            <w:r>
              <w:rPr>
                <w:rFonts w:ascii="Consolas" w:cs="Consolas" w:eastAsia="Consolas" w:hAnsi="Consolas"/>
                <w:color w:val="A03A00"/>
                <w:sz w:val="18"/>
                <w:szCs w:val="18"/>
              </w:rPr>
              <w:t xml:space="preserve">88000114</w:t>
            </w:r>
            <w:r>
              <w:rPr>
                <w:color w:val="333333"/>
                <w:sz w:val="20"/>
                <w:szCs w:val="20"/>
              </w:rPr>
              <w:t xml:space="preserve"> micro), so they never collide.</w:t>
            </w:r>
          </w:p>
        </w:tc>
      </w:tr>
    </w:tbl>
    <w:p>
      <w:pPr>
        <w:pStyle w:val="Heading1"/>
        <w:spacing w:after="140" w:before="320"/>
      </w:pPr>
      <w:r>
        <w:rPr>
          <w:b/>
          <w:bCs/>
          <w:color w:val="1A1A22"/>
          <w:sz w:val="30"/>
          <w:szCs w:val="30"/>
        </w:rPr>
        <w:t xml:space="preserve">3 · Risk &amp; compounding</w:t>
      </w:r>
    </w:p>
    <w:p>
      <w:pPr>
        <w:spacing w:after="130" w:line="288"/>
      </w:pPr>
      <w:r>
        <w:rPr>
          <w:color w:val="2B2B33"/>
          <w:sz w:val="21"/>
          <w:szCs w:val="21"/>
        </w:rPr>
        <w:t xml:space="preserve">This is the group people most want to tune — and the one to treat with the most respect. It controls how much you risk per trade and how aggressively the account compounds.</w:t>
      </w:r>
    </w:p>
    <w:p>
      <w:pPr>
        <w:spacing w:after="60" w:before="120"/>
        <w:jc w:val="center"/>
      </w:pPr>
      <w:r>
        <w:drawing>
          <wp:inline distT="0" distB="0" distL="0" distR="0">
            <wp:extent cx="3238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028950"/>
                    </a:xfrm>
                    <a:prstGeom prst="rect">
                      <a:avLst/>
                    </a:prstGeom>
                  </pic:spPr>
                </pic:pic>
              </a:graphicData>
            </a:graphic>
          </wp:inline>
        </w:drawing>
      </w:r>
    </w:p>
    <w:p>
      <w:pPr>
        <w:spacing w:after="180"/>
        <w:jc w:val="center"/>
      </w:pPr>
      <w:r>
        <w:rPr>
          <w:i/>
          <w:iCs/>
          <w:color w:val="6B6456"/>
          <w:sz w:val="17"/>
          <w:szCs w:val="17"/>
        </w:rPr>
        <w:t xml:space="preserve">The risk &amp; compounding group — the 5% aggressive setting lives here.</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3100"/>
        <w:gridCol w:w="6260"/>
      </w:tblGrid>
      <w:tr>
        <w:trPr>
          <w:tblHeader/>
        </w:trPr>
        <w:tc>
          <w:tcPr>
            <w:tcW w:type="dxa" w:w="3100"/>
            <w:shd w:fill="1A1A22" w:val="clear"/>
            <w:tcMar>
              <w:top w:type="dxa" w:w="80"/>
              <w:left w:type="dxa" w:w="120"/>
              <w:bottom w:type="dxa" w:w="80"/>
              <w:right w:type="dxa" w:w="120"/>
            </w:tcMar>
          </w:tcPr>
          <w:p>
            <w:r>
              <w:rPr>
                <w:b/>
                <w:bCs/>
                <w:color w:val="FFFFFF"/>
                <w:sz w:val="18"/>
                <w:szCs w:val="18"/>
              </w:rPr>
              <w:t xml:space="preserve">Input</w:t>
            </w:r>
          </w:p>
        </w:tc>
        <w:tc>
          <w:tcPr>
            <w:tcW w:type="dxa" w:w="6260"/>
            <w:shd w:fill="1A1A22" w:val="clear"/>
            <w:tcMar>
              <w:top w:type="dxa" w:w="80"/>
              <w:left w:type="dxa" w:w="120"/>
              <w:bottom w:type="dxa" w:w="80"/>
              <w:right w:type="dxa" w:w="120"/>
            </w:tcMar>
          </w:tcPr>
          <w:p>
            <w:r>
              <w:rPr>
                <w:b/>
                <w:bCs/>
                <w:color w:val="FFFFFF"/>
                <w:sz w:val="18"/>
                <w:szCs w:val="18"/>
              </w:rPr>
              <w:t xml:space="preserve">What it does</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InpRiskPerR_Pct</w:t>
            </w:r>
          </w:p>
        </w:tc>
        <w:tc>
          <w:tcPr>
            <w:tcW w:type="dxa" w:w="6260"/>
            <w:shd w:fill="FFFFFF" w:val="clear"/>
            <w:tcMar>
              <w:top w:type="dxa" w:w="70"/>
              <w:left w:type="dxa" w:w="120"/>
              <w:bottom w:type="dxa" w:w="70"/>
              <w:right w:type="dxa" w:w="120"/>
            </w:tcMar>
          </w:tcPr>
          <w:p>
            <w:r>
              <w:rPr>
                <w:b/>
                <w:bCs/>
                <w:color w:val="1A1A22"/>
                <w:sz w:val="18"/>
                <w:szCs w:val="18"/>
              </w:rPr>
              <w:t xml:space="preserve">The big one.</w:t>
            </w:r>
            <w:r>
              <w:rPr>
                <w:color w:val="333333"/>
                <w:sz w:val="18"/>
                <w:szCs w:val="18"/>
              </w:rPr>
              <w:t xml:space="preserve"> Risk per R as a percent of the account. Default is a conservative 1.0%. This is the input you raise for the aggressive “Preset B” profile — e.g. 5.0% for 5× compounding. Higher = larger positions = deeper drawdowns. Handle with care.</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InpCompoundMode</w:t>
            </w:r>
          </w:p>
        </w:tc>
        <w:tc>
          <w:tcPr>
            <w:tcW w:type="dxa" w:w="6260"/>
            <w:shd w:fill="F7F5F0" w:val="clear"/>
            <w:tcMar>
              <w:top w:type="dxa" w:w="70"/>
              <w:left w:type="dxa" w:w="120"/>
              <w:bottom w:type="dxa" w:w="70"/>
              <w:right w:type="dxa" w:w="120"/>
            </w:tcMar>
          </w:tcPr>
          <w:p>
            <w:r>
              <w:rPr>
                <w:b/>
                <w:bCs/>
                <w:color w:val="1A1A22"/>
                <w:sz w:val="18"/>
                <w:szCs w:val="18"/>
              </w:rPr>
              <w:t xml:space="preserve">High-impact.</w:t>
            </w:r>
            <w:r>
              <w:rPr>
                <w:color w:val="333333"/>
                <w:sz w:val="18"/>
                <w:szCs w:val="18"/>
              </w:rPr>
              <w:t xml:space="preserve"> How position size scales with the account. Mode 2 (HWM %peak) sizes off the balance high-water mark — the verified default. This is what makes compounding work.</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InpRMultiple</w:t>
            </w:r>
          </w:p>
        </w:tc>
        <w:tc>
          <w:tcPr>
            <w:tcW w:type="dxa" w:w="6260"/>
            <w:shd w:fill="FFFFFF" w:val="clear"/>
            <w:tcMar>
              <w:top w:type="dxa" w:w="70"/>
              <w:left w:type="dxa" w:w="120"/>
              <w:bottom w:type="dxa" w:w="70"/>
              <w:right w:type="dxa" w:w="120"/>
            </w:tcMar>
          </w:tcPr>
          <w:p>
            <w:r>
              <w:rPr>
                <w:color w:val="333333"/>
                <w:sz w:val="18"/>
                <w:szCs w:val="18"/>
              </w:rPr>
              <w:t xml:space="preserve">The R unit: 2.0 × ATR(M15). Defines the distance of one “R” of risk. Rarely changed — it’s core to how every other level (rungs, breaker) is measured.</w:t>
            </w:r>
          </w:p>
        </w:tc>
      </w:tr>
    </w:tbl>
    <w:p>
      <w:pPr>
        <w:spacing w:after="60"/>
      </w:pPr>
    </w:p>
    <w:tbl>
      <w:tblPr>
        <w:tblW w:type="dxa" w:w="9360"/>
        <w:tblBorders>
          <w:top w:val="single" w:color="D08A3A" w:sz="2"/>
          <w:left w:val="single" w:color="D08A3A" w:sz="18"/>
          <w:bottom w:val="single" w:color="D08A3A" w:sz="2"/>
          <w:right w:val="single" w:color="D08A3A" w:sz="2"/>
          <w:insideH w:val="none"/>
          <w:insideV w:val="none"/>
        </w:tblBorders>
      </w:tblPr>
      <w:tblGrid>
        <w:gridCol w:w="9360"/>
      </w:tblGrid>
      <w:tr>
        <w:tc>
          <w:tcPr>
            <w:tcW w:type="dxa" w:w="9360"/>
            <w:shd w:fill="FBF0E6" w:val="clear"/>
            <w:tcMar>
              <w:top w:type="dxa" w:w="120"/>
              <w:left w:type="dxa" w:w="160"/>
              <w:bottom w:type="dxa" w:w="120"/>
              <w:right w:type="dxa" w:w="160"/>
            </w:tcMar>
          </w:tcPr>
          <w:p>
            <w:pPr>
              <w:spacing w:after="60"/>
            </w:pPr>
            <w:r>
              <w:rPr>
                <w:b/>
                <w:bCs/>
                <w:color w:val="9A5A18"/>
                <w:sz w:val="20"/>
                <w:szCs w:val="20"/>
              </w:rPr>
              <w:t xml:space="preserve">The 5% compounding setup</w:t>
            </w:r>
          </w:p>
          <w:p>
            <w:pPr>
              <w:spacing w:line="276"/>
            </w:pPr>
            <w:r>
              <w:rPr>
                <w:color w:val="333333"/>
                <w:sz w:val="20"/>
                <w:szCs w:val="20"/>
              </w:rPr>
              <w:t xml:space="preserve">To run the aggressive Preset B: set </w:t>
            </w:r>
            <w:r>
              <w:rPr>
                <w:rFonts w:ascii="Consolas" w:cs="Consolas" w:eastAsia="Consolas" w:hAnsi="Consolas"/>
                <w:color w:val="A03A00"/>
                <w:sz w:val="18"/>
                <w:szCs w:val="18"/>
              </w:rPr>
              <w:t xml:space="preserve">InpRiskPerR_Pct = 5.0</w:t>
            </w:r>
            <w:r>
              <w:rPr>
                <w:color w:val="333333"/>
                <w:sz w:val="20"/>
                <w:szCs w:val="20"/>
              </w:rPr>
              <w:t xml:space="preserve"> with </w:t>
            </w:r>
            <w:r>
              <w:rPr>
                <w:rFonts w:ascii="Consolas" w:cs="Consolas" w:eastAsia="Consolas" w:hAnsi="Consolas"/>
                <w:color w:val="A03A00"/>
                <w:sz w:val="18"/>
                <w:szCs w:val="18"/>
              </w:rPr>
              <w:t xml:space="preserve">InpCompoundMode</w:t>
            </w:r>
            <w:r>
              <w:rPr>
                <w:color w:val="333333"/>
                <w:sz w:val="20"/>
                <w:szCs w:val="20"/>
              </w:rPr>
              <w:t xml:space="preserve"> on the HWM %peak mode. Expect the returns </w:t>
            </w:r>
            <w:r>
              <w:rPr>
                <w:b/>
                <w:bCs/>
                <w:color w:val="1A1A22"/>
                <w:sz w:val="20"/>
                <w:szCs w:val="20"/>
              </w:rPr>
              <w:t xml:space="preserve">and</w:t>
            </w:r>
            <w:r>
              <w:rPr>
                <w:color w:val="333333"/>
                <w:sz w:val="20"/>
                <w:szCs w:val="20"/>
              </w:rPr>
              <w:t xml:space="preserve"> the drawdowns to scale together — Preset B reached +307% but with 27% drawdown in testing. This is for high risk tolerance only, on money you can genuinely afford to lose.</w:t>
            </w:r>
          </w:p>
        </w:tc>
      </w:tr>
    </w:tbl>
    <w:p>
      <w:r>
        <w:br w:type="page"/>
      </w:r>
    </w:p>
    <w:p>
      <w:pPr>
        <w:pStyle w:val="Heading1"/>
        <w:spacing w:after="140" w:before="320"/>
      </w:pPr>
      <w:r>
        <w:rPr>
          <w:b/>
          <w:bCs/>
          <w:color w:val="1A1A22"/>
          <w:sz w:val="30"/>
          <w:szCs w:val="30"/>
        </w:rPr>
        <w:t xml:space="preserve">4 · Entry logic &amp; the fuel gate</w:t>
      </w:r>
    </w:p>
    <w:p>
      <w:pPr>
        <w:spacing w:after="130" w:line="288"/>
      </w:pPr>
      <w:r>
        <w:rPr>
          <w:color w:val="2B2B33"/>
          <w:sz w:val="21"/>
          <w:szCs w:val="21"/>
        </w:rPr>
        <w:t xml:space="preserve">GoldenGoose is a single </w:t>
      </w:r>
      <w:r>
        <w:rPr>
          <w:b/>
          <w:bCs/>
          <w:color w:val="1A1A22"/>
          <w:sz w:val="21"/>
          <w:szCs w:val="21"/>
        </w:rPr>
        <w:t xml:space="preserve">PULLBACK</w:t>
      </w:r>
      <w:r>
        <w:rPr>
          <w:color w:val="2B2B33"/>
          <w:sz w:val="21"/>
          <w:szCs w:val="21"/>
        </w:rPr>
        <w:t xml:space="preserve"> engine. It enters on a pullback to the M15 EMA20 that reclaims in the trend direction (Trigger B), plus a structural breakout path (Trigger C), gated by the higher-timeframe bias and a chop filter. The </w:t>
      </w:r>
      <w:r>
        <w:rPr>
          <w:b/>
          <w:bCs/>
          <w:color w:val="1A1A22"/>
          <w:sz w:val="21"/>
          <w:szCs w:val="21"/>
        </w:rPr>
        <w:t xml:space="preserve">fuel gate</w:t>
      </w:r>
      <w:r>
        <w:rPr>
          <w:color w:val="2B2B33"/>
          <w:sz w:val="21"/>
          <w:szCs w:val="21"/>
        </w:rPr>
        <w:t xml:space="preserve"> is the volatility filter that keeps it out of dead markets.</w:t>
      </w:r>
    </w:p>
    <w:p>
      <w:pPr>
        <w:spacing w:after="60" w:before="120"/>
        <w:jc w:val="center"/>
      </w:pPr>
      <w:r>
        <w:drawing>
          <wp:inline distT="0" distB="0" distL="0" distR="0">
            <wp:extent cx="3238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895600"/>
                    </a:xfrm>
                    <a:prstGeom prst="rect">
                      <a:avLst/>
                    </a:prstGeom>
                  </pic:spPr>
                </pic:pic>
              </a:graphicData>
            </a:graphic>
          </wp:inline>
        </w:drawing>
      </w:r>
    </w:p>
    <w:p>
      <w:pPr>
        <w:spacing w:after="180"/>
        <w:jc w:val="center"/>
      </w:pPr>
      <w:r>
        <w:rPr>
          <w:i/>
          <w:iCs/>
          <w:color w:val="6B6456"/>
          <w:sz w:val="17"/>
          <w:szCs w:val="17"/>
        </w:rPr>
        <w:t xml:space="preserve">The entry / fuel-gate group. In GoldenGoose these thresholds are shown openly.</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3100"/>
        <w:gridCol w:w="6260"/>
      </w:tblGrid>
      <w:tr>
        <w:trPr>
          <w:tblHeader/>
        </w:trPr>
        <w:tc>
          <w:tcPr>
            <w:tcW w:type="dxa" w:w="3100"/>
            <w:shd w:fill="1A1A22" w:val="clear"/>
            <w:tcMar>
              <w:top w:type="dxa" w:w="80"/>
              <w:left w:type="dxa" w:w="120"/>
              <w:bottom w:type="dxa" w:w="80"/>
              <w:right w:type="dxa" w:w="120"/>
            </w:tcMar>
          </w:tcPr>
          <w:p>
            <w:r>
              <w:rPr>
                <w:b/>
                <w:bCs/>
                <w:color w:val="FFFFFF"/>
                <w:sz w:val="18"/>
                <w:szCs w:val="18"/>
              </w:rPr>
              <w:t xml:space="preserve">Input</w:t>
            </w:r>
          </w:p>
        </w:tc>
        <w:tc>
          <w:tcPr>
            <w:tcW w:type="dxa" w:w="6260"/>
            <w:shd w:fill="1A1A22" w:val="clear"/>
            <w:tcMar>
              <w:top w:type="dxa" w:w="80"/>
              <w:left w:type="dxa" w:w="120"/>
              <w:bottom w:type="dxa" w:w="80"/>
              <w:right w:type="dxa" w:w="120"/>
            </w:tcMar>
          </w:tcPr>
          <w:p>
            <w:r>
              <w:rPr>
                <w:b/>
                <w:bCs/>
                <w:color w:val="FFFFFF"/>
                <w:sz w:val="18"/>
                <w:szCs w:val="18"/>
              </w:rPr>
              <w:t xml:space="preserve">What it does</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InpFuelGateOn</w:t>
            </w:r>
          </w:p>
        </w:tc>
        <w:tc>
          <w:tcPr>
            <w:tcW w:type="dxa" w:w="6260"/>
            <w:shd w:fill="FFFFFF" w:val="clear"/>
            <w:tcMar>
              <w:top w:type="dxa" w:w="70"/>
              <w:left w:type="dxa" w:w="120"/>
              <w:bottom w:type="dxa" w:w="70"/>
              <w:right w:type="dxa" w:w="120"/>
            </w:tcMar>
          </w:tcPr>
          <w:p>
            <w:r>
              <w:rPr>
                <w:b/>
                <w:bCs/>
                <w:color w:val="1A1A22"/>
                <w:sz w:val="18"/>
                <w:szCs w:val="18"/>
              </w:rPr>
              <w:t xml:space="preserve">High-impact.</w:t>
            </w:r>
            <w:r>
              <w:rPr>
                <w:color w:val="333333"/>
                <w:sz w:val="18"/>
                <w:szCs w:val="18"/>
              </w:rPr>
              <w:t xml:space="preserve"> The master switch for the fuel gate. ON (default) applies the volatility filter. Turn it OFF to reproduce the original ungated run for comparison.</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Fuel thresholds</w:t>
            </w:r>
          </w:p>
        </w:tc>
        <w:tc>
          <w:tcPr>
            <w:tcW w:type="dxa" w:w="6260"/>
            <w:shd w:fill="F7F5F0" w:val="clear"/>
            <w:tcMar>
              <w:top w:type="dxa" w:w="70"/>
              <w:left w:type="dxa" w:w="120"/>
              <w:bottom w:type="dxa" w:w="70"/>
              <w:right w:type="dxa" w:w="120"/>
            </w:tcMar>
          </w:tcPr>
          <w:p>
            <w:r>
              <w:rPr>
                <w:color w:val="333333"/>
                <w:sz w:val="18"/>
                <w:szCs w:val="18"/>
              </w:rPr>
              <w:t xml:space="preserve">A signal becomes a trade only when </w:t>
            </w:r>
            <w:r>
              <w:rPr>
                <w:b/>
                <w:bCs/>
                <w:color w:val="1A1A22"/>
                <w:sz w:val="18"/>
                <w:szCs w:val="18"/>
              </w:rPr>
              <w:t xml:space="preserve">vol_ratio ≥ 1.171 AND ADX &lt; 29.3</w:t>
            </w:r>
            <w:r>
              <w:rPr>
                <w:color w:val="333333"/>
                <w:sz w:val="18"/>
                <w:szCs w:val="18"/>
              </w:rPr>
              <w:t xml:space="preserve"> — fitted on E4’s own trade record and shipped frozen. This is the filter that skips low-opportunity chop.</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H4 EMA50 bias</w:t>
            </w:r>
          </w:p>
        </w:tc>
        <w:tc>
          <w:tcPr>
            <w:tcW w:type="dxa" w:w="6260"/>
            <w:shd w:fill="FFFFFF" w:val="clear"/>
            <w:tcMar>
              <w:top w:type="dxa" w:w="70"/>
              <w:left w:type="dxa" w:w="120"/>
              <w:bottom w:type="dxa" w:w="70"/>
              <w:right w:type="dxa" w:w="120"/>
            </w:tcMar>
          </w:tcPr>
          <w:p>
            <w:r>
              <w:rPr>
                <w:color w:val="333333"/>
                <w:sz w:val="18"/>
                <w:szCs w:val="18"/>
              </w:rPr>
              <w:t xml:space="preserve">Trades only align with the higher-timeframe direction — a trend filter, not usually changed.</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M15 chop gate</w:t>
            </w:r>
          </w:p>
        </w:tc>
        <w:tc>
          <w:tcPr>
            <w:tcW w:type="dxa" w:w="6260"/>
            <w:shd w:fill="F7F5F0" w:val="clear"/>
            <w:tcMar>
              <w:top w:type="dxa" w:w="70"/>
              <w:left w:type="dxa" w:w="120"/>
              <w:bottom w:type="dxa" w:w="70"/>
              <w:right w:type="dxa" w:w="120"/>
            </w:tcMar>
          </w:tcPr>
          <w:p>
            <w:r>
              <w:rPr>
                <w:color w:val="333333"/>
                <w:sz w:val="18"/>
                <w:szCs w:val="18"/>
              </w:rPr>
              <w:t xml:space="preserve">Skips the 41–59 dead-zone of the chop index, so the engine sits out directionless markets.</w:t>
            </w:r>
          </w:p>
        </w:tc>
      </w:tr>
    </w:tbl>
    <w:p>
      <w:pPr>
        <w:spacing w:after="60"/>
      </w:pPr>
    </w:p>
    <w:p>
      <w:pPr>
        <w:spacing w:after="130" w:line="288"/>
      </w:pPr>
      <w:r>
        <w:rPr>
          <w:b/>
          <w:bCs/>
          <w:color w:val="1A1A22"/>
          <w:sz w:val="21"/>
          <w:szCs w:val="21"/>
        </w:rPr>
        <w:t xml:space="preserve">Why “frozen”? </w:t>
      </w:r>
      <w:r>
        <w:rPr>
          <w:color w:val="2B2B33"/>
          <w:sz w:val="21"/>
          <w:szCs w:val="21"/>
        </w:rPr>
        <w:t xml:space="preserve">The free GoldenGoose ships the fuel gate exactly as it was measured and does not re-tune it as regimes shift. That’s the deliberate limitation of the free tier — the maintained, continuously re-tuned version is what APEX Pro provides. It’s stated plainly so nothing feels hidden.</w:t>
      </w:r>
    </w:p>
    <w:p>
      <w:pPr>
        <w:pStyle w:val="Heading1"/>
        <w:spacing w:after="140" w:before="320"/>
      </w:pPr>
      <w:r>
        <w:rPr>
          <w:b/>
          <w:bCs/>
          <w:color w:val="1A1A22"/>
          <w:sz w:val="30"/>
          <w:szCs w:val="30"/>
        </w:rPr>
        <w:t xml:space="preserve">5 · Exits — ladder, trail, flip &amp; breaker</w:t>
      </w:r>
    </w:p>
    <w:p>
      <w:pPr>
        <w:spacing w:after="130" w:line="288"/>
      </w:pPr>
      <w:r>
        <w:rPr>
          <w:color w:val="2B2B33"/>
          <w:sz w:val="21"/>
          <w:szCs w:val="21"/>
        </w:rPr>
        <w:t xml:space="preserve">GoldenGoose banks profit in stages and manages risk with a hard stop, an adaptive trail, a stop-and-reverse flip, and a daily breaker. These are the mechanics behind the numbers.</w:t>
      </w:r>
    </w:p>
    <w:p>
      <w:pPr>
        <w:spacing w:after="60" w:before="12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943225"/>
                    </a:xfrm>
                    <a:prstGeom prst="rect">
                      <a:avLst/>
                    </a:prstGeom>
                  </pic:spPr>
                </pic:pic>
              </a:graphicData>
            </a:graphic>
          </wp:inline>
        </w:drawing>
      </w:r>
    </w:p>
    <w:p>
      <w:pPr>
        <w:spacing w:after="180"/>
        <w:jc w:val="center"/>
      </w:pPr>
      <w:r>
        <w:rPr>
          <w:i/>
          <w:iCs/>
          <w:color w:val="6B6456"/>
          <w:sz w:val="17"/>
          <w:szCs w:val="17"/>
        </w:rPr>
        <w:t xml:space="preserve">The exit-management group.</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3100"/>
        <w:gridCol w:w="6260"/>
      </w:tblGrid>
      <w:tr>
        <w:trPr>
          <w:tblHeader/>
        </w:trPr>
        <w:tc>
          <w:tcPr>
            <w:tcW w:type="dxa" w:w="3100"/>
            <w:shd w:fill="1A1A22" w:val="clear"/>
            <w:tcMar>
              <w:top w:type="dxa" w:w="80"/>
              <w:left w:type="dxa" w:w="120"/>
              <w:bottom w:type="dxa" w:w="80"/>
              <w:right w:type="dxa" w:w="120"/>
            </w:tcMar>
          </w:tcPr>
          <w:p>
            <w:r>
              <w:rPr>
                <w:b/>
                <w:bCs/>
                <w:color w:val="FFFFFF"/>
                <w:sz w:val="18"/>
                <w:szCs w:val="18"/>
              </w:rPr>
              <w:t xml:space="preserve">Input / mechanic</w:t>
            </w:r>
          </w:p>
        </w:tc>
        <w:tc>
          <w:tcPr>
            <w:tcW w:type="dxa" w:w="6260"/>
            <w:shd w:fill="1A1A22" w:val="clear"/>
            <w:tcMar>
              <w:top w:type="dxa" w:w="80"/>
              <w:left w:type="dxa" w:w="120"/>
              <w:bottom w:type="dxa" w:w="80"/>
              <w:right w:type="dxa" w:w="120"/>
            </w:tcMar>
          </w:tcPr>
          <w:p>
            <w:r>
              <w:rPr>
                <w:b/>
                <w:bCs/>
                <w:color w:val="FFFFFF"/>
                <w:sz w:val="18"/>
                <w:szCs w:val="18"/>
              </w:rPr>
              <w:t xml:space="preserve">What it does</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Disaster stop</w:t>
            </w:r>
          </w:p>
        </w:tc>
        <w:tc>
          <w:tcPr>
            <w:tcW w:type="dxa" w:w="6260"/>
            <w:shd w:fill="FFFFFF" w:val="clear"/>
            <w:tcMar>
              <w:top w:type="dxa" w:w="70"/>
              <w:left w:type="dxa" w:w="120"/>
              <w:bottom w:type="dxa" w:w="70"/>
              <w:right w:type="dxa" w:w="120"/>
            </w:tcMar>
          </w:tcPr>
          <w:p>
            <w:r>
              <w:rPr>
                <w:color w:val="333333"/>
                <w:sz w:val="18"/>
                <w:szCs w:val="18"/>
              </w:rPr>
              <w:t xml:space="preserve">L1 = 1.0R hard stop, shipped with every order from the first tick. After a cut, one flip to L2 at 0.5R (max 2 legs).</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5-rung ladder</w:t>
            </w:r>
          </w:p>
        </w:tc>
        <w:tc>
          <w:tcPr>
            <w:tcW w:type="dxa" w:w="6260"/>
            <w:shd w:fill="F7F5F0" w:val="clear"/>
            <w:tcMar>
              <w:top w:type="dxa" w:w="70"/>
              <w:left w:type="dxa" w:w="120"/>
              <w:bottom w:type="dxa" w:w="70"/>
              <w:right w:type="dxa" w:w="120"/>
            </w:tcMar>
          </w:tcPr>
          <w:p>
            <w:r>
              <w:rPr>
                <w:color w:val="333333"/>
                <w:sz w:val="18"/>
                <w:szCs w:val="18"/>
              </w:rPr>
              <w:t xml:space="preserve">Banks partial profit at 0.5 / 1.0 / 1.5 / 2.0 / 2.5 R, closing 25 / 25 / 20 / 15 / 10% at each rung.</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k-trail</w:t>
            </w:r>
          </w:p>
        </w:tc>
        <w:tc>
          <w:tcPr>
            <w:tcW w:type="dxa" w:w="6260"/>
            <w:shd w:fill="FFFFFF" w:val="clear"/>
            <w:tcMar>
              <w:top w:type="dxa" w:w="70"/>
              <w:left w:type="dxa" w:w="120"/>
              <w:bottom w:type="dxa" w:w="70"/>
              <w:right w:type="dxa" w:w="120"/>
            </w:tcMar>
          </w:tcPr>
          <w:p>
            <w:r>
              <w:rPr>
                <w:color w:val="333333"/>
                <w:sz w:val="18"/>
                <w:szCs w:val="18"/>
              </w:rPr>
              <w:t xml:space="preserve">Adaptive chandelier trail that tightens by rung: 2.0 → 1.5 → 1.1 → 0.8 → 0.6 → 0.5 × ATR.</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Flip</w:t>
            </w:r>
          </w:p>
        </w:tc>
        <w:tc>
          <w:tcPr>
            <w:tcW w:type="dxa" w:w="6260"/>
            <w:shd w:fill="F7F5F0" w:val="clear"/>
            <w:tcMar>
              <w:top w:type="dxa" w:w="70"/>
              <w:left w:type="dxa" w:w="120"/>
              <w:bottom w:type="dxa" w:w="70"/>
              <w:right w:type="dxa" w:w="120"/>
            </w:tcMar>
          </w:tcPr>
          <w:p>
            <w:r>
              <w:rPr>
                <w:color w:val="333333"/>
                <w:sz w:val="18"/>
                <w:szCs w:val="18"/>
              </w:rPr>
              <w:t xml:space="preserve">E4 stop-and-reverse: flips ≤ rung 3, max 2 legs, 12h stop. This is the engine’s signature behaviour.</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Breaker</w:t>
            </w:r>
          </w:p>
        </w:tc>
        <w:tc>
          <w:tcPr>
            <w:tcW w:type="dxa" w:w="6260"/>
            <w:shd w:fill="FFFFFF" w:val="clear"/>
            <w:tcMar>
              <w:top w:type="dxa" w:w="70"/>
              <w:left w:type="dxa" w:w="120"/>
              <w:bottom w:type="dxa" w:w="70"/>
              <w:right w:type="dxa" w:w="120"/>
            </w:tcMar>
          </w:tcPr>
          <w:p>
            <w:r>
              <w:rPr>
                <w:color w:val="333333"/>
                <w:sz w:val="18"/>
                <w:szCs w:val="18"/>
              </w:rPr>
              <w:t xml:space="preserve">R-anchored daily breaker at 5.0R (shown as $214.57 at an R of $42.91). Scales with the bet instead of tripping harder as risk rises.</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Pyramiding</w:t>
            </w:r>
          </w:p>
        </w:tc>
        <w:tc>
          <w:tcPr>
            <w:tcW w:type="dxa" w:w="6260"/>
            <w:shd w:fill="F7F5F0" w:val="clear"/>
            <w:tcMar>
              <w:top w:type="dxa" w:w="70"/>
              <w:left w:type="dxa" w:w="120"/>
              <w:bottom w:type="dxa" w:w="70"/>
              <w:right w:type="dxa" w:w="120"/>
            </w:tcMar>
          </w:tcPr>
          <w:p>
            <w:r>
              <w:rPr>
                <w:color w:val="333333"/>
                <w:sz w:val="18"/>
                <w:szCs w:val="18"/>
              </w:rPr>
              <w:t xml:space="preserve">On — adds at rung 2, max 3 tiers, size 0.50× each. Compounds winners.</w:t>
            </w:r>
          </w:p>
        </w:tc>
      </w:tr>
    </w:tbl>
    <w:p>
      <w:pPr>
        <w:pStyle w:val="Heading1"/>
        <w:spacing w:after="140" w:before="320"/>
      </w:pPr>
      <w:r>
        <w:rPr>
          <w:b/>
          <w:bCs/>
          <w:color w:val="1A1A22"/>
          <w:sz w:val="30"/>
          <w:szCs w:val="30"/>
        </w:rPr>
        <w:t xml:space="preserve">6 · The minor inputs (still worth knowing)</w:t>
      </w:r>
    </w:p>
    <w:p>
      <w:pPr>
        <w:spacing w:after="130" w:line="288"/>
      </w:pPr>
      <w:r>
        <w:rPr>
          <w:color w:val="2B2B33"/>
          <w:sz w:val="21"/>
          <w:szCs w:val="21"/>
        </w:rPr>
        <w:t xml:space="preserve">These won’t transform the system, but they shape its edges — and knowing them means you’re never guessing.</w:t>
      </w:r>
    </w:p>
    <w:p>
      <w:pPr>
        <w:spacing w:after="60" w:before="120"/>
        <w:jc w:val="center"/>
      </w:pPr>
      <w:r>
        <w:drawing>
          <wp:inline distT="0" distB="0" distL="0" distR="0">
            <wp:extent cx="3238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076575"/>
                    </a:xfrm>
                    <a:prstGeom prst="rect">
                      <a:avLst/>
                    </a:prstGeom>
                  </pic:spPr>
                </pic:pic>
              </a:graphicData>
            </a:graphic>
          </wp:inline>
        </w:drawing>
      </w:r>
    </w:p>
    <w:p>
      <w:pPr>
        <w:spacing w:after="180"/>
        <w:jc w:val="center"/>
      </w:pPr>
      <w:r>
        <w:rPr>
          <w:i/>
          <w:iCs/>
          <w:color w:val="6B6456"/>
          <w:sz w:val="17"/>
          <w:szCs w:val="17"/>
        </w:rPr>
        <w:t xml:space="preserve">Protection &amp; housekeeping group.</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3100"/>
        <w:gridCol w:w="6260"/>
      </w:tblGrid>
      <w:tr>
        <w:trPr>
          <w:tblHeader/>
        </w:trPr>
        <w:tc>
          <w:tcPr>
            <w:tcW w:type="dxa" w:w="3100"/>
            <w:shd w:fill="1A1A22" w:val="clear"/>
            <w:tcMar>
              <w:top w:type="dxa" w:w="80"/>
              <w:left w:type="dxa" w:w="120"/>
              <w:bottom w:type="dxa" w:w="80"/>
              <w:right w:type="dxa" w:w="120"/>
            </w:tcMar>
          </w:tcPr>
          <w:p>
            <w:r>
              <w:rPr>
                <w:b/>
                <w:bCs/>
                <w:color w:val="FFFFFF"/>
                <w:sz w:val="18"/>
                <w:szCs w:val="18"/>
              </w:rPr>
              <w:t xml:space="preserve">Input</w:t>
            </w:r>
          </w:p>
        </w:tc>
        <w:tc>
          <w:tcPr>
            <w:tcW w:type="dxa" w:w="6260"/>
            <w:shd w:fill="1A1A22" w:val="clear"/>
            <w:tcMar>
              <w:top w:type="dxa" w:w="80"/>
              <w:left w:type="dxa" w:w="120"/>
              <w:bottom w:type="dxa" w:w="80"/>
              <w:right w:type="dxa" w:w="120"/>
            </w:tcMar>
          </w:tcPr>
          <w:p>
            <w:r>
              <w:rPr>
                <w:b/>
                <w:bCs/>
                <w:color w:val="FFFFFF"/>
                <w:sz w:val="18"/>
                <w:szCs w:val="18"/>
              </w:rPr>
              <w:t xml:space="preserve">What it does</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Friday protection</w:t>
            </w:r>
          </w:p>
        </w:tc>
        <w:tc>
          <w:tcPr>
            <w:tcW w:type="dxa" w:w="6260"/>
            <w:shd w:fill="FFFFFF" w:val="clear"/>
            <w:tcMar>
              <w:top w:type="dxa" w:w="70"/>
              <w:left w:type="dxa" w:w="120"/>
              <w:bottom w:type="dxa" w:w="70"/>
              <w:right w:type="dxa" w:w="120"/>
            </w:tcMar>
          </w:tcPr>
          <w:p>
            <w:r>
              <w:rPr>
                <w:color w:val="333333"/>
                <w:sz w:val="18"/>
                <w:szCs w:val="18"/>
              </w:rPr>
              <w:t xml:space="preserve">Entry cutoff at 16:00 and force-flat at 21:30 (server time) to avoid the weekend gap. Minor, but it protects against Monday surprises.</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Day cap</w:t>
            </w:r>
          </w:p>
        </w:tc>
        <w:tc>
          <w:tcPr>
            <w:tcW w:type="dxa" w:w="6260"/>
            <w:shd w:fill="F7F5F0" w:val="clear"/>
            <w:tcMar>
              <w:top w:type="dxa" w:w="70"/>
              <w:left w:type="dxa" w:w="120"/>
              <w:bottom w:type="dxa" w:w="70"/>
              <w:right w:type="dxa" w:w="120"/>
            </w:tcMar>
          </w:tcPr>
          <w:p>
            <w:r>
              <w:rPr>
                <w:color w:val="333333"/>
                <w:sz w:val="18"/>
                <w:szCs w:val="18"/>
              </w:rPr>
              <w:t xml:space="preserve">5 buys / 5 sells per day, one position at a time (the L2 flip leg is free). Caps overtrading.</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VLE (Validated Loss Engine)</w:t>
            </w:r>
          </w:p>
        </w:tc>
        <w:tc>
          <w:tcPr>
            <w:tcW w:type="dxa" w:w="6260"/>
            <w:shd w:fill="FFFFFF" w:val="clear"/>
            <w:tcMar>
              <w:top w:type="dxa" w:w="70"/>
              <w:left w:type="dxa" w:w="120"/>
              <w:bottom w:type="dxa" w:w="70"/>
              <w:right w:type="dxa" w:w="120"/>
            </w:tcMar>
          </w:tcPr>
          <w:p>
            <w:r>
              <w:rPr>
                <w:color w:val="333333"/>
                <w:sz w:val="18"/>
                <w:szCs w:val="18"/>
              </w:rPr>
              <w:t xml:space="preserve">Present in the code but </w:t>
            </w:r>
            <w:r>
              <w:rPr>
                <w:b/>
                <w:bCs/>
                <w:color w:val="1A1A22"/>
                <w:sz w:val="18"/>
                <w:szCs w:val="18"/>
              </w:rPr>
              <w:t xml:space="preserve">OFF</w:t>
            </w:r>
            <w:r>
              <w:rPr>
                <w:color w:val="333333"/>
                <w:sz w:val="18"/>
                <w:szCs w:val="18"/>
              </w:rPr>
              <w:t xml:space="preserve"> by default — testing showed the floor cost money on this gated population. Left in, off, and documented honestly.</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Telegram inputs</w:t>
            </w:r>
          </w:p>
        </w:tc>
        <w:tc>
          <w:tcPr>
            <w:tcW w:type="dxa" w:w="6260"/>
            <w:shd w:fill="F7F5F0" w:val="clear"/>
            <w:tcMar>
              <w:top w:type="dxa" w:w="70"/>
              <w:left w:type="dxa" w:w="120"/>
              <w:bottom w:type="dxa" w:w="70"/>
              <w:right w:type="dxa" w:w="120"/>
            </w:tcMar>
          </w:tcPr>
          <w:p>
            <w:r>
              <w:rPr>
                <w:color w:val="333333"/>
                <w:sz w:val="18"/>
                <w:szCs w:val="18"/>
              </w:rPr>
              <w:t xml:space="preserve">Bot token / chat ID for the live trade feed. Optional — purely for notifications.</w:t>
            </w:r>
          </w:p>
        </w:tc>
      </w:tr>
    </w:tbl>
    <w:p>
      <w:r>
        <w:br w:type="page"/>
      </w:r>
    </w:p>
    <w:p>
      <w:pPr>
        <w:pStyle w:val="Heading1"/>
        <w:spacing w:after="140" w:before="320"/>
      </w:pPr>
      <w:r>
        <w:rPr>
          <w:b/>
          <w:bCs/>
          <w:color w:val="1A1A22"/>
          <w:sz w:val="30"/>
          <w:szCs w:val="30"/>
        </w:rPr>
        <w:t xml:space="preserve">7 · Setting up the AI Sidecar (GateKeeper)</w:t>
      </w:r>
    </w:p>
    <w:p>
      <w:pPr>
        <w:spacing w:after="130" w:line="288"/>
      </w:pPr>
      <w:r>
        <w:rPr>
          <w:color w:val="2B2B33"/>
          <w:sz w:val="21"/>
          <w:szCs w:val="21"/>
        </w:rPr>
        <w:t xml:space="preserve">The AI layer runs as a small Python program — the </w:t>
      </w:r>
      <w:r>
        <w:rPr>
          <w:b/>
          <w:bCs/>
          <w:color w:val="1A1A22"/>
          <w:sz w:val="21"/>
          <w:szCs w:val="21"/>
        </w:rPr>
        <w:t xml:space="preserve">sidecar</w:t>
      </w:r>
      <w:r>
        <w:rPr>
          <w:color w:val="2B2B33"/>
          <w:sz w:val="21"/>
          <w:szCs w:val="21"/>
        </w:rPr>
        <w:t xml:space="preserve"> — on the same machine as MetaTrader. The EA talks to it over </w:t>
      </w:r>
      <w:r>
        <w:rPr>
          <w:rFonts w:ascii="Consolas" w:cs="Consolas" w:eastAsia="Consolas" w:hAnsi="Consolas"/>
          <w:color w:val="A03A00"/>
          <w:sz w:val="19"/>
          <w:szCs w:val="19"/>
        </w:rPr>
        <w:t xml:space="preserve">http://127.0.0.1:8765/</w:t>
      </w:r>
      <w:r>
        <w:rPr>
          <w:color w:val="2B2B33"/>
          <w:sz w:val="21"/>
          <w:szCs w:val="21"/>
        </w:rPr>
        <w:t xml:space="preserve">. Below is the full setup for both Windows and Mac. Do the prerequisite first.</w:t>
      </w:r>
    </w:p>
    <w:tbl>
      <w:tblPr>
        <w:tblW w:type="dxa" w:w="9360"/>
        <w:tblBorders>
          <w:top w:val="single" w:color="D08A3A" w:sz="2"/>
          <w:left w:val="single" w:color="D08A3A" w:sz="18"/>
          <w:bottom w:val="single" w:color="D08A3A" w:sz="2"/>
          <w:right w:val="single" w:color="D08A3A" w:sz="2"/>
          <w:insideH w:val="none"/>
          <w:insideV w:val="none"/>
        </w:tblBorders>
      </w:tblPr>
      <w:tblGrid>
        <w:gridCol w:w="9360"/>
      </w:tblGrid>
      <w:tr>
        <w:tc>
          <w:tcPr>
            <w:tcW w:type="dxa" w:w="9360"/>
            <w:shd w:fill="FBF0E6" w:val="clear"/>
            <w:tcMar>
              <w:top w:type="dxa" w:w="120"/>
              <w:left w:type="dxa" w:w="160"/>
              <w:bottom w:type="dxa" w:w="120"/>
              <w:right w:type="dxa" w:w="160"/>
            </w:tcMar>
          </w:tcPr>
          <w:p>
            <w:pPr>
              <w:spacing w:after="60"/>
            </w:pPr>
            <w:r>
              <w:rPr>
                <w:b/>
                <w:bCs/>
                <w:color w:val="9A5A18"/>
                <w:sz w:val="20"/>
                <w:szCs w:val="20"/>
              </w:rPr>
              <w:t xml:space="preserve">Prerequisite — do this before anything else</w:t>
            </w:r>
          </w:p>
          <w:p>
            <w:pPr>
              <w:spacing w:line="276"/>
            </w:pPr>
            <w:r>
              <w:rPr>
                <w:color w:val="333333"/>
                <w:sz w:val="20"/>
                <w:szCs w:val="20"/>
              </w:rPr>
              <w:t xml:space="preserve">Create a folder for the sidecar (for example a </w:t>
            </w:r>
            <w:r>
              <w:rPr>
                <w:rFonts w:ascii="Consolas" w:cs="Consolas" w:eastAsia="Consolas" w:hAnsi="Consolas"/>
                <w:color w:val="A03A00"/>
                <w:sz w:val="18"/>
                <w:szCs w:val="18"/>
              </w:rPr>
              <w:t xml:space="preserve">GateKeeper-SideCar</w:t>
            </w:r>
            <w:r>
              <w:rPr>
                <w:color w:val="333333"/>
                <w:sz w:val="20"/>
                <w:szCs w:val="20"/>
              </w:rPr>
              <w:t xml:space="preserve"> folder on your Desktop) and put the sidecar files in it (</w:t>
            </w:r>
            <w:r>
              <w:rPr>
                <w:rFonts w:ascii="Consolas" w:cs="Consolas" w:eastAsia="Consolas" w:hAnsi="Consolas"/>
                <w:color w:val="A03A00"/>
                <w:sz w:val="18"/>
                <w:szCs w:val="18"/>
              </w:rPr>
              <w:t xml:space="preserve">apex_gatekeeper.py</w:t>
            </w:r>
            <w:r>
              <w:rPr>
                <w:color w:val="333333"/>
                <w:sz w:val="20"/>
                <w:szCs w:val="20"/>
              </w:rPr>
              <w:t xml:space="preserve">, </w:t>
            </w:r>
            <w:r>
              <w:rPr>
                <w:rFonts w:ascii="Consolas" w:cs="Consolas" w:eastAsia="Consolas" w:hAnsi="Consolas"/>
                <w:color w:val="A03A00"/>
                <w:sz w:val="18"/>
                <w:szCs w:val="18"/>
              </w:rPr>
              <w:t xml:space="preserve">ping_test.py</w:t>
            </w:r>
            <w:r>
              <w:rPr>
                <w:color w:val="333333"/>
                <w:sz w:val="20"/>
                <w:szCs w:val="20"/>
              </w:rPr>
              <w:t xml:space="preserve">, </w:t>
            </w:r>
            <w:r>
              <w:rPr>
                <w:rFonts w:ascii="Consolas" w:cs="Consolas" w:eastAsia="Consolas" w:hAnsi="Consolas"/>
                <w:color w:val="A03A00"/>
                <w:sz w:val="18"/>
                <w:szCs w:val="18"/>
              </w:rPr>
              <w:t xml:space="preserve">feed_test.py</w:t>
            </w:r>
            <w:r>
              <w:rPr>
                <w:color w:val="333333"/>
                <w:sz w:val="20"/>
                <w:szCs w:val="20"/>
              </w:rPr>
              <w:t xml:space="preserve">). Then open your command line — </w:t>
            </w:r>
            <w:r>
              <w:rPr>
                <w:b/>
                <w:bCs/>
                <w:color w:val="1A1A22"/>
                <w:sz w:val="20"/>
                <w:szCs w:val="20"/>
              </w:rPr>
              <w:t xml:space="preserve">CMD</w:t>
            </w:r>
            <w:r>
              <w:rPr>
                <w:color w:val="333333"/>
                <w:sz w:val="20"/>
                <w:szCs w:val="20"/>
              </w:rPr>
              <w:t xml:space="preserve"> on Windows, </w:t>
            </w:r>
            <w:r>
              <w:rPr>
                <w:b/>
                <w:bCs/>
                <w:color w:val="1A1A22"/>
                <w:sz w:val="20"/>
                <w:szCs w:val="20"/>
              </w:rPr>
              <w:t xml:space="preserve">Terminal</w:t>
            </w:r>
            <w:r>
              <w:rPr>
                <w:color w:val="333333"/>
                <w:sz w:val="20"/>
                <w:szCs w:val="20"/>
              </w:rPr>
              <w:t xml:space="preserve"> on Mac — and install the requirements into that environment:</w:t>
            </w:r>
          </w:p>
        </w:tc>
      </w:tr>
    </w:tbl>
    <w:p>
      <w:pPr>
        <w:pBdr>
          <w:left w:val="single" w:color="C6A052" w:sz="18" w:space="8"/>
        </w:pBdr>
        <w:shd w:fill="F3F1EC" w:val="clear"/>
        <w:spacing w:after="150" w:before="60" w:line="264"/>
      </w:pPr>
      <w:r>
        <w:rPr>
          <w:rFonts w:ascii="Consolas" w:cs="Consolas" w:eastAsia="Consolas" w:hAnsi="Consolas"/>
          <w:color w:val="333333"/>
          <w:sz w:val="18"/>
          <w:szCs w:val="18"/>
        </w:rPr>
        <w:t xml:space="preserve">pip install MetaTrader5 feedparser requests</w:t>
      </w:r>
    </w:p>
    <w:p>
      <w:pPr>
        <w:spacing w:after="130" w:line="288"/>
      </w:pPr>
      <w:r>
        <w:rPr>
          <w:color w:val="2B2B33"/>
          <w:sz w:val="21"/>
          <w:szCs w:val="21"/>
        </w:rPr>
        <w:t xml:space="preserve">Get your OpenAI API key first from </w:t>
      </w:r>
      <w:r>
        <w:rPr>
          <w:b/>
          <w:bCs/>
          <w:color w:val="4B7BF5"/>
          <w:sz w:val="21"/>
          <w:szCs w:val="21"/>
        </w:rPr>
        <w:t xml:space="preserve">https://platform.openai.com/settings/organization/api-keys</w:t>
      </w:r>
      <w:r>
        <w:rPr>
          <w:color w:val="2B2B33"/>
          <w:sz w:val="21"/>
          <w:szCs w:val="21"/>
        </w:rPr>
        <w:t xml:space="preserve">  (or, to run fully offline and free, install Ollama and pull </w:t>
      </w:r>
      <w:r>
        <w:rPr>
          <w:rFonts w:ascii="Consolas" w:cs="Consolas" w:eastAsia="Consolas" w:hAnsi="Consolas"/>
          <w:color w:val="A03A00"/>
          <w:sz w:val="19"/>
          <w:szCs w:val="19"/>
        </w:rPr>
        <w:t xml:space="preserve">llama3</w:t>
      </w:r>
      <w:r>
        <w:rPr>
          <w:color w:val="2B2B33"/>
          <w:sz w:val="21"/>
          <w:szCs w:val="21"/>
        </w:rPr>
        <w:t xml:space="preserve"> instead).</w:t>
      </w:r>
    </w:p>
    <w:p>
      <w:pPr>
        <w:pStyle w:val="Heading2"/>
        <w:spacing w:after="110" w:before="260"/>
      </w:pPr>
      <w:r>
        <w:rPr>
          <w:b/>
          <w:bCs/>
          <w:color w:val="2A2A34"/>
          <w:sz w:val="24"/>
          <w:szCs w:val="24"/>
        </w:rPr>
        <w:t xml:space="preserve">Windows</w:t>
      </w:r>
    </w:p>
    <w:p>
      <w:pPr>
        <w:pStyle w:val="ListParagraph"/>
        <w:numPr>
          <w:ilvl w:val="0"/>
          <w:numId w:val="2"/>
        </w:numPr>
        <w:spacing w:after="90" w:line="276"/>
      </w:pPr>
      <w:r>
        <w:rPr>
          <w:color w:val="2B2B33"/>
          <w:sz w:val="21"/>
          <w:szCs w:val="21"/>
        </w:rPr>
        <w:t xml:space="preserve">CD into the folder:</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cd C:\Users\Administrator\Desktop\GateKeeper-SideCar</w:t>
      </w:r>
    </w:p>
    <w:p>
      <w:pPr>
        <w:pStyle w:val="ListParagraph"/>
        <w:numPr>
          <w:ilvl w:val="0"/>
          <w:numId w:val="2"/>
        </w:numPr>
        <w:spacing w:after="90" w:line="276"/>
      </w:pPr>
      <w:r>
        <w:rPr>
          <w:color w:val="2B2B33"/>
          <w:sz w:val="21"/>
          <w:szCs w:val="21"/>
        </w:rPr>
        <w:t xml:space="preserve">Set the API key:</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setx OPENAI_API_KEY sk-your-key-here</w:t>
      </w:r>
    </w:p>
    <w:p>
      <w:pPr>
        <w:pStyle w:val="ListParagraph"/>
        <w:numPr>
          <w:ilvl w:val="0"/>
          <w:numId w:val="2"/>
        </w:numPr>
        <w:spacing w:after="90" w:line="276"/>
      </w:pPr>
      <w:r>
        <w:rPr>
          <w:color w:val="2B2B33"/>
          <w:sz w:val="21"/>
          <w:szCs w:val="21"/>
        </w:rPr>
        <w:t xml:space="preserve">Start the sidecar:</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py apex_gatekeeper.py</w:t>
      </w:r>
    </w:p>
    <w:p>
      <w:pPr>
        <w:pStyle w:val="ListParagraph"/>
        <w:numPr>
          <w:ilvl w:val="0"/>
          <w:numId w:val="2"/>
        </w:numPr>
        <w:spacing w:after="90" w:line="276"/>
      </w:pPr>
      <w:r>
        <w:rPr>
          <w:color w:val="2B2B33"/>
          <w:sz w:val="21"/>
          <w:szCs w:val="21"/>
        </w:rPr>
        <w:t xml:space="preserve">Check the key is set correctly:</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echo %OPENAI_API_KEY%</w:t>
      </w:r>
    </w:p>
    <w:p>
      <w:pPr>
        <w:pStyle w:val="ListParagraph"/>
        <w:numPr>
          <w:ilvl w:val="0"/>
          <w:numId w:val="2"/>
        </w:numPr>
        <w:spacing w:after="90" w:line="276"/>
      </w:pPr>
      <w:r>
        <w:rPr>
          <w:color w:val="2B2B33"/>
          <w:sz w:val="21"/>
          <w:szCs w:val="21"/>
        </w:rPr>
        <w:t xml:space="preserve">Ping to test the AI agents are live (open a separate CMD window and CD into the folder first):</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py ping_test.py</w:t>
      </w:r>
    </w:p>
    <w:p>
      <w:pPr>
        <w:pStyle w:val="ListParagraph"/>
        <w:numPr>
          <w:ilvl w:val="0"/>
          <w:numId w:val="2"/>
        </w:numPr>
        <w:spacing w:after="90" w:line="276"/>
      </w:pPr>
      <w:r>
        <w:rPr>
          <w:color w:val="2B2B33"/>
          <w:sz w:val="21"/>
          <w:szCs w:val="21"/>
        </w:rPr>
        <w:t xml:space="preserve">Test the news feed:</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py feed_test.py</w:t>
      </w:r>
    </w:p>
    <w:p>
      <w:pPr>
        <w:pStyle w:val="Heading2"/>
        <w:spacing w:after="110" w:before="260"/>
      </w:pPr>
      <w:r>
        <w:rPr>
          <w:b/>
          <w:bCs/>
          <w:color w:val="2A2A34"/>
          <w:sz w:val="24"/>
          <w:szCs w:val="24"/>
        </w:rPr>
        <w:t xml:space="preserve">Mac</w:t>
      </w:r>
    </w:p>
    <w:p>
      <w:pPr>
        <w:pStyle w:val="ListParagraph"/>
        <w:numPr>
          <w:ilvl w:val="0"/>
          <w:numId w:val="3"/>
        </w:numPr>
        <w:spacing w:after="90" w:line="276"/>
      </w:pPr>
      <w:r>
        <w:rPr>
          <w:color w:val="2B2B33"/>
          <w:sz w:val="21"/>
          <w:szCs w:val="21"/>
        </w:rPr>
        <w:t xml:space="preserve">CD into the folder:</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cd ~/Desktop/GateKeeper-SideCar</w:t>
      </w:r>
    </w:p>
    <w:p>
      <w:pPr>
        <w:pStyle w:val="ListParagraph"/>
        <w:numPr>
          <w:ilvl w:val="0"/>
          <w:numId w:val="3"/>
        </w:numPr>
        <w:spacing w:after="90" w:line="276"/>
      </w:pPr>
      <w:r>
        <w:rPr>
          <w:color w:val="2B2B33"/>
          <w:sz w:val="21"/>
          <w:szCs w:val="21"/>
        </w:rPr>
        <w:t xml:space="preserve">Set the API key:</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export OPENAI_API_KEY=sk-your-key-here</w:t>
      </w:r>
    </w:p>
    <w:p>
      <w:pPr>
        <w:pStyle w:val="ListParagraph"/>
        <w:numPr>
          <w:ilvl w:val="0"/>
          <w:numId w:val="3"/>
        </w:numPr>
        <w:spacing w:after="90" w:line="276"/>
      </w:pPr>
      <w:r>
        <w:rPr>
          <w:color w:val="2B2B33"/>
          <w:sz w:val="21"/>
          <w:szCs w:val="21"/>
        </w:rPr>
        <w:t xml:space="preserve">Start the sidecar:</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python3 apex_gatekeeper.py</w:t>
      </w:r>
    </w:p>
    <w:p>
      <w:pPr>
        <w:pStyle w:val="ListParagraph"/>
        <w:numPr>
          <w:ilvl w:val="0"/>
          <w:numId w:val="3"/>
        </w:numPr>
        <w:spacing w:after="90" w:line="276"/>
      </w:pPr>
      <w:r>
        <w:rPr>
          <w:color w:val="2B2B33"/>
          <w:sz w:val="21"/>
          <w:szCs w:val="21"/>
        </w:rPr>
        <w:t xml:space="preserve">Check the key is set correctly:</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echo $OPENAI_API_KEY</w:t>
      </w:r>
    </w:p>
    <w:p>
      <w:pPr>
        <w:pStyle w:val="ListParagraph"/>
        <w:numPr>
          <w:ilvl w:val="0"/>
          <w:numId w:val="3"/>
        </w:numPr>
        <w:spacing w:after="90" w:line="276"/>
      </w:pPr>
      <w:r>
        <w:rPr>
          <w:color w:val="2B2B33"/>
          <w:sz w:val="21"/>
          <w:szCs w:val="21"/>
        </w:rPr>
        <w:t xml:space="preserve">Ping to test the AI agents are live (open a separate Terminal window and CD into the folder first):</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python3 ping_test.py</w:t>
      </w:r>
    </w:p>
    <w:p>
      <w:pPr>
        <w:pStyle w:val="ListParagraph"/>
        <w:numPr>
          <w:ilvl w:val="0"/>
          <w:numId w:val="3"/>
        </w:numPr>
        <w:spacing w:after="90" w:line="276"/>
      </w:pPr>
      <w:r>
        <w:rPr>
          <w:color w:val="2B2B33"/>
          <w:sz w:val="21"/>
          <w:szCs w:val="21"/>
        </w:rPr>
        <w:t xml:space="preserve">Test the news feed:</w:t>
      </w:r>
    </w:p>
    <w:p>
      <w:pPr>
        <w:pBdr>
          <w:left w:val="single" w:color="C6A052" w:sz="18" w:space="8"/>
        </w:pBdr>
        <w:shd w:fill="F3F1EC" w:val="clear"/>
        <w:spacing w:after="150" w:before="60" w:line="264"/>
      </w:pPr>
      <w:r>
        <w:rPr>
          <w:rFonts w:ascii="Consolas" w:cs="Consolas" w:eastAsia="Consolas" w:hAnsi="Consolas"/>
          <w:color w:val="333333"/>
          <w:sz w:val="18"/>
          <w:szCs w:val="18"/>
        </w:rPr>
        <w:t xml:space="preserve">python3 feed_test.py</w:t>
      </w:r>
    </w:p>
    <w:tbl>
      <w:tblPr>
        <w:tblW w:type="dxa" w:w="9360"/>
        <w:tblBorders>
          <w:top w:val="single" w:color="4B7BF5" w:sz="2"/>
          <w:left w:val="single" w:color="4B7BF5" w:sz="18"/>
          <w:bottom w:val="single" w:color="4B7BF5" w:sz="2"/>
          <w:right w:val="single" w:color="4B7BF5" w:sz="2"/>
          <w:insideH w:val="none"/>
          <w:insideV w:val="none"/>
        </w:tblBorders>
      </w:tblPr>
      <w:tblGrid>
        <w:gridCol w:w="9360"/>
      </w:tblGrid>
      <w:tr>
        <w:tc>
          <w:tcPr>
            <w:tcW w:type="dxa" w:w="9360"/>
            <w:shd w:fill="EEF3FC" w:val="clear"/>
            <w:tcMar>
              <w:top w:type="dxa" w:w="120"/>
              <w:left w:type="dxa" w:w="160"/>
              <w:bottom w:type="dxa" w:w="120"/>
              <w:right w:type="dxa" w:w="160"/>
            </w:tcMar>
          </w:tcPr>
          <w:p>
            <w:pPr>
              <w:spacing w:after="60"/>
            </w:pPr>
            <w:r>
              <w:rPr>
                <w:b/>
                <w:bCs/>
                <w:color w:val="2A5599"/>
                <w:sz w:val="20"/>
                <w:szCs w:val="20"/>
              </w:rPr>
              <w:t xml:space="preserve">Mac note</w:t>
            </w:r>
          </w:p>
          <w:p>
            <w:pPr>
              <w:spacing w:line="276"/>
            </w:pPr>
            <w:r>
              <w:rPr>
                <w:color w:val="333333"/>
                <w:sz w:val="20"/>
                <w:szCs w:val="20"/>
              </w:rPr>
              <w:t xml:space="preserve">On Mac the </w:t>
            </w:r>
            <w:r>
              <w:rPr>
                <w:rFonts w:ascii="Consolas" w:cs="Consolas" w:eastAsia="Consolas" w:hAnsi="Consolas"/>
                <w:color w:val="A03A00"/>
                <w:sz w:val="18"/>
                <w:szCs w:val="18"/>
              </w:rPr>
              <w:t xml:space="preserve">export</w:t>
            </w:r>
            <w:r>
              <w:rPr>
                <w:color w:val="333333"/>
                <w:sz w:val="20"/>
                <w:szCs w:val="20"/>
              </w:rPr>
              <w:t xml:space="preserve"> command sets the key for the current Terminal session. If you close the window you’ll need to run it again, or add it to your shell profile (</w:t>
            </w:r>
            <w:r>
              <w:rPr>
                <w:rFonts w:ascii="Consolas" w:cs="Consolas" w:eastAsia="Consolas" w:hAnsi="Consolas"/>
                <w:color w:val="A03A00"/>
                <w:sz w:val="18"/>
                <w:szCs w:val="18"/>
              </w:rPr>
              <w:t xml:space="preserve">~/.zshrc</w:t>
            </w:r>
            <w:r>
              <w:rPr>
                <w:color w:val="333333"/>
                <w:sz w:val="20"/>
                <w:szCs w:val="20"/>
              </w:rPr>
              <w:t xml:space="preserve">) to make it permanent. Otherwise the steps are identical to Windows — just </w:t>
            </w:r>
            <w:r>
              <w:rPr>
                <w:rFonts w:ascii="Consolas" w:cs="Consolas" w:eastAsia="Consolas" w:hAnsi="Consolas"/>
                <w:color w:val="A03A00"/>
                <w:sz w:val="18"/>
                <w:szCs w:val="18"/>
              </w:rPr>
              <w:t xml:space="preserve">python3</w:t>
            </w:r>
            <w:r>
              <w:rPr>
                <w:color w:val="333333"/>
                <w:sz w:val="20"/>
                <w:szCs w:val="20"/>
              </w:rPr>
              <w:t xml:space="preserve"> instead of </w:t>
            </w:r>
            <w:r>
              <w:rPr>
                <w:rFonts w:ascii="Consolas" w:cs="Consolas" w:eastAsia="Consolas" w:hAnsi="Consolas"/>
                <w:color w:val="A03A00"/>
                <w:sz w:val="18"/>
                <w:szCs w:val="18"/>
              </w:rPr>
              <w:t xml:space="preserve">py</w:t>
            </w:r>
            <w:r>
              <w:rPr>
                <w:color w:val="333333"/>
                <w:sz w:val="20"/>
                <w:szCs w:val="20"/>
              </w:rPr>
              <w:t xml:space="preserve">, and </w:t>
            </w:r>
            <w:r>
              <w:rPr>
                <w:rFonts w:ascii="Consolas" w:cs="Consolas" w:eastAsia="Consolas" w:hAnsi="Consolas"/>
                <w:color w:val="A03A00"/>
                <w:sz w:val="18"/>
                <w:szCs w:val="18"/>
              </w:rPr>
              <w:t xml:space="preserve">$OPENAI_API_KEY</w:t>
            </w:r>
            <w:r>
              <w:rPr>
                <w:color w:val="333333"/>
                <w:sz w:val="20"/>
                <w:szCs w:val="20"/>
              </w:rPr>
              <w:t xml:space="preserve"> instead of </w:t>
            </w:r>
            <w:r>
              <w:rPr>
                <w:rFonts w:ascii="Consolas" w:cs="Consolas" w:eastAsia="Consolas" w:hAnsi="Consolas"/>
                <w:color w:val="A03A00"/>
                <w:sz w:val="18"/>
                <w:szCs w:val="18"/>
              </w:rPr>
              <w:t xml:space="preserve">%OPENAI_API_KEY%</w:t>
            </w:r>
            <w:r>
              <w:rPr>
                <w:color w:val="333333"/>
                <w:sz w:val="20"/>
                <w:szCs w:val="20"/>
              </w:rPr>
              <w:t xml:space="preserve">.</w:t>
            </w:r>
          </w:p>
        </w:tc>
      </w:tr>
    </w:tbl>
    <w:p>
      <w:pPr>
        <w:pStyle w:val="Heading3"/>
        <w:spacing w:after="90" w:before="200"/>
      </w:pPr>
      <w:r>
        <w:rPr>
          <w:b/>
          <w:bCs/>
          <w:color w:val="4B7BF5"/>
          <w:sz w:val="20"/>
          <w:szCs w:val="20"/>
        </w:rPr>
        <w:t xml:space="preserve">What “all okay” looks like</w:t>
      </w:r>
    </w:p>
    <w:p>
      <w:pPr>
        <w:spacing w:after="130" w:line="288"/>
      </w:pPr>
      <w:r>
        <w:rPr>
          <w:color w:val="2B2B33"/>
          <w:sz w:val="21"/>
          <w:szCs w:val="21"/>
        </w:rPr>
        <w:t xml:space="preserve">When the sidecar is running and the tests pass, the console shows the agents live and the news feed responding. This is the healthy state — leave the sidecar window running while you trade:</w:t>
      </w:r>
    </w:p>
    <w:p>
      <w:pPr>
        <w:spacing w:after="60" w:before="120"/>
        <w:jc w:val="center"/>
      </w:pPr>
      <w:r>
        <w:drawing>
          <wp:inline distT="0" distB="0" distL="0" distR="0">
            <wp:extent cx="4191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733550"/>
                    </a:xfrm>
                    <a:prstGeom prst="rect">
                      <a:avLst/>
                    </a:prstGeom>
                  </pic:spPr>
                </pic:pic>
              </a:graphicData>
            </a:graphic>
          </wp:inline>
        </w:drawing>
      </w:r>
    </w:p>
    <w:p>
      <w:pPr>
        <w:spacing w:after="180"/>
        <w:jc w:val="center"/>
      </w:pPr>
      <w:r>
        <w:rPr>
          <w:i/>
          <w:iCs/>
          <w:color w:val="6B6456"/>
          <w:sz w:val="17"/>
          <w:szCs w:val="17"/>
        </w:rPr>
        <w:t xml:space="preserve">The AI GateKeeper sidecar running — agents live, all checks green.</w:t>
      </w:r>
    </w:p>
    <w:p>
      <w:pPr>
        <w:spacing w:after="60" w:before="120"/>
        <w:jc w:val="center"/>
      </w:pPr>
      <w:r>
        <w:drawing>
          <wp:inline distT="0" distB="0" distL="0" distR="0">
            <wp:extent cx="4381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81225"/>
                    </a:xfrm>
                    <a:prstGeom prst="rect">
                      <a:avLst/>
                    </a:prstGeom>
                  </pic:spPr>
                </pic:pic>
              </a:graphicData>
            </a:graphic>
          </wp:inline>
        </w:drawing>
      </w:r>
    </w:p>
    <w:p>
      <w:pPr>
        <w:spacing w:after="180"/>
        <w:jc w:val="center"/>
      </w:pPr>
      <w:r>
        <w:rPr>
          <w:i/>
          <w:iCs/>
          <w:color w:val="6B6456"/>
          <w:sz w:val="17"/>
          <w:szCs w:val="17"/>
        </w:rPr>
        <w:t xml:space="preserve">The ping and feed tests returning healthy responses.</w:t>
      </w:r>
    </w:p>
    <w:p>
      <w:pPr>
        <w:pStyle w:val="Heading3"/>
        <w:spacing w:after="90" w:before="200"/>
      </w:pPr>
      <w:r>
        <w:rPr>
          <w:b/>
          <w:bCs/>
          <w:color w:val="4B7BF5"/>
          <w:sz w:val="20"/>
          <w:szCs w:val="20"/>
        </w:rPr>
        <w:t xml:space="preserve">Wiring the EA to the sidecar</w:t>
      </w:r>
    </w:p>
    <w:p>
      <w:pPr>
        <w:pStyle w:val="ListParagraph"/>
        <w:numPr>
          <w:ilvl w:val="0"/>
          <w:numId w:val="4"/>
        </w:numPr>
        <w:spacing w:after="90" w:line="276"/>
      </w:pPr>
      <w:r>
        <w:rPr>
          <w:color w:val="2B2B33"/>
          <w:sz w:val="21"/>
          <w:szCs w:val="21"/>
        </w:rPr>
        <w:t xml:space="preserve">In MetaTrader: </w:t>
      </w:r>
      <w:r>
        <w:rPr>
          <w:b/>
          <w:bCs/>
          <w:color w:val="1A1A22"/>
          <w:sz w:val="21"/>
          <w:szCs w:val="21"/>
        </w:rPr>
        <w:t xml:space="preserve">Tools → Options → Expert Advisors → Allow WebRequest for listed URL</w:t>
      </w:r>
      <w:r>
        <w:rPr>
          <w:color w:val="2B2B33"/>
          <w:sz w:val="21"/>
          <w:szCs w:val="21"/>
        </w:rPr>
        <w:t xml:space="preserve">, and add </w:t>
      </w:r>
      <w:r>
        <w:rPr>
          <w:rFonts w:ascii="Consolas" w:cs="Consolas" w:eastAsia="Consolas" w:hAnsi="Consolas"/>
          <w:color w:val="A03A00"/>
          <w:sz w:val="19"/>
          <w:szCs w:val="19"/>
        </w:rPr>
        <w:t xml:space="preserve">http://127.0.0.1:8765</w:t>
      </w:r>
      <w:r>
        <w:rPr>
          <w:color w:val="2B2B33"/>
          <w:sz w:val="21"/>
          <w:szCs w:val="21"/>
        </w:rPr>
        <w:t xml:space="preserve">.</w:t>
      </w:r>
    </w:p>
    <w:p>
      <w:pPr>
        <w:pStyle w:val="ListParagraph"/>
        <w:numPr>
          <w:ilvl w:val="0"/>
          <w:numId w:val="4"/>
        </w:numPr>
        <w:spacing w:after="90" w:line="276"/>
      </w:pPr>
      <w:r>
        <w:rPr>
          <w:color w:val="2B2B33"/>
          <w:sz w:val="21"/>
          <w:szCs w:val="21"/>
        </w:rPr>
        <w:t xml:space="preserve">In the EA inputs, set </w:t>
      </w:r>
      <w:r>
        <w:rPr>
          <w:rFonts w:ascii="Consolas" w:cs="Consolas" w:eastAsia="Consolas" w:hAnsi="Consolas"/>
          <w:color w:val="A03A00"/>
          <w:sz w:val="19"/>
          <w:szCs w:val="19"/>
        </w:rPr>
        <w:t xml:space="preserve">InpUseAIGate = true</w:t>
      </w:r>
      <w:r>
        <w:rPr>
          <w:color w:val="2B2B33"/>
          <w:sz w:val="21"/>
          <w:szCs w:val="21"/>
        </w:rPr>
        <w:t xml:space="preserve">.</w:t>
      </w:r>
    </w:p>
    <w:p>
      <w:pPr>
        <w:pStyle w:val="ListParagraph"/>
        <w:numPr>
          <w:ilvl w:val="0"/>
          <w:numId w:val="4"/>
        </w:numPr>
        <w:spacing w:after="90" w:line="276"/>
      </w:pPr>
      <w:r>
        <w:rPr>
          <w:color w:val="2B2B33"/>
          <w:sz w:val="21"/>
          <w:szCs w:val="21"/>
        </w:rPr>
        <w:t xml:space="preserve">Confirm the boot banner now shows </w:t>
      </w:r>
      <w:r>
        <w:rPr>
          <w:rFonts w:ascii="Consolas" w:cs="Consolas" w:eastAsia="Consolas" w:hAnsi="Consolas"/>
          <w:color w:val="A03A00"/>
          <w:sz w:val="19"/>
          <w:szCs w:val="19"/>
        </w:rPr>
        <w:t xml:space="preserve">AI gate ON — fail-CLOSED</w:t>
      </w:r>
      <w:r>
        <w:rPr>
          <w:color w:val="2B2B33"/>
          <w:sz w:val="21"/>
          <w:szCs w:val="21"/>
        </w:rPr>
        <w:t xml:space="preserve">. You’re live.</w:t>
      </w:r>
    </w:p>
    <w:p>
      <w:r>
        <w:br w:type="page"/>
      </w:r>
    </w:p>
    <w:p>
      <w:pPr>
        <w:pStyle w:val="Heading1"/>
        <w:spacing w:after="140" w:before="320"/>
      </w:pPr>
      <w:r>
        <w:rPr>
          <w:b/>
          <w:bCs/>
          <w:color w:val="1A1A22"/>
          <w:sz w:val="30"/>
          <w:szCs w:val="30"/>
        </w:rPr>
        <w:t xml:space="preserve">8 · Reading the live trade feed</w:t>
      </w:r>
    </w:p>
    <w:p>
      <w:pPr>
        <w:spacing w:after="130" w:line="288"/>
      </w:pPr>
      <w:r>
        <w:rPr>
          <w:color w:val="2B2B33"/>
          <w:sz w:val="21"/>
          <w:szCs w:val="21"/>
        </w:rPr>
        <w:t xml:space="preserve">Once running, GoldenGoose narrates its full trade lifecycle to the Experts tab and Telegram — new cycles, rung banking, pyramiding, the flip, and closed wins and losses. Learning to read these cards means you always know what the engine is doing and why.</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3100"/>
        <w:gridCol w:w="6260"/>
      </w:tblGrid>
      <w:tr>
        <w:trPr>
          <w:tblHeader/>
        </w:trPr>
        <w:tc>
          <w:tcPr>
            <w:tcW w:type="dxa" w:w="3100"/>
            <w:shd w:fill="1A1A22" w:val="clear"/>
            <w:tcMar>
              <w:top w:type="dxa" w:w="80"/>
              <w:left w:type="dxa" w:w="120"/>
              <w:bottom w:type="dxa" w:w="80"/>
              <w:right w:type="dxa" w:w="120"/>
            </w:tcMar>
          </w:tcPr>
          <w:p>
            <w:r>
              <w:rPr>
                <w:b/>
                <w:bCs/>
                <w:color w:val="FFFFFF"/>
                <w:sz w:val="18"/>
                <w:szCs w:val="18"/>
              </w:rPr>
              <w:t xml:space="preserve">Card you’ll see</w:t>
            </w:r>
          </w:p>
        </w:tc>
        <w:tc>
          <w:tcPr>
            <w:tcW w:type="dxa" w:w="6260"/>
            <w:shd w:fill="1A1A22" w:val="clear"/>
            <w:tcMar>
              <w:top w:type="dxa" w:w="80"/>
              <w:left w:type="dxa" w:w="120"/>
              <w:bottom w:type="dxa" w:w="80"/>
              <w:right w:type="dxa" w:w="120"/>
            </w:tcMar>
          </w:tcPr>
          <w:p>
            <w:r>
              <w:rPr>
                <w:b/>
                <w:bCs/>
                <w:color w:val="FFFFFF"/>
                <w:sz w:val="18"/>
                <w:szCs w:val="18"/>
              </w:rPr>
              <w:t xml:space="preserve">What it means</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NEW CYCLE</w:t>
            </w:r>
          </w:p>
        </w:tc>
        <w:tc>
          <w:tcPr>
            <w:tcW w:type="dxa" w:w="6260"/>
            <w:shd w:fill="FFFFFF" w:val="clear"/>
            <w:tcMar>
              <w:top w:type="dxa" w:w="70"/>
              <w:left w:type="dxa" w:w="120"/>
              <w:bottom w:type="dxa" w:w="70"/>
              <w:right w:type="dxa" w:w="120"/>
            </w:tcMar>
          </w:tcPr>
          <w:p>
            <w:r>
              <w:rPr>
                <w:color w:val="333333"/>
                <w:sz w:val="18"/>
                <w:szCs w:val="18"/>
              </w:rPr>
              <w:t xml:space="preserve">A fresh trade opened — shows symbol, entry price, stop, lot size, the R value, VLE, drift and ADX at entry.</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RUNG 1 / 2 / 3</w:t>
            </w:r>
          </w:p>
        </w:tc>
        <w:tc>
          <w:tcPr>
            <w:tcW w:type="dxa" w:w="6260"/>
            <w:shd w:fill="F7F5F0" w:val="clear"/>
            <w:tcMar>
              <w:top w:type="dxa" w:w="70"/>
              <w:left w:type="dxa" w:w="120"/>
              <w:bottom w:type="dxa" w:w="70"/>
              <w:right w:type="dxa" w:w="120"/>
            </w:tcMar>
          </w:tcPr>
          <w:p>
            <w:r>
              <w:rPr>
                <w:color w:val="333333"/>
                <w:sz w:val="18"/>
                <w:szCs w:val="18"/>
              </w:rPr>
              <w:t xml:space="preserve">A partial profit target was hit and banked; the k-trail tightens a notch each time.</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PYRAMID TIER</w:t>
            </w:r>
          </w:p>
        </w:tc>
        <w:tc>
          <w:tcPr>
            <w:tcW w:type="dxa" w:w="6260"/>
            <w:shd w:fill="FFFFFF" w:val="clear"/>
            <w:tcMar>
              <w:top w:type="dxa" w:w="70"/>
              <w:left w:type="dxa" w:w="120"/>
              <w:bottom w:type="dxa" w:w="70"/>
              <w:right w:type="dxa" w:w="120"/>
            </w:tcMar>
          </w:tcPr>
          <w:p>
            <w:r>
              <w:rPr>
                <w:color w:val="333333"/>
                <w:sz w:val="18"/>
                <w:szCs w:val="18"/>
              </w:rPr>
              <w:t xml:space="preserve">A winner was added to (pyramided) at a rung.</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REVERSAL / FLIP</w:t>
            </w:r>
          </w:p>
        </w:tc>
        <w:tc>
          <w:tcPr>
            <w:tcW w:type="dxa" w:w="6260"/>
            <w:shd w:fill="F7F5F0" w:val="clear"/>
            <w:tcMar>
              <w:top w:type="dxa" w:w="70"/>
              <w:left w:type="dxa" w:w="120"/>
              <w:bottom w:type="dxa" w:w="70"/>
              <w:right w:type="dxa" w:w="120"/>
            </w:tcMar>
          </w:tcPr>
          <w:p>
            <w:r>
              <w:rPr>
                <w:color w:val="333333"/>
                <w:sz w:val="18"/>
                <w:szCs w:val="18"/>
              </w:rPr>
              <w:t xml:space="preserve">The stop-and-reverse fired — the position flipped to the Leg-2 direction.</w:t>
            </w:r>
          </w:p>
        </w:tc>
      </w:tr>
      <w:tr>
        <w:tc>
          <w:tcPr>
            <w:tcW w:type="dxa" w:w="31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CYCLE CLOSED · WIN</w:t>
            </w:r>
          </w:p>
        </w:tc>
        <w:tc>
          <w:tcPr>
            <w:tcW w:type="dxa" w:w="6260"/>
            <w:shd w:fill="FFFFFF" w:val="clear"/>
            <w:tcMar>
              <w:top w:type="dxa" w:w="70"/>
              <w:left w:type="dxa" w:w="120"/>
              <w:bottom w:type="dxa" w:w="70"/>
              <w:right w:type="dxa" w:w="120"/>
            </w:tcMar>
          </w:tcPr>
          <w:p>
            <w:r>
              <w:rPr>
                <w:color w:val="333333"/>
                <w:sz w:val="18"/>
                <w:szCs w:val="18"/>
              </w:rPr>
              <w:t xml:space="preserve">A profitable cycle closed — shows exit, P/L, the running daily total, and MFE/MAE.</w:t>
            </w:r>
          </w:p>
        </w:tc>
      </w:tr>
      <w:tr>
        <w:tc>
          <w:tcPr>
            <w:tcW w:type="dxa" w:w="31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CYCLE CLOSED · LOSS</w:t>
            </w:r>
          </w:p>
        </w:tc>
        <w:tc>
          <w:tcPr>
            <w:tcW w:type="dxa" w:w="6260"/>
            <w:shd w:fill="F7F5F0" w:val="clear"/>
            <w:tcMar>
              <w:top w:type="dxa" w:w="70"/>
              <w:left w:type="dxa" w:w="120"/>
              <w:bottom w:type="dxa" w:w="70"/>
              <w:right w:type="dxa" w:w="120"/>
            </w:tcMar>
          </w:tcPr>
          <w:p>
            <w:r>
              <w:rPr>
                <w:color w:val="333333"/>
                <w:sz w:val="18"/>
                <w:szCs w:val="18"/>
              </w:rPr>
              <w:t xml:space="preserve">A losing cycle closed — same details. Shown plainly, never hidden.</w:t>
            </w:r>
          </w:p>
        </w:tc>
      </w:tr>
    </w:tbl>
    <w:p>
      <w:pPr>
        <w:spacing w:after="80"/>
      </w:pPr>
    </w:p>
    <w:tbl>
      <w:tblPr>
        <w:tblW w:type="dxa" w:w="9360"/>
        <w:tblBorders>
          <w:top w:val="single" w:color="C6A052" w:sz="2"/>
          <w:left w:val="single" w:color="C6A052" w:sz="18"/>
          <w:bottom w:val="single" w:color="C6A052" w:sz="2"/>
          <w:right w:val="single" w:color="C6A052" w:sz="2"/>
          <w:insideH w:val="none"/>
          <w:insideV w:val="none"/>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0"/>
                <w:sz w:val="20"/>
                <w:szCs w:val="20"/>
              </w:rPr>
              <w:t xml:space="preserve">The honest feed</w:t>
            </w:r>
          </w:p>
          <w:p>
            <w:pPr>
              <w:spacing w:line="276"/>
            </w:pPr>
            <w:r>
              <w:rPr>
                <w:color w:val="333333"/>
                <w:sz w:val="20"/>
                <w:szCs w:val="20"/>
              </w:rPr>
              <w:t xml:space="preserve">Losses are reported exactly like wins — same card, same detail. That’s deliberate: a feed that only shows winners is a marketing tool, not a trading record. GoldenGoose shows you everything.</w:t>
            </w:r>
          </w:p>
        </w:tc>
      </w:tr>
    </w:tbl>
    <w:p>
      <w:pPr>
        <w:pStyle w:val="Heading3"/>
        <w:spacing w:after="90" w:before="200"/>
      </w:pPr>
      <w:r>
        <w:rPr>
          <w:b/>
          <w:bCs/>
          <w:color w:val="4B7BF5"/>
          <w:sz w:val="20"/>
          <w:szCs w:val="20"/>
        </w:rPr>
        <w:t xml:space="preserve">What the AI gate looks like live</w:t>
      </w:r>
    </w:p>
    <w:p>
      <w:pPr>
        <w:spacing w:after="130" w:line="288"/>
      </w:pPr>
      <w:r>
        <w:rPr>
          <w:color w:val="2B2B33"/>
          <w:sz w:val="21"/>
          <w:szCs w:val="21"/>
        </w:rPr>
        <w:t xml:space="preserve">With the AI armed, each signal shows its verdict in the feed. A VALID verdict lets the trade through with the AI’s one-line reasoning; if the sidecar is ever unreachable, you’ll see the fail-closed skip instead — proof the safety contract is working:</w:t>
      </w:r>
    </w:p>
    <w:p>
      <w:pPr>
        <w:pBdr>
          <w:left w:val="single" w:color="C6A052" w:sz="18" w:space="8"/>
        </w:pBdr>
        <w:shd w:fill="F3F1EC" w:val="clear"/>
        <w:spacing w:after="0" w:before="60" w:line="264"/>
      </w:pPr>
      <w:r>
        <w:rPr>
          <w:rFonts w:ascii="Consolas" w:cs="Consolas" w:eastAsia="Consolas" w:hAnsi="Consolas"/>
          <w:color w:val="333333"/>
          <w:sz w:val="18"/>
          <w:szCs w:val="18"/>
        </w:rPr>
        <w:t xml:space="preserve">🧠✅ AI VALID  E4@S-PULLBACK  BUY  XAUUSD</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{"decision": "VALID - With-trend entry, price moving in favor."}</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AI VALID  E4@m-PULLBACK  BUY  XAUUSDmicro</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{"decision": "VALID - No concrete reason to reject."}</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AI UNAVAILABLE  BUY  XAUUSD  -&gt; trade SKIPPED (fail-closed)</w:t>
      </w:r>
    </w:p>
    <w:p>
      <w:pPr>
        <w:pBdr>
          <w:left w:val="single" w:color="C6A052" w:sz="18" w:space="8"/>
        </w:pBdr>
        <w:shd w:fill="F3F1EC" w:val="clear"/>
        <w:spacing w:after="150" w:before="0" w:line="264"/>
      </w:pPr>
      <w:r>
        <w:rPr>
          <w:rFonts w:ascii="Consolas" w:cs="Consolas" w:eastAsia="Consolas" w:hAnsi="Consolas"/>
          <w:color w:val="333333"/>
          <w:sz w:val="18"/>
          <w:szCs w:val="18"/>
        </w:rPr>
        <w:t xml:space="preserve">🧠⚠ AI UNAVAILABLE  BUY  XAUUSDmicro  -&gt; trade SKIPPED (fail-closed)</w:t>
      </w:r>
    </w:p>
    <w:p>
      <w:pPr>
        <w:spacing w:after="180"/>
        <w:jc w:val="center"/>
      </w:pPr>
      <w:r>
        <w:rPr>
          <w:i/>
          <w:iCs/>
          <w:color w:val="6B6456"/>
          <w:sz w:val="17"/>
          <w:szCs w:val="17"/>
        </w:rPr>
        <w:t xml:space="preserve">Live AI verdicts in the feed — a VALID pass with reasoning, and the fail-closed skip when the sidecar is unreachable.</w:t>
      </w:r>
    </w:p>
    <w:p>
      <w:pPr>
        <w:pBdr>
          <w:bottom w:val="single" w:color="C6A052" w:sz="4"/>
        </w:pBdr>
        <w:spacing w:after="120" w:before="80"/>
      </w:pPr>
    </w:p>
    <w:p>
      <w:pPr>
        <w:pStyle w:val="Heading3"/>
        <w:spacing w:after="90" w:before="200"/>
      </w:pPr>
      <w:r>
        <w:rPr>
          <w:b/>
          <w:bCs/>
          <w:color w:val="4B7BF5"/>
          <w:sz w:val="20"/>
          <w:szCs w:val="20"/>
        </w:rPr>
        <w:t xml:space="preserve">Links</w:t>
      </w:r>
    </w:p>
    <w:p>
      <w:pPr>
        <w:spacing w:after="40"/>
      </w:pPr>
      <w:r>
        <w:rPr>
          <w:b/>
          <w:bCs/>
          <w:color w:val="6B6456"/>
          <w:sz w:val="18"/>
          <w:szCs w:val="18"/>
        </w:rPr>
        <w:t xml:space="preserve">Part 1 — setup &amp; run:  </w:t>
      </w:r>
      <w:r>
        <w:rPr>
          <w:color w:val="4B7BF5"/>
          <w:sz w:val="18"/>
          <w:szCs w:val="18"/>
          <w:u w:val="single"/>
        </w:rPr>
        <w:t xml:space="preserve">https://drive.google.com/drive/folders/1hs271IgDDpWyc_rVt1Ud6rA2V0ttW2GL</w:t>
      </w:r>
    </w:p>
    <w:p>
      <w:pPr>
        <w:spacing w:after="40"/>
      </w:pPr>
      <w:r>
        <w:rPr>
          <w:b/>
          <w:bCs/>
          <w:color w:val="6B6456"/>
          <w:sz w:val="18"/>
          <w:szCs w:val="18"/>
        </w:rPr>
        <w:t xml:space="preserve">Home / landing page:  </w:t>
      </w:r>
      <w:r>
        <w:rPr>
          <w:color w:val="4B7BF5"/>
          <w:sz w:val="18"/>
          <w:szCs w:val="18"/>
          <w:u w:val="single"/>
        </w:rPr>
        <w:t xml:space="preserve">https://trendpulselabs.github.io/</w:t>
      </w:r>
    </w:p>
    <w:p>
      <w:pPr>
        <w:spacing w:after="40"/>
      </w:pPr>
      <w:r>
        <w:rPr>
          <w:b/>
          <w:bCs/>
          <w:color w:val="6B6456"/>
          <w:sz w:val="18"/>
          <w:szCs w:val="18"/>
        </w:rPr>
        <w:t xml:space="preserve">Premium — APEX Pro v6:  </w:t>
      </w:r>
      <w:r>
        <w:rPr>
          <w:color w:val="4B7BF5"/>
          <w:sz w:val="18"/>
          <w:szCs w:val="18"/>
          <w:u w:val="single"/>
        </w:rPr>
        <w:t xml:space="preserve">https://trendpulselabs.github.io/apex/</w:t>
      </w:r>
    </w:p>
    <w:p>
      <w:pPr>
        <w:spacing w:after="40"/>
      </w:pPr>
      <w:r>
        <w:rPr>
          <w:b/>
          <w:bCs/>
          <w:color w:val="6B6456"/>
          <w:sz w:val="18"/>
          <w:szCs w:val="18"/>
        </w:rPr>
        <w:t xml:space="preserve">Full backtest reports:  </w:t>
      </w:r>
      <w:r>
        <w:rPr>
          <w:color w:val="4B7BF5"/>
          <w:sz w:val="18"/>
          <w:szCs w:val="18"/>
          <w:u w:val="single"/>
        </w:rPr>
        <w:t xml:space="preserve">https://drive.google.com/drive/folders/1g8kcJO-PKm7I-Pa6MYpyC3xMUGzcVQDb</w:t>
      </w:r>
    </w:p>
    <w:p>
      <w:pPr>
        <w:spacing w:after="40"/>
      </w:pPr>
      <w:r>
        <w:rPr>
          <w:b/>
          <w:bCs/>
          <w:color w:val="6B6456"/>
          <w:sz w:val="18"/>
          <w:szCs w:val="18"/>
        </w:rPr>
        <w:t xml:space="preserve">Telegram:  </w:t>
      </w:r>
      <w:r>
        <w:rPr>
          <w:color w:val="4B7BF5"/>
          <w:sz w:val="18"/>
          <w:szCs w:val="18"/>
          <w:u w:val="single"/>
        </w:rPr>
        <w:t xml:space="preserve">https://t.me/+ZJK0gS8BuREyN2Jk</w:t>
      </w:r>
    </w:p>
    <w:p>
      <w:pPr>
        <w:spacing w:after="40"/>
      </w:pPr>
      <w:r>
        <w:rPr>
          <w:b/>
          <w:bCs/>
          <w:color w:val="6B6456"/>
          <w:sz w:val="18"/>
          <w:szCs w:val="18"/>
        </w:rPr>
        <w:t xml:space="preserve">Discord:  </w:t>
      </w:r>
      <w:r>
        <w:rPr>
          <w:color w:val="4B7BF5"/>
          <w:sz w:val="18"/>
          <w:szCs w:val="18"/>
          <w:u w:val="single"/>
        </w:rPr>
        <w:t xml:space="preserve">https://discord.gg/8sKk7mD4b8</w:t>
      </w:r>
    </w:p>
    <w:p>
      <w:pPr>
        <w:spacing w:after="40"/>
      </w:pPr>
      <w:r>
        <w:rPr>
          <w:b/>
          <w:bCs/>
          <w:color w:val="6B6456"/>
          <w:sz w:val="18"/>
          <w:szCs w:val="18"/>
        </w:rPr>
        <w:t xml:space="preserve">Send your CSV / feedback:  </w:t>
      </w:r>
      <w:r>
        <w:rPr>
          <w:color w:val="4B7BF5"/>
          <w:sz w:val="18"/>
          <w:szCs w:val="18"/>
          <w:u w:val="single"/>
        </w:rPr>
        <w:t xml:space="preserve">https://docs.google.com/forms/d/e/1FAIpQLSdwKy7vUJCXWftAQZivyANXBWFeVtkoeUbS2Rur_Fj6tkW_KA/viewform</w:t>
      </w:r>
    </w:p>
    <w:p>
      <w:pPr>
        <w:spacing w:after="60"/>
      </w:pPr>
    </w:p>
    <w:p>
      <w:pPr>
        <w:spacing w:after="130" w:line="288"/>
        <w:jc w:val="center"/>
      </w:pPr>
      <w:r>
        <w:rPr>
          <w:i/>
          <w:iCs/>
          <w:color w:val="2B2B33"/>
          <w:sz w:val="21"/>
          <w:szCs w:val="21"/>
        </w:rPr>
        <w:t xml:space="preserve">Research and educational purposes only — not financial advice. Verify everything yourself before risking real money.</w:t>
      </w:r>
    </w:p>
    <w:sectPr>
      <w:headerReference w:type="default" r:id="rId7"/>
      <w:footerReference w:type="default" r:id="rId8"/>
      <w:pgSz w:w="12240" w:h="15840"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B6456"/>
        <w:sz w:val="16"/>
        <w:szCs w:val="16"/>
      </w:rPr>
      <w:t xml:space="preserve">	© 2026 TrendPulseLabs</w:t>
    </w:r>
    <w:r>
      <w:rPr>
        <w:sz w:val="16"/>
        <w:szCs w:val="16"/>
      </w:rPr>
      <w:t xml:space="preserve">	</w:t>
    </w:r>
    <w:r>
      <w:drawing>
        <wp:inline distT="0" distB="0" distL="0" distR="0">
          <wp:extent cx="2476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1809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20002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600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42a21d9d75fbfdc09cb0f8d2a1ef8eedd5e37a.png"/><Relationship Id="rId10" Type="http://schemas.openxmlformats.org/officeDocument/2006/relationships/image" Target="media/200580dcd89859b73d4b24a615320c5f1152b443.png"/><Relationship Id="rId11" Type="http://schemas.openxmlformats.org/officeDocument/2006/relationships/image" Target="media/6fdb487e37ca91298ef4eb9e810031676dba3b2f.png"/><Relationship Id="rId12" Type="http://schemas.openxmlformats.org/officeDocument/2006/relationships/image" Target="media/905754d2c1e6d2283ddbb402be63360ca374c9d3.png"/><Relationship Id="rId13" Type="http://schemas.openxmlformats.org/officeDocument/2006/relationships/image" Target="media/cfd0d05774ab3c8a4fa69ad963b85d58a1a2c751.png"/><Relationship Id="rId14" Type="http://schemas.openxmlformats.org/officeDocument/2006/relationships/image" Target="media/da943b7e7370318712963b429ef9a748c8537589.png"/><Relationship Id="rId15" Type="http://schemas.openxmlformats.org/officeDocument/2006/relationships/image" Target="media/d1bfdd65c99ba43805c9d20fad1653975c90b71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46fe44155ab9c233d32641390befebbd6233d9b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8bd615a6017773d19de7c9d72e629ca2346139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2026-07-27T15:44:35.694Z</dcterms:created>
  <dcterms:modified xsi:type="dcterms:W3CDTF">2026-07-27T15:44:35.706Z</dcterms:modified>
</cp:coreProperties>
</file>

<file path=docProps/custom.xml><?xml version="1.0" encoding="utf-8"?>
<Properties xmlns="http://schemas.openxmlformats.org/officeDocument/2006/custom-properties" xmlns:vt="http://schemas.openxmlformats.org/officeDocument/2006/docPropsVTypes"/>
</file>