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sz w:val="2"/>
          <w:szCs w:val="2"/>
        </w:rPr>
        <w:t xml:space="preserve"/>
      </w:r>
    </w:p>
    <w:p>
      <w:pPr>
        <w:spacing w:after="200" w:before="200" w:line="240" w:lineRule="auto"/>
        <w:jc w:val="center"/>
      </w:pPr>
      <w:r>
        <w:drawing>
          <wp:inline distT="0" distB="0" distL="0" distR="0">
            <wp:extent cx="952500" cy="9525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52500" cy="952500"/>
                    </a:xfrm>
                    <a:prstGeom prst="rect">
                      <a:avLst/>
                    </a:prstGeom>
                  </pic:spPr>
                </pic:pic>
              </a:graphicData>
            </a:graphic>
          </wp:inline>
        </w:drawing>
      </w:r>
    </w:p>
    <w:p>
      <w:pPr>
        <w:spacing w:after="0" w:before="140"/>
        <w:jc w:val="center"/>
      </w:pPr>
      <w:r>
        <w:rPr>
          <w:rFonts w:ascii="Georgia" w:cs="Georgia" w:eastAsia="Georgia" w:hAnsi="Georgia"/>
          <w:b/>
          <w:bCs/>
          <w:color w:val="13233B"/>
          <w:sz w:val="72"/>
          <w:szCs w:val="72"/>
        </w:rPr>
        <w:t xml:space="preserve">Trendzo</w:t>
      </w:r>
    </w:p>
    <w:p>
      <w:pPr>
        <w:pBdr>
          <w:bottom w:val="single" w:color="D6336C" w:sz="18" w:space="8"/>
        </w:pBdr>
        <w:spacing w:after="0" w:before="150"/>
        <w:jc w:val="center"/>
      </w:pPr>
      <w:r>
        <w:rPr>
          <w:sz w:val="2"/>
          <w:szCs w:val="2"/>
        </w:rPr>
        <w:t xml:space="preserve"/>
      </w:r>
    </w:p>
    <w:p>
      <w:pPr>
        <w:spacing w:after="60" w:before="230"/>
        <w:jc w:val="center"/>
      </w:pPr>
      <w:r>
        <w:rPr>
          <w:rFonts w:ascii="Calibri" w:cs="Calibri" w:eastAsia="Calibri" w:hAnsi="Calibri"/>
          <w:b/>
          <w:bCs/>
          <w:color w:val="31486A"/>
          <w:spacing w:val="60"/>
          <w:sz w:val="30"/>
          <w:szCs w:val="30"/>
        </w:rPr>
        <w:t xml:space="preserve">INVESTOR BRIEF</w:t>
      </w:r>
    </w:p>
    <w:p>
      <w:pPr>
        <w:spacing w:after="24" w:before="30"/>
        <w:jc w:val="center"/>
      </w:pPr>
      <w:r>
        <w:rPr>
          <w:rFonts w:ascii="Georgia" w:cs="Georgia" w:eastAsia="Georgia" w:hAnsi="Georgia"/>
          <w:i/>
          <w:iCs/>
          <w:color w:val="31486A"/>
          <w:sz w:val="26"/>
          <w:szCs w:val="26"/>
        </w:rPr>
        <w:t xml:space="preserve">Try before you pay — fashion, delivered in an hour.</w:t>
      </w:r>
    </w:p>
    <w:p>
      <w:pPr>
        <w:spacing w:after="30" w:before="8"/>
        <w:jc w:val="center"/>
      </w:pPr>
      <w:r>
        <w:rPr>
          <w:rFonts w:ascii="Calibri" w:cs="Calibri" w:eastAsia="Calibri" w:hAnsi="Calibri"/>
          <w:color w:val="6A7A92"/>
          <w:sz w:val="20"/>
          <w:szCs w:val="20"/>
        </w:rPr>
        <w:t xml:space="preserve">Pre-seed round   ·   Launch city: Indore, India</w:t>
      </w:r>
    </w:p>
    <w:p>
      <w:pPr>
        <w:spacing w:after="370"/>
      </w:pPr>
      <w:r>
        <w:rPr>
          <w:sz w:val="2"/>
          <w:szCs w:val="2"/>
        </w:rPr>
        <w:t xml:space="preserve"/>
      </w:r>
    </w:p>
    <w:tbl>
      <w:tblPr>
        <w:tblW w:type="dxa" w:w="9360"/>
        <w:tblBorders>
          <w:top w:val="none"/>
          <w:left w:val="none"/>
          <w:bottom w:val="none"/>
          <w:right w:val="none"/>
          <w:insideH w:val="single" w:color="auto" w:sz="4"/>
          <w:insideV w:val="single" w:color="auto" w:sz="4"/>
        </w:tblBorders>
      </w:tblPr>
      <w:tblGrid>
        <w:gridCol w:w="9360"/>
      </w:tblGrid>
      <w:tr>
        <w:trPr>
          <w:cantSplit/>
        </w:trPr>
        <w:tc>
          <w:tcPr>
            <w:tcW w:type="dxa" w:w="9360"/>
            <w:shd w:fill="0E1B2E" w:color="auto" w:val="clear"/>
            <w:tcMar>
              <w:top w:type="dxa" w:w="250"/>
              <w:left w:type="dxa" w:w="340"/>
              <w:bottom w:type="dxa" w:w="250"/>
              <w:right w:type="dxa" w:w="340"/>
            </w:tcMar>
          </w:tcPr>
          <w:p>
            <w:pPr>
              <w:tabs>
                <w:tab w:val="left" w:pos="2150"/>
              </w:tabs>
              <w:spacing w:after="96"/>
            </w:pPr>
            <w:r>
              <w:rPr>
                <w:rFonts w:ascii="Calibri" w:cs="Calibri" w:eastAsia="Calibri" w:hAnsi="Calibri"/>
                <w:b/>
                <w:bCs/>
                <w:color w:val="8FA2C0"/>
                <w:spacing w:val="18"/>
                <w:sz w:val="16"/>
                <w:szCs w:val="16"/>
              </w:rPr>
              <w:t xml:space="preserve">PREPARED FOR</w:t>
            </w:r>
            <w:r>
              <w:rPr>
                <w:rFonts w:ascii="Calibri" w:cs="Calibri" w:eastAsia="Calibri" w:hAnsi="Calibri"/>
              </w:rPr>
              <w:t xml:space="preserve">	</w:t>
            </w:r>
            <w:r>
              <w:rPr>
                <w:rFonts w:ascii="Calibri" w:cs="Calibri" w:eastAsia="Calibri" w:hAnsi="Calibri"/>
                <w:color w:val="FFFFFF"/>
                <w:sz w:val="20"/>
                <w:szCs w:val="20"/>
              </w:rPr>
              <w:t xml:space="preserve">Prospective investors — pre-seed</w:t>
            </w:r>
          </w:p>
          <w:p>
            <w:pPr>
              <w:tabs>
                <w:tab w:val="left" w:pos="2150"/>
              </w:tabs>
              <w:spacing w:after="96"/>
            </w:pPr>
            <w:r>
              <w:rPr>
                <w:rFonts w:ascii="Calibri" w:cs="Calibri" w:eastAsia="Calibri" w:hAnsi="Calibri"/>
                <w:b/>
                <w:bCs/>
                <w:color w:val="8FA2C0"/>
                <w:spacing w:val="18"/>
                <w:sz w:val="16"/>
                <w:szCs w:val="16"/>
              </w:rPr>
              <w:t xml:space="preserve">PREPARED BY</w:t>
            </w:r>
            <w:r>
              <w:rPr>
                <w:rFonts w:ascii="Calibri" w:cs="Calibri" w:eastAsia="Calibri" w:hAnsi="Calibri"/>
              </w:rPr>
              <w:t xml:space="preserve">	</w:t>
            </w:r>
            <w:r>
              <w:rPr>
                <w:rFonts w:ascii="Calibri" w:cs="Calibri" w:eastAsia="Calibri" w:hAnsi="Calibri"/>
                <w:color w:val="FFFFFF"/>
                <w:sz w:val="20"/>
                <w:szCs w:val="20"/>
              </w:rPr>
              <w:t xml:space="preserve">Trendzo Founding Team</w:t>
            </w:r>
          </w:p>
          <w:p>
            <w:pPr>
              <w:tabs>
                <w:tab w:val="left" w:pos="2150"/>
              </w:tabs>
              <w:spacing w:after="96"/>
            </w:pPr>
            <w:r>
              <w:rPr>
                <w:rFonts w:ascii="Calibri" w:cs="Calibri" w:eastAsia="Calibri" w:hAnsi="Calibri"/>
                <w:b/>
                <w:bCs/>
                <w:color w:val="8FA2C0"/>
                <w:spacing w:val="18"/>
                <w:sz w:val="16"/>
                <w:szCs w:val="16"/>
              </w:rPr>
              <w:t xml:space="preserve">DATE</w:t>
            </w:r>
            <w:r>
              <w:rPr>
                <w:rFonts w:ascii="Calibri" w:cs="Calibri" w:eastAsia="Calibri" w:hAnsi="Calibri"/>
              </w:rPr>
              <w:t xml:space="preserve">	</w:t>
            </w:r>
            <w:r>
              <w:rPr>
                <w:rFonts w:ascii="Calibri" w:cs="Calibri" w:eastAsia="Calibri" w:hAnsi="Calibri"/>
                <w:color w:val="FFFFFF"/>
                <w:sz w:val="20"/>
                <w:szCs w:val="20"/>
              </w:rPr>
              <w:t xml:space="preserve">June 2026</w:t>
            </w:r>
            <w:r>
              <w:rPr>
                <w:rFonts w:ascii="Calibri" w:cs="Calibri" w:eastAsia="Calibri" w:hAnsi="Calibri"/>
                <w:b/>
                <w:bCs/>
                <w:color w:val="8FA2C0"/>
                <w:spacing w:val="18"/>
                <w:sz w:val="16"/>
                <w:szCs w:val="16"/>
              </w:rPr>
              <w:t xml:space="preserve">        VERSION   </w:t>
            </w:r>
            <w:r>
              <w:rPr>
                <w:rFonts w:ascii="Calibri" w:cs="Calibri" w:eastAsia="Calibri" w:hAnsi="Calibri"/>
                <w:color w:val="FFFFFF"/>
                <w:sz w:val="20"/>
                <w:szCs w:val="20"/>
              </w:rPr>
              <w:t xml:space="preserve">1.0</w:t>
            </w:r>
          </w:p>
          <w:p>
            <w:pPr>
              <w:tabs>
                <w:tab w:val="left" w:pos="2150"/>
              </w:tabs>
              <w:spacing w:after="140"/>
            </w:pPr>
            <w:r>
              <w:rPr>
                <w:rFonts w:ascii="Calibri" w:cs="Calibri" w:eastAsia="Calibri" w:hAnsi="Calibri"/>
                <w:b/>
                <w:bCs/>
                <w:color w:val="8FA2C0"/>
                <w:spacing w:val="18"/>
                <w:sz w:val="16"/>
                <w:szCs w:val="16"/>
              </w:rPr>
              <w:t xml:space="preserve">CONTACT</w:t>
            </w:r>
            <w:r>
              <w:rPr>
                <w:rFonts w:ascii="Calibri" w:cs="Calibri" w:eastAsia="Calibri" w:hAnsi="Calibri"/>
              </w:rPr>
              <w:t xml:space="preserve">	</w:t>
            </w:r>
            <w:r>
              <w:rPr>
                <w:rFonts w:ascii="Calibri" w:cs="Calibri" w:eastAsia="Calibri" w:hAnsi="Calibri"/>
                <w:color w:val="FFFFFF"/>
                <w:sz w:val="19"/>
                <w:szCs w:val="19"/>
              </w:rPr>
              <w:t xml:space="preserve">Akshat Jain, Founder &amp; CEO   ·   founders@trendzo.in   ·   +91 00000 00000</w:t>
            </w:r>
          </w:p>
          <w:p>
            <w:pPr>
              <w:pBdr>
                <w:top w:val="single" w:color="33445F" w:sz="4" w:space="8"/>
              </w:pBdr>
              <w:spacing w:before="60"/>
            </w:pPr>
            <w:r>
              <w:rPr>
                <w:rFonts w:ascii="Calibri" w:cs="Calibri" w:eastAsia="Calibri" w:hAnsi="Calibri"/>
                <w:i/>
                <w:iCs/>
                <w:color w:val="AEBCD2"/>
                <w:sz w:val="16"/>
                <w:szCs w:val="16"/>
              </w:rPr>
              <w:t xml:space="preserve">Strictly private &amp; confidential. Prepared for the named recipient only — not for distribution or onward circulation.</w:t>
            </w:r>
          </w:p>
        </w:tc>
      </w:tr>
    </w:tbl>
    <w:p>
      <w:r>
        <w:br w:type="page"/>
      </w:r>
    </w:p>
    <w:p>
      <w:pPr>
        <w:sectPr>
          <w:pgSz w:w="12240" w:h="15840" w:orient="portrait"/>
          <w:pgMar w:top="1440" w:right="1440" w:bottom="1440" w:left="1440" w:header="708" w:footer="708" w:gutter="0"/>
          <w:pgNumType/>
          <w:docGrid w:linePitch="360"/>
        </w:sectPr>
      </w:pPr>
    </w:p>
    <w:p>
      <w:pPr>
        <w:spacing w:after="60" w:before="120"/>
      </w:pPr>
      <w:r>
        <w:rPr>
          <w:rFonts w:ascii="Georgia" w:cs="Georgia" w:eastAsia="Georgia" w:hAnsi="Georgia"/>
          <w:b/>
          <w:bCs/>
          <w:color w:val="13233B"/>
          <w:sz w:val="44"/>
          <w:szCs w:val="44"/>
        </w:rPr>
        <w:t xml:space="preserve">Contents</w:t>
      </w:r>
    </w:p>
    <w:p>
      <w:pPr>
        <w:pBdr>
          <w:bottom w:val="single" w:color="D6336C" w:sz="12" w:space="6"/>
        </w:pBdr>
        <w:spacing w:after="240"/>
      </w:pPr>
      <w:r>
        <w:rPr>
          <w:sz w:val="2"/>
          <w:szCs w:val="2"/>
        </w:rPr>
        <w:t xml:space="preserve"/>
      </w:r>
    </w:p>
    <w:p>
      <w:pPr>
        <w:tabs>
          <w:tab w:val="right" w:pos="9360" w:leader="dot"/>
        </w:tabs>
        <w:spacing w:after="150" w:line="240" w:lineRule="auto"/>
      </w:pPr>
      <w:hyperlink w:history="1" w:anchor="s1">
        <w:r>
          <w:rPr>
            <w:rFonts w:ascii="Georgia" w:cs="Georgia" w:eastAsia="Georgia" w:hAnsi="Georgia"/>
            <w:b/>
            <w:bCs/>
            <w:color w:val="D6336C"/>
            <w:sz w:val="23"/>
            <w:szCs w:val="23"/>
          </w:rPr>
          <w:t xml:space="preserve">1</w:t>
        </w:r>
        <w:r>
          <w:rPr>
            <w:rFonts w:ascii="Calibri" w:cs="Calibri" w:eastAsia="Calibri" w:hAnsi="Calibri"/>
            <w:color w:val="13233B"/>
            <w:sz w:val="22"/>
            <w:szCs w:val="22"/>
          </w:rPr>
          <w:t xml:space="preserve">   Executive Summary</w:t>
        </w:r>
        <w:r>
          <w:rPr>
            <w:rFonts w:ascii="Calibri" w:cs="Calibri" w:eastAsia="Calibri" w:hAnsi="Calibri"/>
          </w:rPr>
          <w:t xml:space="preserve">	</w:t>
        </w:r>
        <w:r>
          <w:rPr>
            <w:rFonts w:ascii="Calibri" w:cs="Calibri" w:eastAsia="Calibri" w:hAnsi="Calibri"/>
            <w:b/>
            <w:bCs/>
            <w:color w:val="31486A"/>
            <w:sz w:val="22"/>
            <w:szCs w:val="22"/>
          </w:rPr>
          <w:t xml:space="preserve">1</w:t>
        </w:r>
      </w:hyperlink>
    </w:p>
    <w:p>
      <w:pPr>
        <w:tabs>
          <w:tab w:val="right" w:pos="9360" w:leader="dot"/>
        </w:tabs>
        <w:spacing w:after="150" w:line="240" w:lineRule="auto"/>
      </w:pPr>
      <w:hyperlink w:history="1" w:anchor="s2">
        <w:r>
          <w:rPr>
            <w:rFonts w:ascii="Georgia" w:cs="Georgia" w:eastAsia="Georgia" w:hAnsi="Georgia"/>
            <w:b/>
            <w:bCs/>
            <w:color w:val="D6336C"/>
            <w:sz w:val="23"/>
            <w:szCs w:val="23"/>
          </w:rPr>
          <w:t xml:space="preserve">2</w:t>
        </w:r>
        <w:r>
          <w:rPr>
            <w:rFonts w:ascii="Calibri" w:cs="Calibri" w:eastAsia="Calibri" w:hAnsi="Calibri"/>
            <w:color w:val="13233B"/>
            <w:sz w:val="22"/>
            <w:szCs w:val="22"/>
          </w:rPr>
          <w:t xml:space="preserve">   The Problem</w:t>
        </w:r>
        <w:r>
          <w:rPr>
            <w:rFonts w:ascii="Calibri" w:cs="Calibri" w:eastAsia="Calibri" w:hAnsi="Calibri"/>
          </w:rPr>
          <w:t xml:space="preserve">	</w:t>
        </w:r>
        <w:r>
          <w:rPr>
            <w:rFonts w:ascii="Calibri" w:cs="Calibri" w:eastAsia="Calibri" w:hAnsi="Calibri"/>
            <w:b/>
            <w:bCs/>
            <w:color w:val="31486A"/>
            <w:sz w:val="22"/>
            <w:szCs w:val="22"/>
          </w:rPr>
          <w:t xml:space="preserve">1</w:t>
        </w:r>
      </w:hyperlink>
    </w:p>
    <w:p>
      <w:pPr>
        <w:tabs>
          <w:tab w:val="right" w:pos="9360" w:leader="dot"/>
        </w:tabs>
        <w:spacing w:after="150" w:line="240" w:lineRule="auto"/>
      </w:pPr>
      <w:hyperlink w:history="1" w:anchor="s3">
        <w:r>
          <w:rPr>
            <w:rFonts w:ascii="Georgia" w:cs="Georgia" w:eastAsia="Georgia" w:hAnsi="Georgia"/>
            <w:b/>
            <w:bCs/>
            <w:color w:val="D6336C"/>
            <w:sz w:val="23"/>
            <w:szCs w:val="23"/>
          </w:rPr>
          <w:t xml:space="preserve">3</w:t>
        </w:r>
        <w:r>
          <w:rPr>
            <w:rFonts w:ascii="Calibri" w:cs="Calibri" w:eastAsia="Calibri" w:hAnsi="Calibri"/>
            <w:color w:val="13233B"/>
            <w:sz w:val="22"/>
            <w:szCs w:val="22"/>
          </w:rPr>
          <w:t xml:space="preserve">   The Solution</w:t>
        </w:r>
        <w:r>
          <w:rPr>
            <w:rFonts w:ascii="Calibri" w:cs="Calibri" w:eastAsia="Calibri" w:hAnsi="Calibri"/>
          </w:rPr>
          <w:t xml:space="preserve">	</w:t>
        </w:r>
        <w:r>
          <w:rPr>
            <w:rFonts w:ascii="Calibri" w:cs="Calibri" w:eastAsia="Calibri" w:hAnsi="Calibri"/>
            <w:b/>
            <w:bCs/>
            <w:color w:val="31486A"/>
            <w:sz w:val="22"/>
            <w:szCs w:val="22"/>
          </w:rPr>
          <w:t xml:space="preserve">2</w:t>
        </w:r>
      </w:hyperlink>
    </w:p>
    <w:p>
      <w:pPr>
        <w:tabs>
          <w:tab w:val="right" w:pos="9360" w:leader="dot"/>
        </w:tabs>
        <w:spacing w:after="150" w:line="240" w:lineRule="auto"/>
      </w:pPr>
      <w:hyperlink w:history="1" w:anchor="s4">
        <w:r>
          <w:rPr>
            <w:rFonts w:ascii="Georgia" w:cs="Georgia" w:eastAsia="Georgia" w:hAnsi="Georgia"/>
            <w:b/>
            <w:bCs/>
            <w:color w:val="D6336C"/>
            <w:sz w:val="23"/>
            <w:szCs w:val="23"/>
          </w:rPr>
          <w:t xml:space="preserve">4</w:t>
        </w:r>
        <w:r>
          <w:rPr>
            <w:rFonts w:ascii="Calibri" w:cs="Calibri" w:eastAsia="Calibri" w:hAnsi="Calibri"/>
            <w:color w:val="13233B"/>
            <w:sz w:val="22"/>
            <w:szCs w:val="22"/>
          </w:rPr>
          <w:t xml:space="preserve">   Market Opportunity</w:t>
        </w:r>
        <w:r>
          <w:rPr>
            <w:rFonts w:ascii="Calibri" w:cs="Calibri" w:eastAsia="Calibri" w:hAnsi="Calibri"/>
          </w:rPr>
          <w:t xml:space="preserve">	</w:t>
        </w:r>
        <w:r>
          <w:rPr>
            <w:rFonts w:ascii="Calibri" w:cs="Calibri" w:eastAsia="Calibri" w:hAnsi="Calibri"/>
            <w:b/>
            <w:bCs/>
            <w:color w:val="31486A"/>
            <w:sz w:val="22"/>
            <w:szCs w:val="22"/>
          </w:rPr>
          <w:t xml:space="preserve">3</w:t>
        </w:r>
      </w:hyperlink>
    </w:p>
    <w:p>
      <w:pPr>
        <w:tabs>
          <w:tab w:val="right" w:pos="9360" w:leader="dot"/>
        </w:tabs>
        <w:spacing w:after="150" w:line="240" w:lineRule="auto"/>
      </w:pPr>
      <w:hyperlink w:history="1" w:anchor="s5">
        <w:r>
          <w:rPr>
            <w:rFonts w:ascii="Georgia" w:cs="Georgia" w:eastAsia="Georgia" w:hAnsi="Georgia"/>
            <w:b/>
            <w:bCs/>
            <w:color w:val="D6336C"/>
            <w:sz w:val="23"/>
            <w:szCs w:val="23"/>
          </w:rPr>
          <w:t xml:space="preserve">5</w:t>
        </w:r>
        <w:r>
          <w:rPr>
            <w:rFonts w:ascii="Calibri" w:cs="Calibri" w:eastAsia="Calibri" w:hAnsi="Calibri"/>
            <w:color w:val="13233B"/>
            <w:sz w:val="22"/>
            <w:szCs w:val="22"/>
          </w:rPr>
          <w:t xml:space="preserve">   Traction &amp; Validation</w:t>
        </w:r>
        <w:r>
          <w:rPr>
            <w:rFonts w:ascii="Calibri" w:cs="Calibri" w:eastAsia="Calibri" w:hAnsi="Calibri"/>
          </w:rPr>
          <w:t xml:space="preserve">	</w:t>
        </w:r>
        <w:r>
          <w:rPr>
            <w:rFonts w:ascii="Calibri" w:cs="Calibri" w:eastAsia="Calibri" w:hAnsi="Calibri"/>
            <w:b/>
            <w:bCs/>
            <w:color w:val="31486A"/>
            <w:sz w:val="22"/>
            <w:szCs w:val="22"/>
          </w:rPr>
          <w:t xml:space="preserve">4</w:t>
        </w:r>
      </w:hyperlink>
    </w:p>
    <w:p>
      <w:pPr>
        <w:tabs>
          <w:tab w:val="right" w:pos="9360" w:leader="dot"/>
        </w:tabs>
        <w:spacing w:after="150" w:line="240" w:lineRule="auto"/>
      </w:pPr>
      <w:hyperlink w:history="1" w:anchor="s6">
        <w:r>
          <w:rPr>
            <w:rFonts w:ascii="Georgia" w:cs="Georgia" w:eastAsia="Georgia" w:hAnsi="Georgia"/>
            <w:b/>
            <w:bCs/>
            <w:color w:val="D6336C"/>
            <w:sz w:val="23"/>
            <w:szCs w:val="23"/>
          </w:rPr>
          <w:t xml:space="preserve">6</w:t>
        </w:r>
        <w:r>
          <w:rPr>
            <w:rFonts w:ascii="Calibri" w:cs="Calibri" w:eastAsia="Calibri" w:hAnsi="Calibri"/>
            <w:color w:val="13233B"/>
            <w:sz w:val="22"/>
            <w:szCs w:val="22"/>
          </w:rPr>
          <w:t xml:space="preserve">   Business Model &amp; Unit Economics</w:t>
        </w:r>
        <w:r>
          <w:rPr>
            <w:rFonts w:ascii="Calibri" w:cs="Calibri" w:eastAsia="Calibri" w:hAnsi="Calibri"/>
          </w:rPr>
          <w:t xml:space="preserve">	</w:t>
        </w:r>
        <w:r>
          <w:rPr>
            <w:rFonts w:ascii="Calibri" w:cs="Calibri" w:eastAsia="Calibri" w:hAnsi="Calibri"/>
            <w:b/>
            <w:bCs/>
            <w:color w:val="31486A"/>
            <w:sz w:val="22"/>
            <w:szCs w:val="22"/>
          </w:rPr>
          <w:t xml:space="preserve">5</w:t>
        </w:r>
      </w:hyperlink>
    </w:p>
    <w:p>
      <w:pPr>
        <w:tabs>
          <w:tab w:val="right" w:pos="9360" w:leader="dot"/>
        </w:tabs>
        <w:spacing w:after="150" w:line="240" w:lineRule="auto"/>
      </w:pPr>
      <w:hyperlink w:history="1" w:anchor="s7">
        <w:r>
          <w:rPr>
            <w:rFonts w:ascii="Georgia" w:cs="Georgia" w:eastAsia="Georgia" w:hAnsi="Georgia"/>
            <w:b/>
            <w:bCs/>
            <w:color w:val="D6336C"/>
            <w:sz w:val="23"/>
            <w:szCs w:val="23"/>
          </w:rPr>
          <w:t xml:space="preserve">7</w:t>
        </w:r>
        <w:r>
          <w:rPr>
            <w:rFonts w:ascii="Calibri" w:cs="Calibri" w:eastAsia="Calibri" w:hAnsi="Calibri"/>
            <w:color w:val="13233B"/>
            <w:sz w:val="22"/>
            <w:szCs w:val="22"/>
          </w:rPr>
          <w:t xml:space="preserve">   Competitive Landscape</w:t>
        </w:r>
        <w:r>
          <w:rPr>
            <w:rFonts w:ascii="Calibri" w:cs="Calibri" w:eastAsia="Calibri" w:hAnsi="Calibri"/>
          </w:rPr>
          <w:t xml:space="preserve">	</w:t>
        </w:r>
        <w:r>
          <w:rPr>
            <w:rFonts w:ascii="Calibri" w:cs="Calibri" w:eastAsia="Calibri" w:hAnsi="Calibri"/>
            <w:b/>
            <w:bCs/>
            <w:color w:val="31486A"/>
            <w:sz w:val="22"/>
            <w:szCs w:val="22"/>
          </w:rPr>
          <w:t xml:space="preserve">7</w:t>
        </w:r>
      </w:hyperlink>
    </w:p>
    <w:p>
      <w:pPr>
        <w:tabs>
          <w:tab w:val="right" w:pos="9360" w:leader="dot"/>
        </w:tabs>
        <w:spacing w:after="150" w:line="240" w:lineRule="auto"/>
      </w:pPr>
      <w:hyperlink w:history="1" w:anchor="s8">
        <w:r>
          <w:rPr>
            <w:rFonts w:ascii="Georgia" w:cs="Georgia" w:eastAsia="Georgia" w:hAnsi="Georgia"/>
            <w:b/>
            <w:bCs/>
            <w:color w:val="D6336C"/>
            <w:sz w:val="23"/>
            <w:szCs w:val="23"/>
          </w:rPr>
          <w:t xml:space="preserve">8</w:t>
        </w:r>
        <w:r>
          <w:rPr>
            <w:rFonts w:ascii="Calibri" w:cs="Calibri" w:eastAsia="Calibri" w:hAnsi="Calibri"/>
            <w:color w:val="13233B"/>
            <w:sz w:val="22"/>
            <w:szCs w:val="22"/>
          </w:rPr>
          <w:t xml:space="preserve">   Team</w:t>
        </w:r>
        <w:r>
          <w:rPr>
            <w:rFonts w:ascii="Calibri" w:cs="Calibri" w:eastAsia="Calibri" w:hAnsi="Calibri"/>
          </w:rPr>
          <w:t xml:space="preserve">	</w:t>
        </w:r>
        <w:r>
          <w:rPr>
            <w:rFonts w:ascii="Calibri" w:cs="Calibri" w:eastAsia="Calibri" w:hAnsi="Calibri"/>
            <w:b/>
            <w:bCs/>
            <w:color w:val="31486A"/>
            <w:sz w:val="22"/>
            <w:szCs w:val="22"/>
          </w:rPr>
          <w:t xml:space="preserve">7</w:t>
        </w:r>
      </w:hyperlink>
    </w:p>
    <w:p>
      <w:pPr>
        <w:tabs>
          <w:tab w:val="right" w:pos="9360" w:leader="dot"/>
        </w:tabs>
        <w:spacing w:after="150" w:line="240" w:lineRule="auto"/>
      </w:pPr>
      <w:hyperlink w:history="1" w:anchor="s9">
        <w:r>
          <w:rPr>
            <w:rFonts w:ascii="Georgia" w:cs="Georgia" w:eastAsia="Georgia" w:hAnsi="Georgia"/>
            <w:b/>
            <w:bCs/>
            <w:color w:val="D6336C"/>
            <w:sz w:val="23"/>
            <w:szCs w:val="23"/>
          </w:rPr>
          <w:t xml:space="preserve">9</w:t>
        </w:r>
        <w:r>
          <w:rPr>
            <w:rFonts w:ascii="Calibri" w:cs="Calibri" w:eastAsia="Calibri" w:hAnsi="Calibri"/>
            <w:color w:val="13233B"/>
            <w:sz w:val="22"/>
            <w:szCs w:val="22"/>
          </w:rPr>
          <w:t xml:space="preserve">   Financial Projections</w:t>
        </w:r>
        <w:r>
          <w:rPr>
            <w:rFonts w:ascii="Calibri" w:cs="Calibri" w:eastAsia="Calibri" w:hAnsi="Calibri"/>
          </w:rPr>
          <w:t xml:space="preserve">	</w:t>
        </w:r>
        <w:r>
          <w:rPr>
            <w:rFonts w:ascii="Calibri" w:cs="Calibri" w:eastAsia="Calibri" w:hAnsi="Calibri"/>
            <w:b/>
            <w:bCs/>
            <w:color w:val="31486A"/>
            <w:sz w:val="22"/>
            <w:szCs w:val="22"/>
          </w:rPr>
          <w:t xml:space="preserve">9</w:t>
        </w:r>
      </w:hyperlink>
    </w:p>
    <w:p>
      <w:pPr>
        <w:tabs>
          <w:tab w:val="right" w:pos="9360" w:leader="dot"/>
        </w:tabs>
        <w:spacing w:after="150" w:line="240" w:lineRule="auto"/>
      </w:pPr>
      <w:hyperlink w:history="1" w:anchor="s10">
        <w:r>
          <w:rPr>
            <w:rFonts w:ascii="Georgia" w:cs="Georgia" w:eastAsia="Georgia" w:hAnsi="Georgia"/>
            <w:b/>
            <w:bCs/>
            <w:color w:val="D6336C"/>
            <w:sz w:val="23"/>
            <w:szCs w:val="23"/>
          </w:rPr>
          <w:t xml:space="preserve">10</w:t>
        </w:r>
        <w:r>
          <w:rPr>
            <w:rFonts w:ascii="Calibri" w:cs="Calibri" w:eastAsia="Calibri" w:hAnsi="Calibri"/>
            <w:color w:val="13233B"/>
            <w:sz w:val="22"/>
            <w:szCs w:val="22"/>
          </w:rPr>
          <w:t xml:space="preserve">   The Ask</w:t>
        </w:r>
        <w:r>
          <w:rPr>
            <w:rFonts w:ascii="Calibri" w:cs="Calibri" w:eastAsia="Calibri" w:hAnsi="Calibri"/>
          </w:rPr>
          <w:t xml:space="preserve">	</w:t>
        </w:r>
        <w:r>
          <w:rPr>
            <w:rFonts w:ascii="Calibri" w:cs="Calibri" w:eastAsia="Calibri" w:hAnsi="Calibri"/>
            <w:b/>
            <w:bCs/>
            <w:color w:val="31486A"/>
            <w:sz w:val="22"/>
            <w:szCs w:val="22"/>
          </w:rPr>
          <w:t xml:space="preserve">11</w:t>
        </w:r>
      </w:hyperlink>
    </w:p>
    <w:p>
      <w:pPr>
        <w:tabs>
          <w:tab w:val="right" w:pos="9360" w:leader="dot"/>
        </w:tabs>
        <w:spacing w:after="150" w:line="240" w:lineRule="auto"/>
      </w:pPr>
      <w:hyperlink w:history="1" w:anchor="sA">
        <w:r>
          <w:rPr>
            <w:rFonts w:ascii="Georgia" w:cs="Georgia" w:eastAsia="Georgia" w:hAnsi="Georgia"/>
            <w:b/>
            <w:bCs/>
            <w:color w:val="D6336C"/>
            <w:sz w:val="23"/>
            <w:szCs w:val="23"/>
          </w:rPr>
          <w:t xml:space="preserve">A</w:t>
        </w:r>
        <w:r>
          <w:rPr>
            <w:rFonts w:ascii="Calibri" w:cs="Calibri" w:eastAsia="Calibri" w:hAnsi="Calibri"/>
            <w:color w:val="13233B"/>
            <w:sz w:val="22"/>
            <w:szCs w:val="22"/>
          </w:rPr>
          <w:t xml:space="preserve">   Appendix — Model, Assumptions &amp; Sensitivities</w:t>
        </w:r>
        <w:r>
          <w:rPr>
            <w:rFonts w:ascii="Calibri" w:cs="Calibri" w:eastAsia="Calibri" w:hAnsi="Calibri"/>
          </w:rPr>
          <w:t xml:space="preserve">	</w:t>
        </w:r>
        <w:r>
          <w:rPr>
            <w:rFonts w:ascii="Calibri" w:cs="Calibri" w:eastAsia="Calibri" w:hAnsi="Calibri"/>
            <w:b/>
            <w:bCs/>
            <w:color w:val="31486A"/>
            <w:sz w:val="22"/>
            <w:szCs w:val="22"/>
          </w:rPr>
          <w:t xml:space="preserve">13</w:t>
        </w:r>
      </w:hyperlink>
    </w:p>
    <w:p>
      <w:pPr>
        <w:spacing w:before="300"/>
      </w:pPr>
      <w:r>
        <w:rPr>
          <w:rFonts w:ascii="Calibri" w:cs="Calibri" w:eastAsia="Calibri" w:hAnsi="Calibri"/>
          <w:i/>
          <w:iCs/>
          <w:color w:val="6A7A92"/>
          <w:sz w:val="18"/>
          <w:szCs w:val="18"/>
        </w:rPr>
        <w:t xml:space="preserve">All figures in Indian rupees. The full five-year model, driver log, sensitivities, and market-sizing sources are in the Appendix.</w:t>
      </w:r>
    </w:p>
    <w:p>
      <w:r>
        <w:br w:type="page"/>
      </w:r>
    </w:p>
    <w:p>
      <w:pPr>
        <w:sectPr>
          <w:pgSz w:w="12240" w:h="15840" w:orient="portrait"/>
          <w:pgMar w:top="1440" w:right="1440" w:bottom="1440" w:left="1440" w:header="708" w:footer="708" w:gutter="0"/>
          <w:pgNumType/>
          <w:docGrid w:linePitch="360"/>
        </w:sectPr>
      </w:pPr>
    </w:p>
    <w:p>
      <w:pPr>
        <w:pStyle w:val="Heading1"/>
        <w:keepNext/>
        <w:keepLines/>
      </w:pPr>
      <w:bookmarkStart w:name="s1" w:id="1000"/>
      <w:r>
        <w:rPr>
          <w:rFonts w:ascii="Georgia" w:cs="Georgia" w:eastAsia="Georgia" w:hAnsi="Georgia"/>
          <w:b/>
          <w:bCs/>
          <w:color w:val="D6336C"/>
        </w:rPr>
        <w:t xml:space="preserve">1  </w:t>
      </w:r>
      <w:bookmarkEnd w:id="1000"/>
      <w:r>
        <w:rPr>
          <w:rFonts w:ascii="Georgia" w:cs="Georgia" w:eastAsia="Georgia" w:hAnsi="Georgia"/>
          <w:b/>
          <w:bCs/>
          <w:color w:val="13233B"/>
        </w:rPr>
        <w:t xml:space="preserve">Executive Summary</w:t>
      </w:r>
    </w:p>
    <w:p>
      <w:pPr>
        <w:keepNext/>
        <w:spacing w:after="170" w:before="40" w:line="276"/>
      </w:pPr>
      <w:r>
        <w:rPr>
          <w:rFonts w:ascii="Georgia" w:cs="Georgia" w:eastAsia="Georgia" w:hAnsi="Georgia"/>
          <w:i/>
          <w:iCs/>
          <w:color w:val="31486A"/>
          <w:sz w:val="23"/>
          <w:szCs w:val="23"/>
        </w:rPr>
        <w:t xml:space="preserve">Trendzo is building the one part of fashion retail quick-commerce never solved: letting shoppers try clothes on before they pay, delivered in an hour.</w:t>
      </w:r>
    </w:p>
    <w:p>
      <w:pPr>
        <w:spacing w:after="130" w:before="0" w:line="276"/>
        <w:jc w:val="left"/>
      </w:pPr>
      <w:r>
        <w:rPr>
          <w:rFonts w:ascii="Calibri" w:cs="Calibri" w:eastAsia="Calibri" w:hAnsi="Calibri"/>
          <w:color w:val="1A2433"/>
          <w:sz w:val="21"/>
          <w:szCs w:val="21"/>
        </w:rPr>
        <w:t>Trendzo is a one-hour fashion-delivery marketplace for India where the delivery agent waits at the door while the shopper tries each item on — they keep what fits and hand back the rest, paying only for what they keep. The company holds no inventory: it lists the live stock of local clothing stores and routes each order to the nearest one that has the item.</w:t>
      </w:r>
    </w:p>
    <w:p>
      <w:pPr>
        <w:spacing w:after="130" w:before="0" w:line="276"/>
        <w:jc w:val="left"/>
      </w:pPr>
      <w:r>
        <w:rPr>
          <w:rFonts w:ascii="Calibri" w:cs="Calibri" w:eastAsia="Calibri" w:hAnsi="Calibri"/>
          <w:color w:val="1A2433"/>
          <w:sz w:val="21"/>
          <w:szCs w:val="21"/>
        </w:rPr>
        <w:t xml:space="preserve">The problem is structural. Online fashion forces shoppers to pay upfront and gamble on fit, which drives industry returns of 30–40% and suppresses trial — and quick-commerce, built around grocery dark stores, was never engineered for apparel. </w:t>
      </w:r>
      <w:r>
        <w:rPr>
          <w:rFonts w:ascii="Calibri" w:cs="Calibri" w:eastAsia="Calibri" w:hAnsi="Calibri"/>
          <w:b/>
          <w:bCs/>
          <w:color w:val="13233B"/>
          <w:sz w:val="21"/>
          <w:szCs w:val="21"/>
        </w:rPr>
        <w:t xml:space="preserve">Trendzo’s answer is Try-and-Buy at the door</w:t>
      </w:r>
      <w:r>
        <w:rPr>
          <w:rFonts w:ascii="Calibri" w:cs="Calibri" w:eastAsia="Calibri" w:hAnsi="Calibri"/>
          <w:color w:val="1A2433"/>
          <w:sz w:val="21"/>
          <w:szCs w:val="21"/>
        </w:rPr>
        <w:t xml:space="preserve">: an asset-light model that turns the delivery moment into the fitting room.</w:t>
      </w:r>
    </w:p>
    <w:p>
      <w:pPr>
        <w:spacing w:after="130" w:before="0" w:line="276"/>
        <w:jc w:val="left"/>
      </w:pPr>
      <w:r>
        <w:rPr>
          <w:rFonts w:ascii="Calibri" w:cs="Calibri" w:eastAsia="Calibri" w:hAnsi="Calibri"/>
          <w:color w:val="1A2433"/>
          <w:sz w:val="21"/>
          <w:szCs w:val="21"/>
        </w:rPr>
        <w:t xml:space="preserve">The strongest proof is the economics. A reconciled, bottom-up five-year model shows contribution per order climbing from roughly breakeven in Year 1 to </w:t>
      </w:r>
      <w:r>
        <w:rPr>
          <w:rFonts w:ascii="Calibri" w:cs="Calibri" w:eastAsia="Calibri" w:hAnsi="Calibri"/>
          <w:b/>
          <w:bCs/>
          <w:color w:val="D6336C"/>
          <w:sz w:val="21"/>
          <w:szCs w:val="21"/>
        </w:rPr>
        <w:t xml:space="preserve">₹95 by Year 5</w:t>
      </w:r>
      <w:r>
        <w:rPr>
          <w:rFonts w:ascii="Calibri" w:cs="Calibri" w:eastAsia="Calibri" w:hAnsi="Calibri"/>
          <w:color w:val="1A2433"/>
          <w:sz w:val="21"/>
          <w:szCs w:val="21"/>
        </w:rPr>
        <w:t xml:space="preserve">, EBITDA breakeven in </w:t>
      </w:r>
      <w:r>
        <w:rPr>
          <w:rFonts w:ascii="Calibri" w:cs="Calibri" w:eastAsia="Calibri" w:hAnsi="Calibri"/>
          <w:b/>
          <w:bCs/>
          <w:color w:val="D6336C"/>
          <w:sz w:val="21"/>
          <w:szCs w:val="21"/>
        </w:rPr>
        <w:t xml:space="preserve">Year 4</w:t>
      </w:r>
      <w:r>
        <w:rPr>
          <w:rFonts w:ascii="Calibri" w:cs="Calibri" w:eastAsia="Calibri" w:hAnsi="Calibri"/>
          <w:color w:val="1A2433"/>
          <w:sz w:val="21"/>
          <w:szCs w:val="21"/>
        </w:rPr>
        <w:t xml:space="preserve">, and an 18% EBITDA margin at scale — reached on a peak cash need of only ₹2.18 crore.</w:t>
      </w:r>
    </w:p>
    <w:p>
      <w:pPr>
        <w:spacing w:after="130" w:before="0" w:line="276"/>
        <w:jc w:val="left"/>
      </w:pPr>
      <w:r>
        <w:rPr>
          <w:rFonts w:ascii="Calibri" w:cs="Calibri" w:eastAsia="Calibri" w:hAnsi="Calibri"/>
          <w:color w:val="1A2433"/>
          <w:sz w:val="21"/>
          <w:szCs w:val="21"/>
        </w:rPr>
        <w:t xml:space="preserve">We are raising a </w:t>
      </w:r>
      <w:r>
        <w:rPr>
          <w:rFonts w:ascii="Calibri" w:cs="Calibri" w:eastAsia="Calibri" w:hAnsi="Calibri"/>
          <w:b/>
          <w:bCs/>
          <w:color w:val="D6336C"/>
          <w:sz w:val="21"/>
          <w:szCs w:val="21"/>
        </w:rPr>
        <w:t xml:space="preserve">₹2 crore pre-seed</w:t>
      </w:r>
      <w:r>
        <w:rPr>
          <w:rFonts w:ascii="Calibri" w:cs="Calibri" w:eastAsia="Calibri" w:hAnsi="Calibri"/>
          <w:color w:val="1A2433"/>
          <w:sz w:val="21"/>
          <w:szCs w:val="21"/>
        </w:rPr>
        <w:t xml:space="preserve"> to launch Indore, build the retailer and agent platform, and prove the unit economics in one city — funding the path to a Year-4 breakeven on under ₹3 crore of total capital.</w:t>
      </w:r>
    </w:p>
    <w:p>
      <w:pPr>
        <w:spacing w:after="40"/>
      </w:pPr>
      <w:r>
        <w:rPr>
          <w:sz w:val="2"/>
          <w:szCs w:val="2"/>
        </w:rPr>
        <w:t xml:space="preserve"/>
      </w:r>
    </w:p>
    <w:tbl>
      <w:tblPr>
        <w:tblW w:type="dxa" w:w="9360"/>
        <w:tblBorders>
          <w:top w:val="none"/>
          <w:left w:val="none"/>
          <w:bottom w:val="none"/>
          <w:right w:val="none"/>
          <w:insideH w:val="none"/>
          <w:insideV w:val="none"/>
        </w:tblBorders>
      </w:tblPr>
      <w:tblGrid>
        <w:gridCol w:w="2340"/>
        <w:gridCol w:w="2340"/>
        <w:gridCol w:w="2340"/>
        <w:gridCol w:w="2340"/>
      </w:tblGrid>
      <w:tr>
        <w:trPr>
          <w:cantSplit/>
        </w:trPr>
        <w:tc>
          <w:tcPr>
            <w:tcW w:type="dxa" w:w="2340"/>
            <w:tcBorders>
              <w:top w:val="single" w:color="FFFFFF" w:sz="26"/>
              <w:left w:val="single" w:color="FFFFFF" w:sz="26"/>
              <w:bottom w:val="single" w:color="FFFFFF" w:sz="26"/>
              <w:right w:val="single" w:color="FFFFFF" w:sz="26"/>
            </w:tcBorders>
            <w:shd w:fill="D6336C"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FFFFFF"/>
                <w:sz w:val="34"/>
                <w:szCs w:val="34"/>
              </w:rPr>
              <w:t xml:space="preserve">₹700</w:t>
            </w:r>
          </w:p>
          <w:p>
            <w:pPr>
              <w:spacing w:after="0"/>
              <w:jc w:val="center"/>
            </w:pPr>
            <w:r>
              <w:rPr>
                <w:rFonts w:ascii="Calibri" w:cs="Calibri" w:eastAsia="Calibri" w:hAnsi="Calibri"/>
                <w:b/>
                <w:bCs/>
                <w:caps/>
                <w:color w:val="FBE3EC"/>
                <w:spacing w:val="10"/>
                <w:sz w:val="15"/>
                <w:szCs w:val="15"/>
              </w:rPr>
              <w:t xml:space="preserve">Launch AOV</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3.7×</w:t>
            </w:r>
          </w:p>
          <w:p>
            <w:pPr>
              <w:spacing w:after="0"/>
              <w:jc w:val="center"/>
            </w:pPr>
            <w:r>
              <w:rPr>
                <w:rFonts w:ascii="Calibri" w:cs="Calibri" w:eastAsia="Calibri" w:hAnsi="Calibri"/>
                <w:b/>
                <w:bCs/>
                <w:caps/>
                <w:color w:val="6A7A92"/>
                <w:spacing w:val="10"/>
                <w:sz w:val="15"/>
                <w:szCs w:val="15"/>
              </w:rPr>
              <w:t xml:space="preserve">LTV : CAC (mature)</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₹20.7 Cr</w:t>
            </w:r>
          </w:p>
          <w:p>
            <w:pPr>
              <w:spacing w:after="0"/>
              <w:jc w:val="center"/>
            </w:pPr>
            <w:r>
              <w:rPr>
                <w:rFonts w:ascii="Calibri" w:cs="Calibri" w:eastAsia="Calibri" w:hAnsi="Calibri"/>
                <w:b/>
                <w:bCs/>
                <w:caps/>
                <w:color w:val="6A7A92"/>
                <w:spacing w:val="10"/>
                <w:sz w:val="15"/>
                <w:szCs w:val="15"/>
              </w:rPr>
              <w:t xml:space="preserve">Year-5 net revenue</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₹2 Cr</w:t>
            </w:r>
          </w:p>
          <w:p>
            <w:pPr>
              <w:spacing w:after="0"/>
              <w:jc w:val="center"/>
            </w:pPr>
            <w:r>
              <w:rPr>
                <w:rFonts w:ascii="Calibri" w:cs="Calibri" w:eastAsia="Calibri" w:hAnsi="Calibri"/>
                <w:b/>
                <w:bCs/>
                <w:caps/>
                <w:color w:val="6A7A92"/>
                <w:spacing w:val="10"/>
                <w:sz w:val="15"/>
                <w:szCs w:val="15"/>
              </w:rPr>
              <w:t xml:space="preserve">Pre-seed ask</w:t>
            </w:r>
          </w:p>
        </w:tc>
      </w:tr>
    </w:tbl>
    <w:p>
      <w:pPr>
        <w:spacing w:after="40"/>
      </w:pPr>
      <w:r>
        <w:rPr>
          <w:sz w:val="2"/>
          <w:szCs w:val="2"/>
        </w:rPr>
        <w:t xml:space="preserve"/>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Every figure here is substantiated downstream — the market in §4, the economics in §6, the projections in §9, the ask in §10. The thesis is one line: solve fit, and you unlock conversion, kill returns, and bring local fashion online.</w:t>
      </w:r>
    </w:p>
    <w:p>
      <w:pPr>
        <w:pStyle w:val="Heading1"/>
        <w:keepNext/>
        <w:keepLines/>
      </w:pPr>
      <w:bookmarkStart w:name="s2" w:id="1001"/>
      <w:r>
        <w:rPr>
          <w:rFonts w:ascii="Georgia" w:cs="Georgia" w:eastAsia="Georgia" w:hAnsi="Georgia"/>
          <w:b/>
          <w:bCs/>
          <w:color w:val="D6336C"/>
        </w:rPr>
        <w:t xml:space="preserve">2  </w:t>
      </w:r>
      <w:bookmarkEnd w:id="1001"/>
      <w:r>
        <w:rPr>
          <w:rFonts w:ascii="Georgia" w:cs="Georgia" w:eastAsia="Georgia" w:hAnsi="Georgia"/>
          <w:b/>
          <w:bCs/>
          <w:color w:val="13233B"/>
        </w:rPr>
        <w:t xml:space="preserve">The Problem</w:t>
      </w:r>
    </w:p>
    <w:p>
      <w:pPr>
        <w:keepNext/>
        <w:spacing w:after="170" w:before="40" w:line="276"/>
      </w:pPr>
      <w:r>
        <w:rPr>
          <w:rFonts w:ascii="Georgia" w:cs="Georgia" w:eastAsia="Georgia" w:hAnsi="Georgia"/>
          <w:i/>
          <w:iCs/>
          <w:color w:val="31486A"/>
          <w:sz w:val="23"/>
          <w:szCs w:val="23"/>
        </w:rPr>
        <w:t xml:space="preserve">India’s fashion market is enormous and digitizing fast — but online apparel is broken in three specific ways quick-commerce has not fixed.</w:t>
      </w:r>
    </w:p>
    <w:p>
      <w:pPr>
        <w:spacing w:after="130" w:before="0" w:line="276"/>
        <w:jc w:val="left"/>
      </w:pPr>
      <w:r>
        <w:rPr>
          <w:rFonts w:ascii="Calibri" w:cs="Calibri" w:eastAsia="Calibri" w:hAnsi="Calibri"/>
          <w:color w:val="1A2433"/>
          <w:sz w:val="21"/>
          <w:szCs w:val="21"/>
        </w:rPr>
        <w:t xml:space="preserve">India’s fashion and apparel retail market is roughly </w:t>
      </w:r>
      <w:r>
        <w:rPr>
          <w:rFonts w:ascii="Calibri" w:cs="Calibri" w:eastAsia="Calibri" w:hAnsi="Calibri"/>
          <w:b/>
          <w:bCs/>
          <w:color w:val="31486A"/>
          <w:sz w:val="21"/>
          <w:szCs w:val="21"/>
        </w:rPr>
        <w:t xml:space="preserve">₹9.6 lakh crore</w:t>
      </w:r>
      <w:r>
        <w:rPr>
          <w:rFonts w:ascii="Calibri" w:cs="Calibri" w:eastAsia="Calibri" w:hAnsi="Calibri"/>
          <w:color w:val="1A2433"/>
          <w:sz w:val="21"/>
          <w:szCs w:val="21"/>
        </w:rPr>
        <w:t xml:space="preserve">, and shifting online quickly. Yet the online experience remains structurally flawed, and the flaws share one root cause: the purchase is divorced from the physical try-on. Three distinct failures follow.</w:t>
      </w:r>
    </w:p>
    <w:p>
      <w:pPr>
        <w:pStyle w:val="Heading2"/>
        <w:keepNext/>
      </w:pPr>
      <w:r>
        <w:rPr>
          <w:rFonts w:ascii="Georgia" w:cs="Georgia" w:eastAsia="Georgia" w:hAnsi="Georgia"/>
          <w:b/>
          <w:bCs/>
          <w:color w:val="31486A"/>
        </w:rPr>
        <w:t xml:space="preserve">Failure 1 — Fit uncertainty drives returns</w:t>
      </w:r>
    </w:p>
    <w:p>
      <w:pPr>
        <w:spacing w:after="130" w:before="0" w:line="276"/>
        <w:jc w:val="left"/>
      </w:pPr>
      <w:r>
        <w:rPr>
          <w:rFonts w:ascii="Calibri" w:cs="Calibri" w:eastAsia="Calibri" w:hAnsi="Calibri"/>
          <w:b/>
          <w:bCs/>
          <w:color w:val="13233B"/>
          <w:sz w:val="21"/>
          <w:szCs w:val="21"/>
        </w:rPr>
        <w:t xml:space="preserve">The failure: </w:t>
      </w:r>
      <w:r>
        <w:rPr>
          <w:rFonts w:ascii="Calibri" w:cs="Calibri" w:eastAsia="Calibri" w:hAnsi="Calibri"/>
          <w:color w:val="1A2433"/>
          <w:sz w:val="21"/>
          <w:szCs w:val="21"/>
        </w:rPr>
        <w:t xml:space="preserve">shoppers buy blind, so 30–40% of fashion orders come back. </w:t>
      </w:r>
      <w:r>
        <w:rPr>
          <w:rFonts w:ascii="Calibri" w:cs="Calibri" w:eastAsia="Calibri" w:hAnsi="Calibri"/>
          <w:b/>
          <w:bCs/>
          <w:color w:val="13233B"/>
          <w:sz w:val="21"/>
          <w:szCs w:val="21"/>
        </w:rPr>
        <w:t xml:space="preserve">Why it persists: </w:t>
      </w:r>
      <w:r>
        <w:rPr>
          <w:rFonts w:ascii="Calibri" w:cs="Calibri" w:eastAsia="Calibri" w:hAnsi="Calibri"/>
          <w:color w:val="1A2433"/>
          <w:sz w:val="21"/>
          <w:szCs w:val="21"/>
        </w:rPr>
        <w:t xml:space="preserve">no online channel lets you confirm fit before paying. </w:t>
      </w:r>
      <w:r>
        <w:rPr>
          <w:rFonts w:ascii="Calibri" w:cs="Calibri" w:eastAsia="Calibri" w:hAnsi="Calibri"/>
          <w:b/>
          <w:bCs/>
          <w:color w:val="13233B"/>
          <w:sz w:val="21"/>
          <w:szCs w:val="21"/>
        </w:rPr>
        <w:t xml:space="preserve">What it costs: </w:t>
      </w:r>
      <w:r>
        <w:rPr>
          <w:rFonts w:ascii="Calibri" w:cs="Calibri" w:eastAsia="Calibri" w:hAnsi="Calibri"/>
          <w:color w:val="1A2433"/>
          <w:sz w:val="21"/>
          <w:szCs w:val="21"/>
        </w:rPr>
        <w:t xml:space="preserve">retailers lose margin to reverse logistics, restocking and write-downs; platforms lose cash to refunds and stranded units.</w:t>
      </w:r>
    </w:p>
    <w:p>
      <w:pPr>
        <w:pStyle w:val="Heading2"/>
        <w:keepNext/>
      </w:pPr>
      <w:r>
        <w:rPr>
          <w:rFonts w:ascii="Georgia" w:cs="Georgia" w:eastAsia="Georgia" w:hAnsi="Georgia"/>
          <w:b/>
          <w:bCs/>
          <w:color w:val="31486A"/>
        </w:rPr>
        <w:t xml:space="preserve">Failure 2 — Paying first suppresses trial</w:t>
      </w:r>
    </w:p>
    <w:p>
      <w:pPr>
        <w:spacing w:after="130" w:before="0" w:line="276"/>
        <w:jc w:val="left"/>
      </w:pPr>
      <w:r>
        <w:rPr>
          <w:rFonts w:ascii="Calibri" w:cs="Calibri" w:eastAsia="Calibri" w:hAnsi="Calibri"/>
          <w:b/>
          <w:bCs/>
          <w:color w:val="13233B"/>
          <w:sz w:val="21"/>
          <w:szCs w:val="21"/>
        </w:rPr>
        <w:t xml:space="preserve">The failure: </w:t>
      </w:r>
      <w:r>
        <w:rPr>
          <w:rFonts w:ascii="Calibri" w:cs="Calibri" w:eastAsia="Calibri" w:hAnsi="Calibri"/>
          <w:color w:val="1A2433"/>
          <w:sz w:val="21"/>
          <w:szCs w:val="21"/>
        </w:rPr>
        <w:t xml:space="preserve">committing money before seeing the product on your body kills conversion, especially for first-time shoppers. </w:t>
      </w:r>
      <w:r>
        <w:rPr>
          <w:rFonts w:ascii="Calibri" w:cs="Calibri" w:eastAsia="Calibri" w:hAnsi="Calibri"/>
          <w:b/>
          <w:bCs/>
          <w:color w:val="13233B"/>
          <w:sz w:val="21"/>
          <w:szCs w:val="21"/>
        </w:rPr>
        <w:t xml:space="preserve">Why it persists: </w:t>
      </w:r>
      <w:r>
        <w:rPr>
          <w:rFonts w:ascii="Calibri" w:cs="Calibri" w:eastAsia="Calibri" w:hAnsi="Calibri"/>
          <w:color w:val="1A2433"/>
          <w:sz w:val="21"/>
          <w:szCs w:val="21"/>
        </w:rPr>
        <w:t xml:space="preserve">payment is decoupled from delivery in every mainstream model. </w:t>
      </w:r>
      <w:r>
        <w:rPr>
          <w:rFonts w:ascii="Calibri" w:cs="Calibri" w:eastAsia="Calibri" w:hAnsi="Calibri"/>
          <w:b/>
          <w:bCs/>
          <w:color w:val="13233B"/>
          <w:sz w:val="21"/>
          <w:szCs w:val="21"/>
        </w:rPr>
        <w:t xml:space="preserve">What it costs: </w:t>
      </w:r>
      <w:r>
        <w:rPr>
          <w:rFonts w:ascii="Calibri" w:cs="Calibri" w:eastAsia="Calibri" w:hAnsi="Calibri"/>
          <w:color w:val="1A2433"/>
          <w:sz w:val="21"/>
          <w:szCs w:val="21"/>
        </w:rPr>
        <w:t xml:space="preserve">conversion at the top of the funnel, and an inflated cost of acquisition.</w:t>
      </w:r>
    </w:p>
    <w:p>
      <w:pPr>
        <w:pStyle w:val="Heading2"/>
        <w:keepNext/>
      </w:pPr>
      <w:r>
        <w:rPr>
          <w:rFonts w:ascii="Georgia" w:cs="Georgia" w:eastAsia="Georgia" w:hAnsi="Georgia"/>
          <w:b/>
          <w:bCs/>
          <w:color w:val="31486A"/>
        </w:rPr>
        <w:t xml:space="preserve">Failure 3 — Local stores are invisible online</w:t>
      </w:r>
    </w:p>
    <w:p>
      <w:pPr>
        <w:spacing w:after="130" w:before="0" w:line="276"/>
        <w:jc w:val="left"/>
      </w:pPr>
      <w:r>
        <w:rPr>
          <w:rFonts w:ascii="Calibri" w:cs="Calibri" w:eastAsia="Calibri" w:hAnsi="Calibri"/>
          <w:b/>
          <w:bCs/>
          <w:color w:val="13233B"/>
          <w:sz w:val="21"/>
          <w:szCs w:val="21"/>
        </w:rPr>
        <w:t xml:space="preserve">The failure: </w:t>
      </w:r>
      <w:r>
        <w:rPr>
          <w:rFonts w:ascii="Calibri" w:cs="Calibri" w:eastAsia="Calibri" w:hAnsi="Calibri"/>
          <w:color w:val="1A2433"/>
          <w:sz w:val="21"/>
          <w:szCs w:val="21"/>
        </w:rPr>
        <w:t xml:space="preserve">thousands of city fashion stores hold relevant stock but have no digital storefront and no fast last-mile. </w:t>
      </w:r>
      <w:r>
        <w:rPr>
          <w:rFonts w:ascii="Calibri" w:cs="Calibri" w:eastAsia="Calibri" w:hAnsi="Calibri"/>
          <w:b/>
          <w:bCs/>
          <w:color w:val="13233B"/>
          <w:sz w:val="21"/>
          <w:szCs w:val="21"/>
        </w:rPr>
        <w:t xml:space="preserve">Why it persists: </w:t>
      </w:r>
      <w:r>
        <w:rPr>
          <w:rFonts w:ascii="Calibri" w:cs="Calibri" w:eastAsia="Calibri" w:hAnsi="Calibri"/>
          <w:color w:val="1A2433"/>
          <w:sz w:val="21"/>
          <w:szCs w:val="21"/>
        </w:rPr>
        <w:t xml:space="preserve">building technology and logistics is far beyond a single store. </w:t>
      </w:r>
      <w:r>
        <w:rPr>
          <w:rFonts w:ascii="Calibri" w:cs="Calibri" w:eastAsia="Calibri" w:hAnsi="Calibri"/>
          <w:b/>
          <w:bCs/>
          <w:color w:val="13233B"/>
          <w:sz w:val="21"/>
          <w:szCs w:val="21"/>
        </w:rPr>
        <w:t xml:space="preserve">What it costs: </w:t>
      </w:r>
      <w:r>
        <w:rPr>
          <w:rFonts w:ascii="Calibri" w:cs="Calibri" w:eastAsia="Calibri" w:hAnsi="Calibri"/>
          <w:color w:val="1A2433"/>
          <w:sz w:val="21"/>
          <w:szCs w:val="21"/>
        </w:rPr>
        <w:t xml:space="preserve">stores forgo demand they could serve, and shoppers are left with slow, distant or out-of-stock options.</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These are not three problems but one seen three ways — the buy is separated from the try. Each maps directly onto a Trendzo capability in the next section; we raise no problem the product does not later answer.</w:t>
      </w:r>
    </w:p>
    <w:p>
      <w:pPr>
        <w:pStyle w:val="Heading1"/>
        <w:keepNext/>
        <w:keepLines/>
      </w:pPr>
      <w:bookmarkStart w:name="s3" w:id="1002"/>
      <w:r>
        <w:rPr>
          <w:rFonts w:ascii="Georgia" w:cs="Georgia" w:eastAsia="Georgia" w:hAnsi="Georgia"/>
          <w:b/>
          <w:bCs/>
          <w:color w:val="D6336C"/>
        </w:rPr>
        <w:t xml:space="preserve">3  </w:t>
      </w:r>
      <w:bookmarkEnd w:id="1002"/>
      <w:r>
        <w:rPr>
          <w:rFonts w:ascii="Georgia" w:cs="Georgia" w:eastAsia="Georgia" w:hAnsi="Georgia"/>
          <w:b/>
          <w:bCs/>
          <w:color w:val="13233B"/>
        </w:rPr>
        <w:t xml:space="preserve">The Solution</w:t>
      </w:r>
    </w:p>
    <w:p>
      <w:pPr>
        <w:keepNext/>
        <w:spacing w:after="170" w:before="40" w:line="276"/>
      </w:pPr>
      <w:r>
        <w:rPr>
          <w:rFonts w:ascii="Georgia" w:cs="Georgia" w:eastAsia="Georgia" w:hAnsi="Georgia"/>
          <w:i/>
          <w:iCs/>
          <w:color w:val="31486A"/>
          <w:sz w:val="23"/>
          <w:szCs w:val="23"/>
        </w:rPr>
        <w:t xml:space="preserve">Trendzo rebuilds the fashion purchase around the try-on, with three mechanisms that map one-to-one onto the three failures above.</w:t>
      </w:r>
    </w:p>
    <w:p>
      <w:pPr>
        <w:pStyle w:val="Heading2"/>
        <w:keepNext/>
      </w:pPr>
      <w:r>
        <w:rPr>
          <w:rFonts w:ascii="Georgia" w:cs="Georgia" w:eastAsia="Georgia" w:hAnsi="Georgia"/>
          <w:b/>
          <w:bCs/>
          <w:color w:val="31486A"/>
        </w:rPr>
        <w:t xml:space="preserve">Try-and-Buy at the door — the differentiator (answers Failures 1 &amp; 2)</w:t>
      </w:r>
    </w:p>
    <w:p>
      <w:pPr>
        <w:spacing w:after="130" w:before="0" w:line="276"/>
        <w:jc w:val="left"/>
      </w:pPr>
      <w:r>
        <w:rPr>
          <w:rFonts w:ascii="Calibri" w:cs="Calibri" w:eastAsia="Calibri" w:hAnsi="Calibri"/>
          <w:color w:val="1A2433"/>
          <w:sz w:val="21"/>
          <w:szCs w:val="21"/>
        </w:rPr>
        <w:t>How it works: the shopper orders and prepays; an agent brings the items in a plain bag and waits up to 30 minutes; the shopper tries each piece on and says keep or return; the agent inspects and records every return on the spot, and only the kept items stay charged — returns are refunded once the store verifies them. Because fit is confirmed before the money is final, returns collapse and the pay-first friction disappears.</w:t>
      </w:r>
    </w:p>
    <w:p>
      <w:pPr>
        <w:pStyle w:val="Heading2"/>
        <w:keepNext/>
      </w:pPr>
      <w:r>
        <w:rPr>
          <w:rFonts w:ascii="Georgia" w:cs="Georgia" w:eastAsia="Georgia" w:hAnsi="Georgia"/>
          <w:b/>
          <w:bCs/>
          <w:color w:val="31486A"/>
        </w:rPr>
        <w:t xml:space="preserve">One-hour delivery from local stores — asset-light (answers Failure 3)</w:t>
      </w:r>
    </w:p>
    <w:p>
      <w:pPr>
        <w:spacing w:after="130" w:before="0" w:line="276"/>
        <w:jc w:val="left"/>
      </w:pPr>
      <w:r>
        <w:rPr>
          <w:rFonts w:ascii="Calibri" w:cs="Calibri" w:eastAsia="Calibri" w:hAnsi="Calibri"/>
          <w:color w:val="1A2433"/>
          <w:sz w:val="21"/>
          <w:szCs w:val="21"/>
        </w:rPr>
        <w:t>How it works: Trendzo carries no inventory. It lists local stores’ live stock — kept current by an integrated billing/POS sync that also captures their walk-in sales — routes each order to the nearest store holding the item, and delivers in about 60 minutes through an in-house fleet. The result is quick-commerce speed on stores’ existing shelves: no warehouses, no inventory risk, no dead stock on Trendzo’s books.</w:t>
      </w:r>
    </w:p>
    <w:p>
      <w:pPr>
        <w:pStyle w:val="Heading2"/>
        <w:keepNext/>
      </w:pPr>
      <w:r>
        <w:rPr>
          <w:rFonts w:ascii="Georgia" w:cs="Georgia" w:eastAsia="Georgia" w:hAnsi="Georgia"/>
          <w:b/>
          <w:bCs/>
          <w:color w:val="31486A"/>
        </w:rPr>
        <w:t xml:space="preserve">A full retailer operating system (answers Failure 3)</w:t>
      </w:r>
    </w:p>
    <w:p>
      <w:pPr>
        <w:spacing w:after="130" w:before="0" w:line="276"/>
        <w:jc w:val="left"/>
      </w:pPr>
      <w:r>
        <w:rPr>
          <w:rFonts w:ascii="Calibri" w:cs="Calibri" w:eastAsia="Calibri" w:hAnsi="Calibri"/>
          <w:color w:val="1A2433"/>
          <w:sz w:val="21"/>
          <w:szCs w:val="21"/>
        </w:rPr>
        <w:t>How it works: a web dashboard and a dedicated agent app give a store order management, inventory sync, returns handling, payouts and analytics, while Trendzo’s admin centrally runs discounts, disputes and moderation. Any local fashion store goes online and same-hour without building a single piece of software itself.</w:t>
      </w:r>
    </w:p>
    <w:p>
      <w:pPr>
        <w:spacing w:after="130" w:before="0" w:line="276"/>
        <w:jc w:val="left"/>
      </w:pPr>
      <w:r>
        <w:rPr>
          <w:rFonts w:ascii="Calibri" w:cs="Calibri" w:eastAsia="Calibri" w:hAnsi="Calibri"/>
          <w:color w:val="1A2433"/>
          <w:sz w:val="21"/>
          <w:szCs w:val="21"/>
        </w:rPr>
        <w:t xml:space="preserve">Two browsing layers sit on top: an on-screen </w:t>
      </w:r>
      <w:r>
        <w:rPr>
          <w:rFonts w:ascii="Calibri" w:cs="Calibri" w:eastAsia="Calibri" w:hAnsi="Calibri"/>
          <w:i/>
          <w:iCs/>
          <w:color w:val="13233B"/>
          <w:sz w:val="21"/>
          <w:szCs w:val="21"/>
        </w:rPr>
        <w:t xml:space="preserve">virtual try-on</w:t>
      </w:r>
      <w:r>
        <w:rPr>
          <w:rFonts w:ascii="Calibri" w:cs="Calibri" w:eastAsia="Calibri" w:hAnsi="Calibri"/>
          <w:color w:val="1A2433"/>
          <w:sz w:val="21"/>
          <w:szCs w:val="21"/>
        </w:rPr>
        <w:t xml:space="preserve"> that previews a garment on the shopper’s photo, and a shoppable </w:t>
      </w:r>
      <w:r>
        <w:rPr>
          <w:rFonts w:ascii="Calibri" w:cs="Calibri" w:eastAsia="Calibri" w:hAnsi="Calibri"/>
          <w:i/>
          <w:iCs/>
          <w:color w:val="13233B"/>
          <w:sz w:val="21"/>
          <w:szCs w:val="21"/>
        </w:rPr>
        <w:t xml:space="preserve">reel</w:t>
      </w:r>
      <w:r>
        <w:rPr>
          <w:rFonts w:ascii="Calibri" w:cs="Calibri" w:eastAsia="Calibri" w:hAnsi="Calibri"/>
          <w:color w:val="1A2433"/>
          <w:sz w:val="21"/>
          <w:szCs w:val="21"/>
        </w:rPr>
        <w:t xml:space="preserve"> feed for discovery — both funnel into the same one-hour, try-at-the-door fulfilment.</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One mechanism — the try-on at the door — resolves all three failures at once, and the asset-light store model is what lets it scale city by city. We ask the reader to believe a mechanic, not a slogan.</w:t>
      </w:r>
    </w:p>
    <w:p>
      <w:pPr>
        <w:pStyle w:val="Heading1"/>
        <w:keepNext/>
        <w:keepLines/>
      </w:pPr>
      <w:bookmarkStart w:name="s4" w:id="1003"/>
      <w:r>
        <w:rPr>
          <w:rFonts w:ascii="Georgia" w:cs="Georgia" w:eastAsia="Georgia" w:hAnsi="Georgia"/>
          <w:b/>
          <w:bCs/>
          <w:color w:val="D6336C"/>
        </w:rPr>
        <w:t xml:space="preserve">4  </w:t>
      </w:r>
      <w:bookmarkEnd w:id="1003"/>
      <w:r>
        <w:rPr>
          <w:rFonts w:ascii="Georgia" w:cs="Georgia" w:eastAsia="Georgia" w:hAnsi="Georgia"/>
          <w:b/>
          <w:bCs/>
          <w:color w:val="13233B"/>
        </w:rPr>
        <w:t xml:space="preserve">Market Opportunity</w:t>
      </w:r>
    </w:p>
    <w:p>
      <w:pPr>
        <w:keepNext/>
        <w:spacing w:after="170" w:before="40" w:line="276"/>
      </w:pPr>
      <w:r>
        <w:rPr>
          <w:rFonts w:ascii="Georgia" w:cs="Georgia" w:eastAsia="Georgia" w:hAnsi="Georgia"/>
          <w:i/>
          <w:iCs/>
          <w:color w:val="31486A"/>
          <w:sz w:val="23"/>
          <w:szCs w:val="23"/>
        </w:rPr>
        <w:t xml:space="preserve">Trendzo plays in a very large, fast-digitizing market and needs only a sliver of it — so the risk lives in execution, not in market size.</w:t>
      </w:r>
    </w:p>
    <w:p>
      <w:pPr>
        <w:spacing w:after="120" w:before="60" w:line="240" w:lineRule="auto"/>
        <w:jc w:val="center"/>
      </w:pPr>
      <w:r>
        <w:drawing>
          <wp:inline distT="0" distB="0" distL="0" distR="0">
            <wp:extent cx="3048000" cy="36957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695700"/>
                    </a:xfrm>
                    <a:prstGeom prst="rect">
                      <a:avLst/>
                    </a:prstGeom>
                  </pic:spPr>
                </pic:pic>
              </a:graphicData>
            </a:graphic>
          </wp:inline>
        </w:drawing>
      </w:r>
    </w:p>
    <w:p>
      <w:pPr>
        <w:spacing w:after="170" w:before="20"/>
        <w:jc w:val="center"/>
      </w:pPr>
      <w:r>
        <w:rPr>
          <w:rFonts w:ascii="Calibri" w:cs="Calibri" w:eastAsia="Calibri" w:hAnsi="Calibri"/>
          <w:i/>
          <w:iCs/>
          <w:color w:val="6A7A92"/>
          <w:sz w:val="17"/>
          <w:szCs w:val="17"/>
        </w:rPr>
        <w:t xml:space="preserve">Figure 1 — Market sizing: TAM / SAM / SOM, with methodology below.</w:t>
      </w:r>
    </w:p>
    <w:p>
      <w:pPr>
        <w:spacing w:after="130" w:before="0" w:line="276"/>
        <w:jc w:val="left"/>
      </w:pPr>
      <w:r>
        <w:rPr>
          <w:rFonts w:ascii="Calibri" w:cs="Calibri" w:eastAsia="Calibri" w:hAnsi="Calibri"/>
          <w:b/>
          <w:bCs/>
          <w:color w:val="13233B"/>
          <w:sz w:val="21"/>
          <w:szCs w:val="21"/>
        </w:rPr>
        <w:t xml:space="preserve">TAM (top-down). </w:t>
      </w:r>
      <w:r>
        <w:rPr>
          <w:rFonts w:ascii="Calibri" w:cs="Calibri" w:eastAsia="Calibri" w:hAnsi="Calibri"/>
          <w:color w:val="1A2433"/>
          <w:sz w:val="21"/>
          <w:szCs w:val="21"/>
        </w:rPr>
        <w:t xml:space="preserve">India’s total fashion and apparel retail is ~₹9.6 lakh crore, measured as total category retail spend.</w:t>
      </w:r>
    </w:p>
    <w:p>
      <w:pPr>
        <w:spacing w:after="130" w:before="0" w:line="276"/>
        <w:jc w:val="left"/>
      </w:pPr>
      <w:r>
        <w:rPr>
          <w:rFonts w:ascii="Calibri" w:cs="Calibri" w:eastAsia="Calibri" w:hAnsi="Calibri"/>
          <w:b/>
          <w:bCs/>
          <w:color w:val="13233B"/>
          <w:sz w:val="21"/>
          <w:szCs w:val="21"/>
        </w:rPr>
        <w:t xml:space="preserve">SAM (top-down). </w:t>
      </w:r>
      <w:r>
        <w:rPr>
          <w:rFonts w:ascii="Calibri" w:cs="Calibri" w:eastAsia="Calibri" w:hAnsi="Calibri"/>
          <w:color w:val="1A2433"/>
          <w:sz w:val="21"/>
          <w:szCs w:val="21"/>
        </w:rPr>
        <w:t xml:space="preserve">Online fashion in India is ~₹1.83 lakh crore. The bridge from TAM: Trendzo is a digital channel, so only the online-addressable share is serviceable — concentrated further in the metro and tier-1 catchments where one-hour delivery is feasible.</w:t>
      </w:r>
    </w:p>
    <w:p>
      <w:pPr>
        <w:spacing w:after="130" w:before="0" w:line="276"/>
        <w:jc w:val="left"/>
      </w:pPr>
      <w:r>
        <w:rPr>
          <w:rFonts w:ascii="Calibri" w:cs="Calibri" w:eastAsia="Calibri" w:hAnsi="Calibri"/>
          <w:b/>
          <w:bCs/>
          <w:color w:val="13233B"/>
          <w:sz w:val="21"/>
          <w:szCs w:val="21"/>
        </w:rPr>
        <w:t xml:space="preserve">SOM (bottom-up). </w:t>
      </w:r>
      <w:r>
        <w:rPr>
          <w:rFonts w:ascii="Calibri" w:cs="Calibri" w:eastAsia="Calibri" w:hAnsi="Calibri"/>
          <w:color w:val="1A2433"/>
          <w:sz w:val="21"/>
          <w:szCs w:val="21"/>
        </w:rPr>
        <w:t xml:space="preserve">Year-5 GMV of ₹99 crore, built from the ground up: 11 cities × ~100 stores each × modelled order density × ₹700–900 average order value. That obtainable slice is under 0.06% of the online-fashion SAM.</w:t>
      </w:r>
    </w:p>
    <w:p>
      <w:pPr>
        <w:spacing w:after="130" w:before="0" w:line="276"/>
        <w:jc w:val="left"/>
      </w:pPr>
      <w:r>
        <w:rPr>
          <w:rFonts w:ascii="Calibri" w:cs="Calibri" w:eastAsia="Calibri" w:hAnsi="Calibri"/>
          <w:color w:val="1A2433"/>
          <w:sz w:val="21"/>
          <w:szCs w:val="21"/>
        </w:rPr>
        <w:t xml:space="preserve">That bottom-up number is a plan, not an aspiration. </w:t>
      </w:r>
      <w:r>
        <w:rPr>
          <w:rFonts w:ascii="Calibri" w:cs="Calibri" w:eastAsia="Calibri" w:hAnsi="Calibri"/>
          <w:b/>
          <w:bCs/>
          <w:color w:val="D6336C"/>
          <w:sz w:val="21"/>
          <w:szCs w:val="21"/>
        </w:rPr>
        <w:t xml:space="preserve">Indore launches first</w:t>
      </w:r>
      <w:r>
        <w:rPr>
          <w:rFonts w:ascii="Calibri" w:cs="Calibri" w:eastAsia="Calibri" w:hAnsi="Calibri"/>
          <w:color w:val="1A2433"/>
          <w:sz w:val="21"/>
          <w:szCs w:val="21"/>
        </w:rPr>
        <w:t xml:space="preserve"> in Year 1 (~100 stores, a three-agent fleet), then 2 → 4 → 7 → 11 cities across five years, each city adding local onboarding and a small fleet. A quick-commerce tailwind sits underneath: India quick-commerce GMV is ~₹0.6 lakh crore (FY25), projected at ~₹2.9 lakh crore by 2030, with apparel the next category to be unbundled.</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Because the obtainable market is set by how fast we onboard stores and fill fleet capacity — not by demand that may never exist — top-of-funnel risk is small. The constraint, and the rest of this brief, is execution and density.</w:t>
      </w:r>
    </w:p>
    <w:p>
      <w:pPr>
        <w:pStyle w:val="Heading1"/>
        <w:keepNext/>
        <w:keepLines/>
        <w:pageBreakBefore/>
      </w:pPr>
      <w:bookmarkStart w:name="s5" w:id="1004"/>
      <w:r>
        <w:rPr>
          <w:rFonts w:ascii="Georgia" w:cs="Georgia" w:eastAsia="Georgia" w:hAnsi="Georgia"/>
          <w:b/>
          <w:bCs/>
          <w:color w:val="D6336C"/>
        </w:rPr>
        <w:t xml:space="preserve">5  </w:t>
      </w:r>
      <w:bookmarkEnd w:id="1004"/>
      <w:r>
        <w:rPr>
          <w:rFonts w:ascii="Georgia" w:cs="Georgia" w:eastAsia="Georgia" w:hAnsi="Georgia"/>
          <w:b/>
          <w:bCs/>
          <w:color w:val="13233B"/>
        </w:rPr>
        <w:t xml:space="preserve">Traction &amp; Validation</w:t>
      </w:r>
    </w:p>
    <w:p>
      <w:pPr>
        <w:keepNext/>
        <w:spacing w:after="170" w:before="40" w:line="276"/>
      </w:pPr>
      <w:r>
        <w:rPr>
          <w:rFonts w:ascii="Georgia" w:cs="Georgia" w:eastAsia="Georgia" w:hAnsi="Georgia"/>
          <w:i/>
          <w:iCs/>
          <w:color w:val="31486A"/>
          <w:sz w:val="23"/>
          <w:szCs w:val="23"/>
        </w:rPr>
        <w:t xml:space="preserve">Trendzo is pre-launch, and de-risked across the three things that usually sink a pre-seed company: product, operations, and economics.</w:t>
      </w:r>
    </w:p>
    <w:p>
      <w:pPr>
        <w:spacing w:after="20"/>
      </w:pPr>
      <w:r>
        <w:rPr>
          <w:sz w:val="2"/>
          <w:szCs w:val="2"/>
        </w:rPr>
        <w:t xml:space="preserve"/>
      </w:r>
    </w:p>
    <w:tbl>
      <w:tblPr>
        <w:tblW w:type="dxa" w:w="9360"/>
        <w:tblBorders>
          <w:top w:val="none"/>
          <w:left w:val="none"/>
          <w:bottom w:val="none"/>
          <w:right w:val="none"/>
          <w:insideH w:val="none"/>
          <w:insideV w:val="none"/>
        </w:tblBorders>
      </w:tblPr>
      <w:tblGrid>
        <w:gridCol w:w="2340"/>
        <w:gridCol w:w="2340"/>
        <w:gridCol w:w="2340"/>
        <w:gridCol w:w="2340"/>
      </w:tblGrid>
      <w:tr>
        <w:trPr>
          <w:cantSplit/>
        </w:trPr>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1</w:t>
            </w:r>
          </w:p>
          <w:p>
            <w:pPr>
              <w:spacing w:after="0"/>
              <w:jc w:val="center"/>
            </w:pPr>
            <w:r>
              <w:rPr>
                <w:rFonts w:ascii="Calibri" w:cs="Calibri" w:eastAsia="Calibri" w:hAnsi="Calibri"/>
                <w:b/>
                <w:bCs/>
                <w:caps/>
                <w:color w:val="6A7A92"/>
                <w:spacing w:val="10"/>
                <w:sz w:val="15"/>
                <w:szCs w:val="15"/>
              </w:rPr>
              <w:t xml:space="preserve">Consumer app built</w:t>
            </w:r>
          </w:p>
        </w:tc>
        <w:tc>
          <w:tcPr>
            <w:tcW w:type="dxa" w:w="2340"/>
            <w:tcBorders>
              <w:top w:val="single" w:color="FFFFFF" w:sz="26"/>
              <w:left w:val="single" w:color="FFFFFF" w:sz="26"/>
              <w:bottom w:val="single" w:color="FFFFFF" w:sz="26"/>
              <w:right w:val="single" w:color="FFFFFF" w:sz="26"/>
            </w:tcBorders>
            <w:shd w:fill="D6336C"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FFFFFF"/>
                <w:sz w:val="34"/>
                <w:szCs w:val="34"/>
              </w:rPr>
              <w:t xml:space="preserve">5</w:t>
            </w:r>
          </w:p>
          <w:p>
            <w:pPr>
              <w:spacing w:after="0"/>
              <w:jc w:val="center"/>
            </w:pPr>
            <w:r>
              <w:rPr>
                <w:rFonts w:ascii="Calibri" w:cs="Calibri" w:eastAsia="Calibri" w:hAnsi="Calibri"/>
                <w:b/>
                <w:bCs/>
                <w:caps/>
                <w:color w:val="FBE3EC"/>
                <w:spacing w:val="10"/>
                <w:sz w:val="15"/>
                <w:szCs w:val="15"/>
              </w:rPr>
              <w:t xml:space="preserve">Operating SOPs complete</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~100</w:t>
            </w:r>
          </w:p>
          <w:p>
            <w:pPr>
              <w:spacing w:after="0"/>
              <w:jc w:val="center"/>
            </w:pPr>
            <w:r>
              <w:rPr>
                <w:rFonts w:ascii="Calibri" w:cs="Calibri" w:eastAsia="Calibri" w:hAnsi="Calibri"/>
                <w:b/>
                <w:bCs/>
                <w:caps/>
                <w:color w:val="6A7A92"/>
                <w:spacing w:val="10"/>
                <w:sz w:val="15"/>
                <w:szCs w:val="15"/>
              </w:rPr>
              <w:t xml:space="preserve">Indore stores targeted</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Year 2</w:t>
            </w:r>
          </w:p>
          <w:p>
            <w:pPr>
              <w:spacing w:after="0"/>
              <w:jc w:val="center"/>
            </w:pPr>
            <w:r>
              <w:rPr>
                <w:rFonts w:ascii="Calibri" w:cs="Calibri" w:eastAsia="Calibri" w:hAnsi="Calibri"/>
                <w:b/>
                <w:bCs/>
                <w:caps/>
                <w:color w:val="6A7A92"/>
                <w:spacing w:val="10"/>
                <w:sz w:val="15"/>
                <w:szCs w:val="15"/>
              </w:rPr>
              <w:t xml:space="preserve">Contribution-positive*</w:t>
            </w:r>
          </w:p>
        </w:tc>
      </w:tr>
    </w:tbl>
    <w:p>
      <w:pPr>
        <w:spacing w:after="30"/>
      </w:pPr>
      <w:r>
        <w:rPr>
          <w:sz w:val="2"/>
          <w:szCs w:val="2"/>
        </w:rPr>
        <w:t xml:space="preserve"/>
      </w:r>
    </w:p>
    <w:p>
      <w:pPr>
        <w:spacing w:after="90" w:before="0" w:line="276"/>
        <w:jc w:val="left"/>
      </w:pPr>
      <w:r>
        <w:rPr>
          <w:rFonts w:ascii="Calibri" w:cs="Calibri" w:eastAsia="Calibri" w:hAnsi="Calibri"/>
          <w:color w:val="1A2433"/>
          <w:sz w:val="21"/>
          <w:szCs w:val="21"/>
        </w:rPr>
        <w:t xml:space="preserve">The model assumes this target conversion, benchmarked to quick-commerce norms — shown so it can be tested against live data once Indore launches:</w:t>
      </w:r>
    </w:p>
    <w:p>
      <w:pPr>
        <w:spacing w:after="120" w:before="60" w:line="240" w:lineRule="auto"/>
        <w:jc w:val="center"/>
      </w:pPr>
      <w:r>
        <w:drawing>
          <wp:inline distT="0" distB="0" distL="0" distR="0">
            <wp:extent cx="4762500" cy="24003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400300"/>
                    </a:xfrm>
                    <a:prstGeom prst="rect">
                      <a:avLst/>
                    </a:prstGeom>
                  </pic:spPr>
                </pic:pic>
              </a:graphicData>
            </a:graphic>
          </wp:inline>
        </w:drawing>
      </w:r>
    </w:p>
    <w:p>
      <w:pPr>
        <w:spacing w:after="170" w:before="20"/>
        <w:jc w:val="center"/>
      </w:pPr>
      <w:r>
        <w:rPr>
          <w:rFonts w:ascii="Calibri" w:cs="Calibri" w:eastAsia="Calibri" w:hAnsi="Calibri"/>
          <w:i/>
          <w:iCs/>
          <w:color w:val="6A7A92"/>
          <w:sz w:val="17"/>
          <w:szCs w:val="17"/>
        </w:rPr>
        <w:t xml:space="preserve">Figure 2 — Target conversion funnel (model basis; pre-launch, not yet realised).</w:t>
      </w:r>
    </w:p>
    <w:p>
      <w:pPr>
        <w:spacing w:after="130" w:before="0" w:line="276"/>
        <w:jc w:val="left"/>
      </w:pPr>
      <w:r>
        <w:rPr>
          <w:rFonts w:ascii="Calibri" w:cs="Calibri" w:eastAsia="Calibri" w:hAnsi="Calibri"/>
          <w:b/>
          <w:bCs/>
          <w:color w:val="13233B"/>
          <w:sz w:val="21"/>
          <w:szCs w:val="21"/>
        </w:rPr>
        <w:t xml:space="preserve">Product is built, not promised. </w:t>
      </w:r>
      <w:r>
        <w:rPr>
          <w:rFonts w:ascii="Calibri" w:cs="Calibri" w:eastAsia="Calibri" w:hAnsi="Calibri"/>
          <w:color w:val="1A2433"/>
          <w:sz w:val="21"/>
          <w:szCs w:val="21"/>
        </w:rPr>
        <w:t xml:space="preserve">The consumer app — browse, cart, all four delivery modes, virtual try-on, wallet, returns — is implemented; the retailer/admin dashboard and agent app are fully specified and in build. Against the pre-seed norm of a slide deck, a working app plus a complete operating spec is the benchmark — and it materially lowers execution risk.</w:t>
      </w:r>
    </w:p>
    <w:p>
      <w:pPr>
        <w:spacing w:after="130" w:before="0" w:line="276"/>
        <w:jc w:val="left"/>
      </w:pPr>
      <w:r>
        <w:rPr>
          <w:rFonts w:ascii="Calibri" w:cs="Calibri" w:eastAsia="Calibri" w:hAnsi="Calibri"/>
          <w:b/>
          <w:bCs/>
          <w:color w:val="13233B"/>
          <w:sz w:val="21"/>
          <w:szCs w:val="21"/>
        </w:rPr>
        <w:t xml:space="preserve">The operating model is documented end-to-end. </w:t>
      </w:r>
      <w:r>
        <w:rPr>
          <w:rFonts w:ascii="Calibri" w:cs="Calibri" w:eastAsia="Calibri" w:hAnsi="Calibri"/>
          <w:color w:val="1A2433"/>
          <w:sz w:val="21"/>
          <w:szCs w:val="21"/>
        </w:rPr>
        <w:t xml:space="preserve">Five reconciled playbooks — delivery &amp; fleet, returns &amp; held-items, commission &amp; payouts, store operations, and discount policy — already specify the hard edge cases (door-return disputes, COD reconciliation, held-item recourse). They were designed, not left to be discovered live in week one.</w:t>
      </w:r>
    </w:p>
    <w:p>
      <w:pPr>
        <w:spacing w:after="130" w:before="0" w:line="276"/>
        <w:jc w:val="left"/>
      </w:pPr>
      <w:r>
        <w:rPr>
          <w:rFonts w:ascii="Calibri" w:cs="Calibri" w:eastAsia="Calibri" w:hAnsi="Calibri"/>
          <w:b/>
          <w:bCs/>
          <w:color w:val="13233B"/>
          <w:sz w:val="21"/>
          <w:szCs w:val="21"/>
        </w:rPr>
        <w:t xml:space="preserve">The economics are grounded in benchmarks. </w:t>
      </w:r>
      <w:r>
        <w:rPr>
          <w:rFonts w:ascii="Calibri" w:cs="Calibri" w:eastAsia="Calibri" w:hAnsi="Calibri"/>
          <w:color w:val="1A2433"/>
          <w:sz w:val="21"/>
          <w:szCs w:val="21"/>
        </w:rPr>
        <w:t xml:space="preserve">The ₹700 launch AOV sits at the top of the quick-commerce range (Blinkit ₹625–709), the 20% commission is market-standard, and the model turns contribution-positive in Year 2 — inputs anchored to evidence rather than optimism.</w:t>
      </w:r>
    </w:p>
    <w:p>
      <w:pPr>
        <w:spacing w:after="130" w:before="0" w:line="276"/>
        <w:jc w:val="left"/>
      </w:pPr>
      <w:r>
        <w:rPr>
          <w:rFonts w:ascii="Calibri" w:cs="Calibri" w:eastAsia="Calibri" w:hAnsi="Calibri"/>
          <w:b/>
          <w:bCs/>
          <w:color w:val="13233B"/>
          <w:sz w:val="21"/>
          <w:szCs w:val="21"/>
        </w:rPr>
        <w:t xml:space="preserve">Indore is launch-ready: </w:t>
      </w:r>
      <w:r>
        <w:rPr>
          <w:rFonts w:ascii="Calibri" w:cs="Calibri" w:eastAsia="Calibri" w:hAnsi="Calibri"/>
          <w:color w:val="1A2433"/>
          <w:sz w:val="21"/>
          <w:szCs w:val="21"/>
        </w:rPr>
        <w:t xml:space="preserve">city selected, ~100 partner stores targeted, the zone plan and three-agent fleet defined, and a billing-integration playbook written for putting stores onto live inventory sync from day one.</w:t>
      </w:r>
    </w:p>
    <w:p>
      <w:pPr>
        <w:spacing w:after="60" w:before="0" w:line="276"/>
        <w:jc w:val="left"/>
      </w:pPr>
      <w:r>
        <w:rPr>
          <w:rFonts w:ascii="Calibri" w:cs="Calibri" w:eastAsia="Calibri" w:hAnsi="Calibri"/>
          <w:i/>
          <w:iCs/>
          <w:color w:val="6A7A92"/>
          <w:sz w:val="17"/>
          <w:szCs w:val="17"/>
        </w:rPr>
        <w:t>* Modeled, pre-launch. Trendzo has not yet begun commercial operations; figures marked modeled are projections from §9, not realised results.</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Each point converts a claim from §2–§3 into a demonstrated fact: the returns thesis is encoded in the door-return SOP, the asset-light claim is backed by the POS-sync model, the economics claim is reconciled and benchmarked. Live operating metrics are the milestone this round buys (§10).</w:t>
      </w:r>
    </w:p>
    <w:p>
      <w:pPr>
        <w:pStyle w:val="Heading1"/>
        <w:keepNext/>
        <w:keepLines/>
      </w:pPr>
      <w:bookmarkStart w:name="s6" w:id="1005"/>
      <w:r>
        <w:rPr>
          <w:rFonts w:ascii="Georgia" w:cs="Georgia" w:eastAsia="Georgia" w:hAnsi="Georgia"/>
          <w:b/>
          <w:bCs/>
          <w:color w:val="D6336C"/>
        </w:rPr>
        <w:t xml:space="preserve">6  </w:t>
      </w:r>
      <w:bookmarkEnd w:id="1005"/>
      <w:r>
        <w:rPr>
          <w:rFonts w:ascii="Georgia" w:cs="Georgia" w:eastAsia="Georgia" w:hAnsi="Georgia"/>
          <w:b/>
          <w:bCs/>
          <w:color w:val="13233B"/>
        </w:rPr>
        <w:t xml:space="preserve">Business Model &amp; Unit Economics</w:t>
      </w:r>
    </w:p>
    <w:p>
      <w:pPr>
        <w:keepNext/>
        <w:spacing w:after="170" w:before="40" w:line="276"/>
      </w:pPr>
      <w:r>
        <w:rPr>
          <w:rFonts w:ascii="Georgia" w:cs="Georgia" w:eastAsia="Georgia" w:hAnsi="Georgia"/>
          <w:i/>
          <w:iCs/>
          <w:color w:val="31486A"/>
          <w:sz w:val="23"/>
          <w:szCs w:val="23"/>
        </w:rPr>
        <w:t xml:space="preserve">Trendzo earns on every order through commission and delivery, and the per-order math is built to be audited line by line — not summarised.</w:t>
      </w:r>
    </w:p>
    <w:p>
      <w:pPr>
        <w:pStyle w:val="Heading2"/>
        <w:keepNext/>
      </w:pPr>
      <w:r>
        <w:rPr>
          <w:rFonts w:ascii="Georgia" w:cs="Georgia" w:eastAsia="Georgia" w:hAnsi="Georgia"/>
          <w:b/>
          <w:bCs/>
          <w:color w:val="31486A"/>
        </w:rPr>
        <w:t xml:space="preserve">Revenue streams</w:t>
      </w:r>
    </w:p>
    <w:p>
      <w:pPr>
        <w:spacing w:after="130" w:before="0" w:line="276"/>
        <w:jc w:val="left"/>
      </w:pPr>
      <w:r>
        <w:rPr>
          <w:rFonts w:ascii="Calibri" w:cs="Calibri" w:eastAsia="Calibri" w:hAnsi="Calibri"/>
          <w:b/>
          <w:bCs/>
          <w:color w:val="13233B"/>
          <w:sz w:val="21"/>
          <w:szCs w:val="21"/>
        </w:rPr>
        <w:t xml:space="preserve">Commission — the primary stream. </w:t>
      </w:r>
      <w:r>
        <w:rPr>
          <w:rFonts w:ascii="Calibri" w:cs="Calibri" w:eastAsia="Calibri" w:hAnsi="Calibri"/>
          <w:color w:val="1A2433"/>
          <w:sz w:val="21"/>
          <w:szCs w:val="21"/>
        </w:rPr>
        <w:t xml:space="preserve">Trendzo takes a percentage of every order’s full pre-discount value; the retailer keeps the rest and is kept whole, because Trendzo absorbs the discounts. The rate is </w:t>
      </w:r>
      <w:r>
        <w:rPr>
          <w:rFonts w:ascii="Calibri" w:cs="Calibri" w:eastAsia="Calibri" w:hAnsi="Calibri"/>
          <w:b/>
          <w:bCs/>
          <w:color w:val="D6336C"/>
          <w:sz w:val="21"/>
          <w:szCs w:val="21"/>
        </w:rPr>
        <w:t xml:space="preserve">20% standard, blending to 18% by Year 5</w:t>
      </w:r>
      <w:r>
        <w:rPr>
          <w:rFonts w:ascii="Calibri" w:cs="Calibri" w:eastAsia="Calibri" w:hAnsi="Calibri"/>
          <w:color w:val="1A2433"/>
          <w:sz w:val="21"/>
          <w:szCs w:val="21"/>
        </w:rPr>
        <w:t xml:space="preserve"> as larger stores negotiate.</w:t>
      </w:r>
    </w:p>
    <w:p>
      <w:pPr>
        <w:spacing w:after="130" w:before="0" w:line="276"/>
        <w:jc w:val="left"/>
      </w:pPr>
      <w:r>
        <w:rPr>
          <w:rFonts w:ascii="Calibri" w:cs="Calibri" w:eastAsia="Calibri" w:hAnsi="Calibri"/>
          <w:b/>
          <w:bCs/>
          <w:color w:val="13233B"/>
          <w:sz w:val="21"/>
          <w:szCs w:val="21"/>
        </w:rPr>
        <w:t xml:space="preserve">Delivery fees. </w:t>
      </w:r>
      <w:r>
        <w:rPr>
          <w:rFonts w:ascii="Calibri" w:cs="Calibri" w:eastAsia="Calibri" w:hAnsi="Calibri"/>
          <w:color w:val="1A2433"/>
          <w:sz w:val="21"/>
          <w:szCs w:val="21"/>
        </w:rPr>
        <w:t xml:space="preserve">A per-order fee by method — standard free, express ₹29, Try-and-Buy ₹49, pickup free — net of a free first delivery for every new shopper, giving an effective ₹12 rising to ₹16 per order.</w:t>
      </w:r>
    </w:p>
    <w:p>
      <w:pPr>
        <w:spacing w:after="130" w:before="0" w:line="276"/>
        <w:jc w:val="left"/>
      </w:pPr>
      <w:r>
        <w:rPr>
          <w:rFonts w:ascii="Calibri" w:cs="Calibri" w:eastAsia="Calibri" w:hAnsi="Calibri"/>
          <w:b/>
          <w:bCs/>
          <w:color w:val="13233B"/>
          <w:sz w:val="21"/>
          <w:szCs w:val="21"/>
        </w:rPr>
        <w:t xml:space="preserve">Ads / sponsored placement (Year 3+). </w:t>
      </w:r>
      <w:r>
        <w:rPr>
          <w:rFonts w:ascii="Calibri" w:cs="Calibri" w:eastAsia="Calibri" w:hAnsi="Calibri"/>
          <w:color w:val="1A2433"/>
          <w:sz w:val="21"/>
          <w:szCs w:val="21"/>
        </w:rPr>
        <w:t xml:space="preserve">Promoted listings at 0.5% → 1.5% of GMV: small and diversifying, switched on once GMV is large enough to matter. The retailer’s 80% share, GST and TCS all flow through Trendzo and are never booked as its revenue.</w:t>
      </w:r>
    </w:p>
    <w:p>
      <w:pPr>
        <w:pStyle w:val="Heading2"/>
        <w:keepNext/>
      </w:pPr>
      <w:r>
        <w:rPr>
          <w:rFonts w:ascii="Georgia" w:cs="Georgia" w:eastAsia="Georgia" w:hAnsi="Georgia"/>
          <w:b/>
          <w:bCs/>
          <w:color w:val="31486A"/>
        </w:rPr>
        <w:t xml:space="preserve">Unit economics — the per-order waterfall</w:t>
      </w:r>
    </w:p>
    <w:p>
      <w:pPr>
        <w:spacing w:after="90" w:before="0" w:line="276"/>
        <w:jc w:val="left"/>
      </w:pPr>
      <w:r>
        <w:rPr>
          <w:rFonts w:ascii="Calibri" w:cs="Calibri" w:eastAsia="Calibri" w:hAnsi="Calibri"/>
          <w:color w:val="1A2433"/>
          <w:sz w:val="21"/>
          <w:szCs w:val="21"/>
        </w:rPr>
        <w:t xml:space="preserve">A representative ₹700 express order, on Year-1 costs, traced top to bottom:</w:t>
      </w:r>
    </w:p>
    <w:tbl>
      <w:tblPr>
        <w:tblW w:type="dxa" w:w="9360"/>
        <w:tblBorders>
          <w:top w:val="none"/>
          <w:left w:val="none"/>
          <w:bottom w:val="none"/>
          <w:right w:val="none"/>
          <w:insideH w:val="none"/>
          <w:insideV w:val="none"/>
        </w:tblBorders>
      </w:tblPr>
      <w:tblGrid>
        <w:gridCol w:w="7660"/>
        <w:gridCol w:w="1700"/>
      </w:tblGrid>
      <w:tr>
        <w:trPr>
          <w:cantSplit/>
          <w:tblHeader/>
        </w:trPr>
        <w:tc>
          <w:tcPr>
            <w:tcW w:type="dxa" w:w="76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Per-order line (₹700 express order, Year 1)</w:t>
            </w:r>
          </w:p>
        </w:tc>
        <w:tc>
          <w:tcPr>
            <w:tcW w:type="dxa" w:w="170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w:t>
            </w:r>
          </w:p>
        </w:tc>
      </w:tr>
      <w:tr>
        <w:trPr>
          <w:cantSplit/>
        </w:trPr>
        <w:tc>
          <w:tcPr>
            <w:tcW w:type="dxa" w:w="76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Order value (GMV)</w:t>
            </w:r>
          </w:p>
        </w:tc>
        <w:tc>
          <w:tcPr>
            <w:tcW w:type="dxa" w:w="170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bCs/>
                <w:color w:val="13233B"/>
                <w:sz w:val="18"/>
                <w:szCs w:val="18"/>
              </w:rPr>
              <w:t xml:space="preserve">700</w:t>
            </w:r>
          </w:p>
        </w:tc>
      </w:tr>
      <w:tr>
        <w:trPr>
          <w:cantSplit/>
        </w:trPr>
        <w:tc>
          <w:tcPr>
            <w:tcW w:type="dxa" w:w="76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Commission (20%)</w:t>
            </w:r>
          </w:p>
        </w:tc>
        <w:tc>
          <w:tcPr>
            <w:tcW w:type="dxa" w:w="170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+140</w:t>
            </w:r>
          </w:p>
        </w:tc>
      </w:tr>
      <w:tr>
        <w:trPr>
          <w:cantSplit/>
        </w:trPr>
        <w:tc>
          <w:tcPr>
            <w:tcW w:type="dxa" w:w="76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Delivery fee (express)</w:t>
            </w:r>
          </w:p>
        </w:tc>
        <w:tc>
          <w:tcPr>
            <w:tcW w:type="dxa" w:w="170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+29</w:t>
            </w:r>
          </w:p>
        </w:tc>
      </w:tr>
      <w:tr>
        <w:trPr>
          <w:cantSplit/>
        </w:trPr>
        <w:tc>
          <w:tcPr>
            <w:tcW w:type="dxa" w:w="76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Gross revenue to Trendzo</w:t>
            </w:r>
          </w:p>
        </w:tc>
        <w:tc>
          <w:tcPr>
            <w:tcW w:type="dxa" w:w="170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13233B"/>
                <w:sz w:val="18"/>
                <w:szCs w:val="18"/>
              </w:rPr>
              <w:t xml:space="preserve">169</w:t>
            </w:r>
          </w:p>
        </w:tc>
      </w:tr>
      <w:tr>
        <w:trPr>
          <w:cantSplit/>
        </w:trPr>
        <w:tc>
          <w:tcPr>
            <w:tcW w:type="dxa" w:w="76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Discount absorbed (12% of order)</w:t>
            </w:r>
          </w:p>
        </w:tc>
        <w:tc>
          <w:tcPr>
            <w:tcW w:type="dxa" w:w="170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−84</w:t>
            </w:r>
          </w:p>
        </w:tc>
      </w:tr>
      <w:tr>
        <w:trPr>
          <w:cantSplit/>
        </w:trPr>
        <w:tc>
          <w:tcPr>
            <w:tcW w:type="dxa" w:w="76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Payment processing (2%)</w:t>
            </w:r>
          </w:p>
        </w:tc>
        <w:tc>
          <w:tcPr>
            <w:tcW w:type="dxa" w:w="170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−12</w:t>
            </w:r>
          </w:p>
        </w:tc>
      </w:tr>
      <w:tr>
        <w:trPr>
          <w:cantSplit/>
        </w:trPr>
        <w:tc>
          <w:tcPr>
            <w:tcW w:type="dxa" w:w="76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Delivery cost (Year-1 fleet)</w:t>
            </w:r>
          </w:p>
        </w:tc>
        <w:tc>
          <w:tcPr>
            <w:tcW w:type="dxa" w:w="170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−57</w:t>
            </w:r>
          </w:p>
        </w:tc>
      </w:tr>
      <w:tr>
        <w:trPr>
          <w:cantSplit/>
        </w:trPr>
        <w:tc>
          <w:tcPr>
            <w:tcW w:type="dxa" w:w="766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Contribution (this order)</w:t>
            </w:r>
          </w:p>
        </w:tc>
        <w:tc>
          <w:tcPr>
            <w:tcW w:type="dxa" w:w="170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+16</w:t>
            </w:r>
          </w:p>
        </w:tc>
      </w:tr>
    </w:tbl>
    <w:p>
      <w:pPr>
        <w:spacing w:after="170" w:before="20"/>
        <w:jc w:val="center"/>
      </w:pPr>
      <w:r>
        <w:rPr>
          <w:rFonts w:ascii="Calibri" w:cs="Calibri" w:eastAsia="Calibri" w:hAnsi="Calibri"/>
          <w:i/>
          <w:iCs/>
          <w:color w:val="6A7A92"/>
          <w:sz w:val="17"/>
          <w:szCs w:val="17"/>
        </w:rPr>
        <w:t xml:space="preserve">Table 1 — Per-order contribution waterfall (clean paid express order).</w:t>
      </w:r>
    </w:p>
    <w:p>
      <w:pPr>
        <w:spacing w:after="130" w:before="0" w:line="276"/>
        <w:jc w:val="left"/>
      </w:pPr>
      <w:r>
        <w:rPr>
          <w:rFonts w:ascii="Calibri" w:cs="Calibri" w:eastAsia="Calibri" w:hAnsi="Calibri"/>
          <w:color w:val="1A2433"/>
          <w:sz w:val="21"/>
          <w:szCs w:val="21"/>
        </w:rPr>
        <w:t xml:space="preserve">That +₹16 is a clean paid order. The </w:t>
      </w:r>
      <w:r>
        <w:rPr>
          <w:rFonts w:ascii="Calibri" w:cs="Calibri" w:eastAsia="Calibri" w:hAnsi="Calibri"/>
          <w:i/>
          <w:iCs/>
          <w:color w:val="13233B"/>
          <w:sz w:val="21"/>
          <w:szCs w:val="21"/>
        </w:rPr>
        <w:t xml:space="preserve">blended</w:t>
      </w:r>
      <w:r>
        <w:rPr>
          <w:rFonts w:ascii="Calibri" w:cs="Calibri" w:eastAsia="Calibri" w:hAnsi="Calibri"/>
          <w:color w:val="1A2433"/>
          <w:sz w:val="21"/>
          <w:szCs w:val="21"/>
        </w:rPr>
        <w:t xml:space="preserve"> Year-1 contribution is about </w:t>
      </w:r>
      <w:r>
        <w:rPr>
          <w:rFonts w:ascii="Calibri" w:cs="Calibri" w:eastAsia="Calibri" w:hAnsi="Calibri"/>
          <w:b/>
          <w:bCs/>
          <w:color w:val="B23A3A"/>
          <w:sz w:val="21"/>
          <w:szCs w:val="21"/>
        </w:rPr>
        <w:t xml:space="preserve">−₹2 per order</w:t>
      </w:r>
      <w:r>
        <w:rPr>
          <w:rFonts w:ascii="Calibri" w:cs="Calibri" w:eastAsia="Calibri" w:hAnsi="Calibri"/>
          <w:color w:val="1A2433"/>
          <w:sz w:val="21"/>
          <w:szCs w:val="21"/>
        </w:rPr>
        <w:t xml:space="preserve"> — free-standard and pickup orders dilute it — but it turns positive in Year 2 and climbs to </w:t>
      </w:r>
      <w:r>
        <w:rPr>
          <w:rFonts w:ascii="Calibri" w:cs="Calibri" w:eastAsia="Calibri" w:hAnsi="Calibri"/>
          <w:b/>
          <w:bCs/>
          <w:color w:val="0E9F6E"/>
          <w:sz w:val="21"/>
          <w:szCs w:val="21"/>
        </w:rPr>
        <w:t xml:space="preserve">+₹95 by Year 5</w:t>
      </w:r>
      <w:r>
        <w:rPr>
          <w:rFonts w:ascii="Calibri" w:cs="Calibri" w:eastAsia="Calibri" w:hAnsi="Calibri"/>
          <w:color w:val="1A2433"/>
          <w:sz w:val="21"/>
          <w:szCs w:val="21"/>
        </w:rPr>
        <w:t xml:space="preserve">.</w:t>
      </w:r>
    </w:p>
    <w:p>
      <w:pPr>
        <w:pStyle w:val="Heading2"/>
        <w:keepNext/>
      </w:pPr>
      <w:r>
        <w:rPr>
          <w:rFonts w:ascii="Georgia" w:cs="Georgia" w:eastAsia="Georgia" w:hAnsi="Georgia"/>
          <w:b/>
          <w:bCs/>
          <w:color w:val="31486A"/>
        </w:rPr>
        <w:t xml:space="preserve">Operating leverage — why the economics improve with scale</w:t>
      </w:r>
    </w:p>
    <w:p>
      <w:pPr>
        <w:spacing w:after="130" w:before="0" w:line="276"/>
        <w:jc w:val="left"/>
      </w:pPr>
      <w:r>
        <w:rPr>
          <w:rFonts w:ascii="Calibri" w:cs="Calibri" w:eastAsia="Calibri" w:hAnsi="Calibri"/>
          <w:color w:val="1A2433"/>
          <w:sz w:val="21"/>
          <w:szCs w:val="21"/>
        </w:rPr>
        <w:t xml:space="preserve">Two forces compound. Commission scales with basket size as AOV grows ₹700 → ₹900, while delivery cost per order </w:t>
      </w:r>
      <w:r>
        <w:rPr>
          <w:rFonts w:ascii="Calibri" w:cs="Calibri" w:eastAsia="Calibri" w:hAnsi="Calibri"/>
          <w:i/>
          <w:iCs/>
          <w:color w:val="13233B"/>
          <w:sz w:val="21"/>
          <w:szCs w:val="21"/>
        </w:rPr>
        <w:t xml:space="preserve">falls</w:t>
      </w:r>
      <w:r>
        <w:rPr>
          <w:rFonts w:ascii="Calibri" w:cs="Calibri" w:eastAsia="Calibri" w:hAnsi="Calibri"/>
          <w:color w:val="1A2433"/>
          <w:sz w:val="21"/>
          <w:szCs w:val="21"/>
        </w:rPr>
        <w:t xml:space="preserve"> as each salaried agent fills more of their daily capacity; meanwhile discount absorption tapers from 12% to 4% of GMV and fixed overhead grows far slower than GMV. Contribution per order therefore rises from −₹2 to +₹95, and EBITDA margin reaches 18%.</w:t>
      </w:r>
    </w:p>
    <w:p>
      <w:pPr>
        <w:spacing w:after="10"/>
      </w:pPr>
      <w:r>
        <w:rPr>
          <w:sz w:val="2"/>
          <w:szCs w:val="2"/>
        </w:rPr>
        <w:t xml:space="preserve"/>
      </w:r>
    </w:p>
    <w:tbl>
      <w:tblPr>
        <w:tblW w:type="dxa" w:w="9360"/>
        <w:tblBorders>
          <w:top w:val="none"/>
          <w:left w:val="none"/>
          <w:bottom w:val="none"/>
          <w:right w:val="none"/>
          <w:insideH w:val="none"/>
          <w:insideV w:val="none"/>
        </w:tblBorders>
      </w:tblPr>
      <w:tblGrid>
        <w:gridCol w:w="2340"/>
        <w:gridCol w:w="2340"/>
        <w:gridCol w:w="2340"/>
        <w:gridCol w:w="2340"/>
      </w:tblGrid>
      <w:tr>
        <w:trPr>
          <w:cantSplit/>
        </w:trPr>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₹184</w:t>
            </w:r>
          </w:p>
          <w:p>
            <w:pPr>
              <w:spacing w:after="0"/>
              <w:jc w:val="center"/>
            </w:pPr>
            <w:r>
              <w:rPr>
                <w:rFonts w:ascii="Calibri" w:cs="Calibri" w:eastAsia="Calibri" w:hAnsi="Calibri"/>
                <w:b/>
                <w:bCs/>
                <w:caps/>
                <w:color w:val="6A7A92"/>
                <w:spacing w:val="10"/>
                <w:sz w:val="15"/>
                <w:szCs w:val="15"/>
              </w:rPr>
              <w:t xml:space="preserve">CAC (mature)</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₹685</w:t>
            </w:r>
          </w:p>
          <w:p>
            <w:pPr>
              <w:spacing w:after="0"/>
              <w:jc w:val="center"/>
            </w:pPr>
            <w:r>
              <w:rPr>
                <w:rFonts w:ascii="Calibri" w:cs="Calibri" w:eastAsia="Calibri" w:hAnsi="Calibri"/>
                <w:b/>
                <w:bCs/>
                <w:caps/>
                <w:color w:val="6A7A92"/>
                <w:spacing w:val="10"/>
                <w:sz w:val="15"/>
                <w:szCs w:val="15"/>
              </w:rPr>
              <w:t xml:space="preserve">LTV — paying</w:t>
            </w:r>
          </w:p>
        </w:tc>
        <w:tc>
          <w:tcPr>
            <w:tcW w:type="dxa" w:w="2340"/>
            <w:tcBorders>
              <w:top w:val="single" w:color="FFFFFF" w:sz="26"/>
              <w:left w:val="single" w:color="FFFFFF" w:sz="26"/>
              <w:bottom w:val="single" w:color="FFFFFF" w:sz="26"/>
              <w:right w:val="single" w:color="FFFFFF" w:sz="26"/>
            </w:tcBorders>
            <w:shd w:fill="D6336C"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FFFFFF"/>
                <w:sz w:val="34"/>
                <w:szCs w:val="34"/>
              </w:rPr>
              <w:t xml:space="preserve">3.7×</w:t>
            </w:r>
          </w:p>
          <w:p>
            <w:pPr>
              <w:spacing w:after="0"/>
              <w:jc w:val="center"/>
            </w:pPr>
            <w:r>
              <w:rPr>
                <w:rFonts w:ascii="Calibri" w:cs="Calibri" w:eastAsia="Calibri" w:hAnsi="Calibri"/>
                <w:b/>
                <w:bCs/>
                <w:caps/>
                <w:color w:val="FBE3EC"/>
                <w:spacing w:val="10"/>
                <w:sz w:val="15"/>
                <w:szCs w:val="15"/>
              </w:rPr>
              <w:t xml:space="preserve">LTV : CAC</w:t>
            </w:r>
          </w:p>
        </w:tc>
        <w:tc>
          <w:tcPr>
            <w:tcW w:type="dxa" w:w="2340"/>
            <w:tcBorders>
              <w:top w:val="single" w:color="FFFFFF" w:sz="26"/>
              <w:left w:val="single" w:color="FFFFFF" w:sz="26"/>
              <w:bottom w:val="single" w:color="FFFFFF" w:sz="26"/>
              <w:right w:val="single" w:color="FFFFFF" w:sz="26"/>
            </w:tcBorders>
            <w:shd w:fill="F4F6F9" w:color="auto" w:val="clear"/>
            <w:tcMar>
              <w:top w:type="dxa" w:w="170"/>
              <w:left w:type="dxa" w:w="110"/>
              <w:bottom w:type="dxa" w:w="150"/>
              <w:right w:type="dxa" w:w="110"/>
            </w:tcMar>
            <w:vAlign w:val="center"/>
          </w:tcPr>
          <w:p>
            <w:pPr>
              <w:spacing w:after="30"/>
              <w:jc w:val="center"/>
            </w:pPr>
            <w:r>
              <w:rPr>
                <w:rFonts w:ascii="Georgia" w:cs="Georgia" w:eastAsia="Georgia" w:hAnsi="Georgia"/>
                <w:b/>
                <w:bCs/>
                <w:color w:val="13233B"/>
                <w:sz w:val="34"/>
                <w:szCs w:val="34"/>
              </w:rPr>
              <w:t xml:space="preserve">5.8 mo</w:t>
            </w:r>
          </w:p>
          <w:p>
            <w:pPr>
              <w:spacing w:after="0"/>
              <w:jc w:val="center"/>
            </w:pPr>
            <w:r>
              <w:rPr>
                <w:rFonts w:ascii="Calibri" w:cs="Calibri" w:eastAsia="Calibri" w:hAnsi="Calibri"/>
                <w:b/>
                <w:bCs/>
                <w:caps/>
                <w:color w:val="6A7A92"/>
                <w:spacing w:val="10"/>
                <w:sz w:val="15"/>
                <w:szCs w:val="15"/>
              </w:rPr>
              <w:t xml:space="preserve">CAC payback</w:t>
            </w:r>
          </w:p>
        </w:tc>
      </w:tr>
    </w:tbl>
    <w:p>
      <w:pPr>
        <w:spacing w:after="30"/>
      </w:pPr>
      <w:r>
        <w:rPr>
          <w:sz w:val="2"/>
          <w:szCs w:val="2"/>
        </w:rPr>
        <w:t xml:space="preserve"/>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Follow the arithmetic, don’t take the answer: a clean order already nets +₹16, and operating leverage — not a new revenue line — carries the model from breakeven-per-order to a 3.7× LTV:CAC. Full line items for all five years are in the Appendix.</w:t>
      </w:r>
    </w:p>
    <w:p>
      <w:pPr>
        <w:pStyle w:val="Heading1"/>
        <w:keepNext/>
        <w:keepLines/>
        <w:pageBreakBefore/>
      </w:pPr>
      <w:bookmarkStart w:name="s7" w:id="1006"/>
      <w:r>
        <w:rPr>
          <w:rFonts w:ascii="Georgia" w:cs="Georgia" w:eastAsia="Georgia" w:hAnsi="Georgia"/>
          <w:b/>
          <w:bCs/>
          <w:color w:val="D6336C"/>
        </w:rPr>
        <w:t xml:space="preserve">7  </w:t>
      </w:r>
      <w:bookmarkEnd w:id="1006"/>
      <w:r>
        <w:rPr>
          <w:rFonts w:ascii="Georgia" w:cs="Georgia" w:eastAsia="Georgia" w:hAnsi="Georgia"/>
          <w:b/>
          <w:bCs/>
          <w:color w:val="13233B"/>
        </w:rPr>
        <w:t xml:space="preserve">Competitive Landscape</w:t>
      </w:r>
    </w:p>
    <w:p>
      <w:pPr>
        <w:keepNext/>
        <w:spacing w:after="170" w:before="40" w:line="276"/>
      </w:pPr>
      <w:r>
        <w:rPr>
          <w:rFonts w:ascii="Georgia" w:cs="Georgia" w:eastAsia="Georgia" w:hAnsi="Georgia"/>
          <w:i/>
          <w:iCs/>
          <w:color w:val="31486A"/>
          <w:sz w:val="23"/>
          <w:szCs w:val="23"/>
        </w:rPr>
        <w:t xml:space="preserve">Trendzo occupies a white space no incumbent is built for: same-hour apparel, try-before-you-pay, from local stores.</w:t>
      </w:r>
    </w:p>
    <w:p>
      <w:pPr>
        <w:spacing w:after="110" w:before="0" w:line="276"/>
        <w:jc w:val="left"/>
      </w:pPr>
      <w:r>
        <w:rPr>
          <w:rFonts w:ascii="Calibri" w:cs="Calibri" w:eastAsia="Calibri" w:hAnsi="Calibri"/>
          <w:color w:val="1A2433"/>
          <w:sz w:val="21"/>
          <w:szCs w:val="21"/>
        </w:rPr>
        <w:t xml:space="preserve">The grid below maps every adjacent model against the four things that define the category. Only Trendzo holds all four — and the gaps are structural, not features a competitor can switch on.</w:t>
      </w:r>
    </w:p>
    <w:tbl>
      <w:tblPr>
        <w:tblW w:type="dxa" w:w="9360"/>
        <w:tblBorders>
          <w:top w:val="none"/>
          <w:left w:val="none"/>
          <w:bottom w:val="none"/>
          <w:right w:val="none"/>
          <w:insideH w:val="none"/>
          <w:insideV w:val="none"/>
        </w:tblBorders>
      </w:tblPr>
      <w:tblGrid>
        <w:gridCol w:w="3060"/>
        <w:gridCol w:w="1680"/>
        <w:gridCol w:w="1620"/>
        <w:gridCol w:w="1620"/>
        <w:gridCol w:w="1380"/>
      </w:tblGrid>
      <w:tr>
        <w:trPr>
          <w:cantSplit/>
          <w:tblHeader/>
        </w:trPr>
        <w:tc>
          <w:tcPr>
            <w:tcW w:type="dxa" w:w="30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Player</w:t>
            </w:r>
          </w:p>
        </w:tc>
        <w:tc>
          <w:tcPr>
            <w:tcW w:type="dxa" w:w="16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1-hour delivery</w:t>
            </w:r>
          </w:p>
        </w:tc>
        <w:tc>
          <w:tcPr>
            <w:tcW w:type="dxa" w:w="162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Try-before-pay</w:t>
            </w:r>
          </w:p>
        </w:tc>
        <w:tc>
          <w:tcPr>
            <w:tcW w:type="dxa" w:w="162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Local-store stock</w:t>
            </w:r>
          </w:p>
        </w:tc>
        <w:tc>
          <w:tcPr>
            <w:tcW w:type="dxa" w:w="13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center"/>
            </w:pPr>
            <w:r>
              <w:rPr>
                <w:rFonts w:ascii="Calibri" w:cs="Calibri" w:eastAsia="Calibri" w:hAnsi="Calibri"/>
                <w:b/>
                <w:bCs/>
                <w:color w:val="FFFFFF"/>
                <w:sz w:val="18"/>
                <w:szCs w:val="18"/>
              </w:rPr>
              <w:t xml:space="preserve">Fashion focus</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Myntra / Ajio</w:t>
            </w:r>
          </w:p>
        </w:tc>
        <w:tc>
          <w:tcPr>
            <w:tcW w:type="dxa" w:w="16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62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62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3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0E9F6E"/>
                <w:sz w:val="18"/>
                <w:szCs w:val="18"/>
              </w:rPr>
              <w:t xml:space="preserve">Yes</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Blinkit / Zepto / Instamart</w:t>
            </w:r>
          </w:p>
        </w:tc>
        <w:tc>
          <w:tcPr>
            <w:tcW w:type="dxa" w:w="16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0E9F6E"/>
                <w:sz w:val="18"/>
                <w:szCs w:val="18"/>
              </w:rPr>
              <w:t xml:space="preserve">Yes</w:t>
            </w:r>
          </w:p>
        </w:tc>
        <w:tc>
          <w:tcPr>
            <w:tcW w:type="dxa" w:w="162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62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3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Amazon / Flipkart Fashion</w:t>
            </w:r>
          </w:p>
        </w:tc>
        <w:tc>
          <w:tcPr>
            <w:tcW w:type="dxa" w:w="16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62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9A6206"/>
                <w:sz w:val="18"/>
                <w:szCs w:val="18"/>
              </w:rPr>
              <w:t xml:space="preserve">Partial</w:t>
            </w:r>
          </w:p>
        </w:tc>
        <w:tc>
          <w:tcPr>
            <w:tcW w:type="dxa" w:w="162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No</w:t>
            </w:r>
          </w:p>
        </w:tc>
        <w:tc>
          <w:tcPr>
            <w:tcW w:type="dxa" w:w="13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center"/>
            </w:pPr>
            <w:r>
              <w:rPr>
                <w:rFonts w:ascii="Calibri" w:cs="Calibri" w:eastAsia="Calibri" w:hAnsi="Calibri"/>
                <w:color w:val="9A6206"/>
                <w:sz w:val="18"/>
                <w:szCs w:val="18"/>
              </w:rPr>
              <w:t xml:space="preserve">Partial</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Local boutiques (offline)</w:t>
            </w:r>
          </w:p>
        </w:tc>
        <w:tc>
          <w:tcPr>
            <w:tcW w:type="dxa" w:w="16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6A7A92"/>
                <w:sz w:val="18"/>
                <w:szCs w:val="18"/>
              </w:rPr>
              <w:t xml:space="preserve">—</w:t>
            </w:r>
          </w:p>
        </w:tc>
        <w:tc>
          <w:tcPr>
            <w:tcW w:type="dxa" w:w="162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0E9F6E"/>
                <w:sz w:val="18"/>
                <w:szCs w:val="18"/>
              </w:rPr>
              <w:t xml:space="preserve">Yes</w:t>
            </w:r>
          </w:p>
        </w:tc>
        <w:tc>
          <w:tcPr>
            <w:tcW w:type="dxa" w:w="162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0E9F6E"/>
                <w:sz w:val="18"/>
                <w:szCs w:val="18"/>
              </w:rPr>
              <w:t xml:space="preserve">Yes</w:t>
            </w:r>
          </w:p>
        </w:tc>
        <w:tc>
          <w:tcPr>
            <w:tcW w:type="dxa" w:w="13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center"/>
            </w:pPr>
            <w:r>
              <w:rPr>
                <w:rFonts w:ascii="Calibri" w:cs="Calibri" w:eastAsia="Calibri" w:hAnsi="Calibri"/>
                <w:color w:val="0E9F6E"/>
                <w:sz w:val="18"/>
                <w:szCs w:val="18"/>
              </w:rPr>
              <w:t xml:space="preserve">Yes</w:t>
            </w:r>
          </w:p>
        </w:tc>
      </w:tr>
      <w:tr>
        <w:trPr>
          <w:cantSplit/>
        </w:trPr>
        <w:tc>
          <w:tcPr>
            <w:tcW w:type="dxa" w:w="306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Trendzo</w:t>
            </w:r>
          </w:p>
        </w:tc>
        <w:tc>
          <w:tcPr>
            <w:tcW w:type="dxa" w:w="168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center"/>
            </w:pPr>
            <w:r>
              <w:rPr>
                <w:rFonts w:ascii="Calibri" w:cs="Calibri" w:eastAsia="Calibri" w:hAnsi="Calibri"/>
                <w:b/>
                <w:bCs/>
                <w:color w:val="0E9F6E"/>
                <w:sz w:val="18"/>
                <w:szCs w:val="18"/>
              </w:rPr>
              <w:t xml:space="preserve">Yes</w:t>
            </w:r>
          </w:p>
        </w:tc>
        <w:tc>
          <w:tcPr>
            <w:tcW w:type="dxa" w:w="162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center"/>
            </w:pPr>
            <w:r>
              <w:rPr>
                <w:rFonts w:ascii="Calibri" w:cs="Calibri" w:eastAsia="Calibri" w:hAnsi="Calibri"/>
                <w:b/>
                <w:bCs/>
                <w:color w:val="0E9F6E"/>
                <w:sz w:val="18"/>
                <w:szCs w:val="18"/>
              </w:rPr>
              <w:t xml:space="preserve">Yes</w:t>
            </w:r>
          </w:p>
        </w:tc>
        <w:tc>
          <w:tcPr>
            <w:tcW w:type="dxa" w:w="162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center"/>
            </w:pPr>
            <w:r>
              <w:rPr>
                <w:rFonts w:ascii="Calibri" w:cs="Calibri" w:eastAsia="Calibri" w:hAnsi="Calibri"/>
                <w:b/>
                <w:bCs/>
                <w:color w:val="0E9F6E"/>
                <w:sz w:val="18"/>
                <w:szCs w:val="18"/>
              </w:rPr>
              <w:t xml:space="preserve">Yes</w:t>
            </w:r>
          </w:p>
        </w:tc>
        <w:tc>
          <w:tcPr>
            <w:tcW w:type="dxa" w:w="1380"/>
            <w:tcBorders>
              <w:top w:val="none"/>
              <w:left w:val="none"/>
              <w:bottom w:val="single" w:color="E6EAF0" w:sz="4"/>
              <w:right w:val="none"/>
            </w:tcBorders>
            <w:shd w:fill="FBEAF1" w:color="auto" w:val="clear"/>
            <w:tcMar>
              <w:top w:type="dxa" w:w="80"/>
              <w:left w:type="dxa" w:w="130"/>
              <w:bottom w:type="dxa" w:w="80"/>
              <w:right w:type="dxa" w:w="130"/>
            </w:tcMar>
            <w:vAlign w:val="center"/>
          </w:tcPr>
          <w:p>
            <w:pPr>
              <w:jc w:val="center"/>
            </w:pPr>
            <w:r>
              <w:rPr>
                <w:rFonts w:ascii="Calibri" w:cs="Calibri" w:eastAsia="Calibri" w:hAnsi="Calibri"/>
                <w:b/>
                <w:bCs/>
                <w:color w:val="0E9F6E"/>
                <w:sz w:val="18"/>
                <w:szCs w:val="18"/>
              </w:rPr>
              <w:t xml:space="preserve">Yes</w:t>
            </w:r>
          </w:p>
        </w:tc>
      </w:tr>
    </w:tbl>
    <w:p>
      <w:pPr>
        <w:spacing w:after="170" w:before="20"/>
        <w:jc w:val="center"/>
      </w:pPr>
      <w:r>
        <w:rPr>
          <w:rFonts w:ascii="Calibri" w:cs="Calibri" w:eastAsia="Calibri" w:hAnsi="Calibri"/>
          <w:i/>
          <w:iCs/>
          <w:color w:val="6A7A92"/>
          <w:sz w:val="17"/>
          <w:szCs w:val="17"/>
        </w:rPr>
        <w:t xml:space="preserve">Table 2 — Where Trendzo sits against adjacent models.</w:t>
      </w:r>
    </w:p>
    <w:p>
      <w:pPr>
        <w:spacing w:after="130" w:before="0" w:line="276"/>
        <w:jc w:val="left"/>
      </w:pPr>
      <w:r>
        <w:rPr>
          <w:rFonts w:ascii="Calibri" w:cs="Calibri" w:eastAsia="Calibri" w:hAnsi="Calibri"/>
          <w:b/>
          <w:bCs/>
          <w:color w:val="13233B"/>
          <w:sz w:val="21"/>
          <w:szCs w:val="21"/>
        </w:rPr>
        <w:t xml:space="preserve">Online marketplaces (Myntra, Flipkart) </w:t>
      </w:r>
      <w:r>
        <w:rPr>
          <w:rFonts w:ascii="Calibri" w:cs="Calibri" w:eastAsia="Calibri" w:hAnsi="Calibri"/>
          <w:color w:val="1A2433"/>
          <w:sz w:val="21"/>
          <w:szCs w:val="21"/>
        </w:rPr>
        <w:t xml:space="preserve">are built around batch fulfilment from brand/own warehouses and a pay-first flow; door-side try-on at one-hour speed would require an in-house local fleet and store-level live inventory they do not operate.</w:t>
      </w:r>
    </w:p>
    <w:p>
      <w:pPr>
        <w:spacing w:after="130" w:before="0" w:line="276"/>
        <w:jc w:val="left"/>
      </w:pPr>
      <w:r>
        <w:rPr>
          <w:rFonts w:ascii="Calibri" w:cs="Calibri" w:eastAsia="Calibri" w:hAnsi="Calibri"/>
          <w:b/>
          <w:bCs/>
          <w:color w:val="13233B"/>
          <w:sz w:val="21"/>
          <w:szCs w:val="21"/>
        </w:rPr>
        <w:t xml:space="preserve">Quick-commerce (Blinkit, Zepto) </w:t>
      </w:r>
      <w:r>
        <w:rPr>
          <w:rFonts w:ascii="Calibri" w:cs="Calibri" w:eastAsia="Calibri" w:hAnsi="Calibri"/>
          <w:color w:val="1A2433"/>
          <w:sz w:val="21"/>
          <w:szCs w:val="21"/>
        </w:rPr>
        <w:t xml:space="preserve">runs owned grocery inventory in dark stores tuned for ambient SKUs; apparel’s size-and-colour variant depth and its try-on behaviour do not fit a dark-store picking model, and none offers try-before-you-pay.</w:t>
      </w:r>
    </w:p>
    <w:p>
      <w:pPr>
        <w:spacing w:after="130" w:before="0" w:line="276"/>
        <w:jc w:val="left"/>
      </w:pPr>
      <w:r>
        <w:rPr>
          <w:rFonts w:ascii="Calibri" w:cs="Calibri" w:eastAsia="Calibri" w:hAnsi="Calibri"/>
          <w:b/>
          <w:bCs/>
          <w:color w:val="13233B"/>
          <w:sz w:val="21"/>
          <w:szCs w:val="21"/>
        </w:rPr>
        <w:t xml:space="preserve">Local stores </w:t>
      </w:r>
      <w:r>
        <w:rPr>
          <w:rFonts w:ascii="Calibri" w:cs="Calibri" w:eastAsia="Calibri" w:hAnsi="Calibri"/>
          <w:color w:val="1A2433"/>
          <w:sz w:val="21"/>
          <w:szCs w:val="21"/>
        </w:rPr>
        <w:t xml:space="preserve">have the stock and the trust but cannot build technology and last-mile alone — which is precisely what Trendzo supplies, making them allies rather than rivals.</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The moat is structural — an in-house fleet, store-level inventory integration, and the Try-and-Buy operating system — not a checkbox. Replicating it means rebuilding architecture and re-aligning incentives, not shipping a feature.</w:t>
      </w:r>
    </w:p>
    <w:p>
      <w:pPr>
        <w:pStyle w:val="Heading1"/>
        <w:keepNext/>
        <w:keepLines/>
      </w:pPr>
      <w:bookmarkStart w:name="s8" w:id="1007"/>
      <w:r>
        <w:rPr>
          <w:rFonts w:ascii="Georgia" w:cs="Georgia" w:eastAsia="Georgia" w:hAnsi="Georgia"/>
          <w:b/>
          <w:bCs/>
          <w:color w:val="D6336C"/>
        </w:rPr>
        <w:t xml:space="preserve">8  </w:t>
      </w:r>
      <w:bookmarkEnd w:id="1007"/>
      <w:r>
        <w:rPr>
          <w:rFonts w:ascii="Georgia" w:cs="Georgia" w:eastAsia="Georgia" w:hAnsi="Georgia"/>
          <w:b/>
          <w:bCs/>
          <w:color w:val="13233B"/>
        </w:rPr>
        <w:t xml:space="preserve">Team</w:t>
      </w:r>
    </w:p>
    <w:p>
      <w:pPr>
        <w:keepNext/>
        <w:spacing w:after="170" w:before="40" w:line="276"/>
      </w:pPr>
      <w:r>
        <w:rPr>
          <w:rFonts w:ascii="Georgia" w:cs="Georgia" w:eastAsia="Georgia" w:hAnsi="Georgia"/>
          <w:i/>
          <w:iCs/>
          <w:color w:val="31486A"/>
          <w:sz w:val="23"/>
          <w:szCs w:val="23"/>
        </w:rPr>
        <w:t xml:space="preserve">Two founders, split cleanly across Trendzo’s two halves — the technology that runs it and the apparel supply that fills it.</w:t>
      </w:r>
    </w:p>
    <w:p>
      <w:pPr>
        <w:spacing w:after="130" w:before="0" w:line="276"/>
        <w:jc w:val="left"/>
      </w:pPr>
      <w:r>
        <w:rPr>
          <w:rFonts w:ascii="Calibri" w:cs="Calibri" w:eastAsia="Calibri" w:hAnsi="Calibri"/>
          <w:b/>
          <w:bCs/>
          <w:color w:val="13233B"/>
          <w:sz w:val="21"/>
          <w:szCs w:val="21"/>
        </w:rPr>
        <w:t xml:space="preserve">Akshat Jain — Founder &amp; CEO. </w:t>
      </w:r>
      <w:r>
        <w:rPr>
          <w:rFonts w:ascii="Calibri" w:cs="Calibri" w:eastAsia="Calibri" w:hAnsi="Calibri"/>
          <w:color w:val="1A2433"/>
          <w:sz w:val="21"/>
          <w:szCs w:val="21"/>
        </w:rPr>
        <w:t xml:space="preserve">Owns product, engineering, and fundraising. Has run a technology-services firm for over four years, delivering 40+ client projects end to end. </w:t>
      </w:r>
      <w:r>
        <w:rPr>
          <w:rFonts w:ascii="Calibri" w:cs="Calibri" w:eastAsia="Calibri" w:hAnsi="Calibri"/>
          <w:b/>
          <w:bCs/>
          <w:color w:val="D6336C"/>
          <w:sz w:val="21"/>
          <w:szCs w:val="21"/>
        </w:rPr>
        <w:t xml:space="preserve">Why it maps: </w:t>
      </w:r>
      <w:r>
        <w:rPr>
          <w:rFonts w:ascii="Calibri" w:cs="Calibri" w:eastAsia="Calibri" w:hAnsi="Calibri"/>
          <w:color w:val="1A2433"/>
          <w:sz w:val="21"/>
          <w:szCs w:val="21"/>
        </w:rPr>
        <w:t xml:space="preserve">Trendzo is, first, a software build — the consumer app, the retailer and admin dashboard, the agent app, and the routing engine. Shipping and supporting production software for dozens of clients is precisely the work of standing up and running that platform.</w:t>
      </w:r>
    </w:p>
    <w:p>
      <w:pPr>
        <w:spacing w:after="130" w:before="0" w:line="276"/>
        <w:jc w:val="left"/>
      </w:pPr>
      <w:r>
        <w:rPr>
          <w:rFonts w:ascii="Calibri" w:cs="Calibri" w:eastAsia="Calibri" w:hAnsi="Calibri"/>
          <w:b/>
          <w:bCs/>
          <w:color w:val="13233B"/>
          <w:sz w:val="21"/>
          <w:szCs w:val="21"/>
        </w:rPr>
        <w:t xml:space="preserve">Hardik Jain — Co-Founder &amp; COO. </w:t>
      </w:r>
      <w:r>
        <w:rPr>
          <w:rFonts w:ascii="Calibri" w:cs="Calibri" w:eastAsia="Calibri" w:hAnsi="Calibri"/>
          <w:color w:val="1A2433"/>
          <w:sz w:val="21"/>
          <w:szCs w:val="21"/>
        </w:rPr>
        <w:t xml:space="preserve">Owns supply, store onboarding, and operations. Comes from cloth manufacturing and the raw-materials side of the clothing industry. </w:t>
      </w:r>
      <w:r>
        <w:rPr>
          <w:rFonts w:ascii="Calibri" w:cs="Calibri" w:eastAsia="Calibri" w:hAnsi="Calibri"/>
          <w:b/>
          <w:bCs/>
          <w:color w:val="D6336C"/>
          <w:sz w:val="21"/>
          <w:szCs w:val="21"/>
        </w:rPr>
        <w:t xml:space="preserve">Why it maps: </w:t>
      </w:r>
      <w:r>
        <w:rPr>
          <w:rFonts w:ascii="Calibri" w:cs="Calibri" w:eastAsia="Calibri" w:hAnsi="Calibri"/>
          <w:color w:val="1A2433"/>
          <w:sz w:val="21"/>
          <w:szCs w:val="21"/>
        </w:rPr>
        <w:t xml:space="preserve">Trendzo’s hardest first-year job is signing up local apparel stores and moving their stock. Hardik already knows the garment supply chain, the people in it, and how clothing inventory actually flows — the relationships and operational base the marketplace is built on.</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The split is the point. Trendzo is a software platform wrapped around an apparel supply chain — Akshat owns the build, Hardik owns the stores and the supply. Between them they cover the two things that decide whether the model works.</w:t>
      </w:r>
    </w:p>
    <w:p>
      <w:pPr>
        <w:pStyle w:val="Heading1"/>
        <w:keepNext/>
        <w:keepLines/>
        <w:pageBreakBefore/>
      </w:pPr>
      <w:bookmarkStart w:name="s9" w:id="1008"/>
      <w:r>
        <w:rPr>
          <w:rFonts w:ascii="Georgia" w:cs="Georgia" w:eastAsia="Georgia" w:hAnsi="Georgia"/>
          <w:b/>
          <w:bCs/>
          <w:color w:val="D6336C"/>
        </w:rPr>
        <w:t xml:space="preserve">9  </w:t>
      </w:r>
      <w:bookmarkEnd w:id="1008"/>
      <w:r>
        <w:rPr>
          <w:rFonts w:ascii="Georgia" w:cs="Georgia" w:eastAsia="Georgia" w:hAnsi="Georgia"/>
          <w:b/>
          <w:bCs/>
          <w:color w:val="13233B"/>
        </w:rPr>
        <w:t xml:space="preserve">Financial Projections</w:t>
      </w:r>
    </w:p>
    <w:p>
      <w:pPr>
        <w:keepNext/>
        <w:spacing w:after="170" w:before="40" w:line="276"/>
      </w:pPr>
      <w:r>
        <w:rPr>
          <w:rFonts w:ascii="Georgia" w:cs="Georgia" w:eastAsia="Georgia" w:hAnsi="Georgia"/>
          <w:i/>
          <w:iCs/>
          <w:color w:val="31486A"/>
          <w:sz w:val="23"/>
          <w:szCs w:val="23"/>
        </w:rPr>
        <w:t xml:space="preserve">A reconciled five-year model, built bottom-up from cities, stores, orders and AOV — shown here in summary, with every driver stated so it can be stress-tested.</w:t>
      </w:r>
    </w:p>
    <w:tbl>
      <w:tblPr>
        <w:tblW w:type="dxa" w:w="9360"/>
        <w:tblBorders>
          <w:top w:val="none"/>
          <w:left w:val="none"/>
          <w:bottom w:val="none"/>
          <w:right w:val="none"/>
          <w:insideH w:val="none"/>
          <w:insideV w:val="none"/>
        </w:tblBorders>
      </w:tblPr>
      <w:tblGrid>
        <w:gridCol w:w="2960"/>
        <w:gridCol w:w="1280"/>
        <w:gridCol w:w="1280"/>
        <w:gridCol w:w="1280"/>
        <w:gridCol w:w="1280"/>
        <w:gridCol w:w="1280"/>
      </w:tblGrid>
      <w:tr>
        <w:trPr>
          <w:cantSplit/>
          <w:tblHeader/>
        </w:trPr>
        <w:tc>
          <w:tcPr>
            <w:tcW w:type="dxa" w:w="29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 crore</w:t>
            </w:r>
          </w:p>
        </w:tc>
        <w:tc>
          <w:tcPr>
            <w:tcW w:type="dxa" w:w="12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Year 1</w:t>
            </w:r>
          </w:p>
        </w:tc>
        <w:tc>
          <w:tcPr>
            <w:tcW w:type="dxa" w:w="12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Year 2</w:t>
            </w:r>
          </w:p>
        </w:tc>
        <w:tc>
          <w:tcPr>
            <w:tcW w:type="dxa" w:w="12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Year 3</w:t>
            </w:r>
          </w:p>
        </w:tc>
        <w:tc>
          <w:tcPr>
            <w:tcW w:type="dxa" w:w="12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Year 4</w:t>
            </w:r>
          </w:p>
        </w:tc>
        <w:tc>
          <w:tcPr>
            <w:tcW w:type="dxa" w:w="128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Year 5</w:t>
            </w:r>
          </w:p>
        </w:tc>
      </w:tr>
      <w:tr>
        <w:trPr>
          <w:cantSplit/>
        </w:trPr>
        <w:tc>
          <w:tcPr>
            <w:tcW w:type="dxa" w:w="29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GMV</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2.1</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9.8</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24.0</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52.7</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99.0</w:t>
            </w:r>
          </w:p>
        </w:tc>
      </w:tr>
      <w:tr>
        <w:trPr>
          <w:cantSplit/>
        </w:trPr>
        <w:tc>
          <w:tcPr>
            <w:tcW w:type="dxa" w:w="29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Net revenue</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0.46</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2.13</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5.09</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11.35</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20.70</w:t>
            </w:r>
          </w:p>
        </w:tc>
      </w:tr>
      <w:tr>
        <w:trPr>
          <w:cantSplit/>
        </w:trPr>
        <w:tc>
          <w:tcPr>
            <w:tcW w:type="dxa" w:w="29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EBITDA</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(0.62)</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(0.81)</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(0.75)</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0E9F6E"/>
                <w:sz w:val="18"/>
                <w:szCs w:val="18"/>
              </w:rPr>
              <w:t xml:space="preserve">0.97</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0E9F6E"/>
                <w:sz w:val="18"/>
                <w:szCs w:val="18"/>
              </w:rPr>
              <w:t xml:space="preserve">3.73</w:t>
            </w:r>
          </w:p>
        </w:tc>
      </w:tr>
      <w:tr>
        <w:trPr>
          <w:cantSplit/>
        </w:trPr>
        <w:tc>
          <w:tcPr>
            <w:tcW w:type="dxa" w:w="29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EBITDA margin</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(135%)</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(38%)</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(15%)</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0E9F6E"/>
                <w:sz w:val="18"/>
                <w:szCs w:val="18"/>
              </w:rPr>
              <w:t xml:space="preserve">9%</w:t>
            </w:r>
          </w:p>
        </w:tc>
        <w:tc>
          <w:tcPr>
            <w:tcW w:type="dxa" w:w="128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0E9F6E"/>
                <w:sz w:val="18"/>
                <w:szCs w:val="18"/>
              </w:rPr>
              <w:t xml:space="preserve">18%</w:t>
            </w:r>
          </w:p>
        </w:tc>
      </w:tr>
      <w:tr>
        <w:trPr>
          <w:cantSplit/>
        </w:trPr>
        <w:tc>
          <w:tcPr>
            <w:tcW w:type="dxa" w:w="29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Cumulative EBITDA</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(0.62)</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(1.43)</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(2.18)</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(1.20)</w:t>
            </w:r>
          </w:p>
        </w:tc>
        <w:tc>
          <w:tcPr>
            <w:tcW w:type="dxa" w:w="128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color w:val="0E9F6E"/>
                <w:sz w:val="18"/>
                <w:szCs w:val="18"/>
              </w:rPr>
              <w:t xml:space="preserve">2.53</w:t>
            </w:r>
          </w:p>
        </w:tc>
      </w:tr>
    </w:tbl>
    <w:p>
      <w:pPr>
        <w:spacing w:after="170" w:before="20"/>
        <w:jc w:val="center"/>
      </w:pPr>
      <w:r>
        <w:rPr>
          <w:rFonts w:ascii="Calibri" w:cs="Calibri" w:eastAsia="Calibri" w:hAnsi="Calibri"/>
          <w:i/>
          <w:iCs/>
          <w:color w:val="6A7A92"/>
          <w:sz w:val="17"/>
          <w:szCs w:val="17"/>
        </w:rPr>
        <w:t xml:space="preserve">Table 3 — Summary P&amp;L (₹ crore). Figures in parentheses are negative. Full line-item model in the Appendix.</w:t>
      </w:r>
    </w:p>
    <w:p>
      <w:pPr>
        <w:spacing w:after="120" w:before="60" w:line="240" w:lineRule="auto"/>
        <w:jc w:val="center"/>
      </w:pPr>
      <w:r>
        <w:drawing>
          <wp:inline distT="0" distB="0" distL="0" distR="0">
            <wp:extent cx="5715000" cy="27241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724150"/>
                    </a:xfrm>
                    <a:prstGeom prst="rect">
                      <a:avLst/>
                    </a:prstGeom>
                  </pic:spPr>
                </pic:pic>
              </a:graphicData>
            </a:graphic>
          </wp:inline>
        </w:drawing>
      </w:r>
    </w:p>
    <w:p>
      <w:pPr>
        <w:spacing w:after="170" w:before="20"/>
        <w:jc w:val="center"/>
      </w:pPr>
      <w:r>
        <w:rPr>
          <w:rFonts w:ascii="Calibri" w:cs="Calibri" w:eastAsia="Calibri" w:hAnsi="Calibri"/>
          <w:i/>
          <w:iCs/>
          <w:color w:val="6A7A92"/>
          <w:sz w:val="17"/>
          <w:szCs w:val="17"/>
        </w:rPr>
        <w:t xml:space="preserve">Figure 3 — GMV (bars) and order volume (line) across the five-year plan.</w:t>
      </w:r>
    </w:p>
    <w:p>
      <w:r>
        <w:br w:type="page"/>
      </w:r>
    </w:p>
    <w:p>
      <w:pPr>
        <w:spacing w:after="120" w:before="60" w:line="240" w:lineRule="auto"/>
        <w:jc w:val="center"/>
      </w:pPr>
      <w:r>
        <w:drawing>
          <wp:inline distT="0" distB="0" distL="0" distR="0">
            <wp:extent cx="5715000" cy="272415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24150"/>
                    </a:xfrm>
                    <a:prstGeom prst="rect">
                      <a:avLst/>
                    </a:prstGeom>
                  </pic:spPr>
                </pic:pic>
              </a:graphicData>
            </a:graphic>
          </wp:inline>
        </w:drawing>
      </w:r>
    </w:p>
    <w:p>
      <w:pPr>
        <w:spacing w:after="170" w:before="20"/>
        <w:jc w:val="center"/>
      </w:pPr>
      <w:r>
        <w:rPr>
          <w:rFonts w:ascii="Calibri" w:cs="Calibri" w:eastAsia="Calibri" w:hAnsi="Calibri"/>
          <w:i/>
          <w:iCs/>
          <w:color w:val="6A7A92"/>
          <w:sz w:val="17"/>
          <w:szCs w:val="17"/>
        </w:rPr>
        <w:t xml:space="preserve">Figure 4 — Path to EBITDA: annual bars, cumulative line, breakeven in Year 4.</w:t>
      </w:r>
    </w:p>
    <w:p>
      <w:pPr>
        <w:pStyle w:val="Heading2"/>
        <w:keepNext/>
      </w:pPr>
      <w:r>
        <w:rPr>
          <w:rFonts w:ascii="Georgia" w:cs="Georgia" w:eastAsia="Georgia" w:hAnsi="Georgia"/>
          <w:b/>
          <w:bCs/>
          <w:color w:val="31486A"/>
        </w:rPr>
        <w:t xml:space="preserve">The assumptions that drive it</w:t>
      </w:r>
    </w:p>
    <w:p>
      <w:pPr>
        <w:pStyle w:val="ListParagraph"/>
        <w:numPr>
          <w:ilvl w:val="0"/>
          <w:numId w:val="2"/>
        </w:numPr>
        <w:spacing w:after="90" w:line="268"/>
      </w:pPr>
      <w:r>
        <w:rPr>
          <w:rFonts w:ascii="Calibri" w:cs="Calibri" w:eastAsia="Calibri" w:hAnsi="Calibri"/>
          <w:b/>
          <w:bCs/>
          <w:color w:val="13233B"/>
          <w:sz w:val="21"/>
          <w:szCs w:val="21"/>
        </w:rPr>
        <w:t xml:space="preserve">Cities &amp; stores: </w:t>
      </w:r>
      <w:r>
        <w:rPr>
          <w:rFonts w:ascii="Calibri" w:cs="Calibri" w:eastAsia="Calibri" w:hAnsi="Calibri"/>
          <w:color w:val="1A2433"/>
          <w:sz w:val="21"/>
          <w:szCs w:val="21"/>
        </w:rPr>
        <w:t xml:space="preserve">1 → 11 cities (Indore first); ~100 stores per city, 100 → 1,100 total.</w:t>
      </w:r>
    </w:p>
    <w:p>
      <w:pPr>
        <w:pStyle w:val="ListParagraph"/>
        <w:numPr>
          <w:ilvl w:val="0"/>
          <w:numId w:val="2"/>
        </w:numPr>
        <w:spacing w:after="90" w:line="268"/>
      </w:pPr>
      <w:r>
        <w:rPr>
          <w:rFonts w:ascii="Calibri" w:cs="Calibri" w:eastAsia="Calibri" w:hAnsi="Calibri"/>
          <w:b/>
          <w:bCs/>
          <w:color w:val="13233B"/>
          <w:sz w:val="21"/>
          <w:szCs w:val="21"/>
        </w:rPr>
        <w:t xml:space="preserve">Orders &amp; AOV: </w:t>
      </w:r>
      <w:r>
        <w:rPr>
          <w:rFonts w:ascii="Calibri" w:cs="Calibri" w:eastAsia="Calibri" w:hAnsi="Calibri"/>
          <w:color w:val="1A2433"/>
          <w:sz w:val="21"/>
          <w:szCs w:val="21"/>
        </w:rPr>
        <w:t xml:space="preserve">30k → 1.1M orders/year; AOV ₹700 → ₹900.</w:t>
      </w:r>
    </w:p>
    <w:p>
      <w:pPr>
        <w:pStyle w:val="ListParagraph"/>
        <w:numPr>
          <w:ilvl w:val="0"/>
          <w:numId w:val="2"/>
        </w:numPr>
        <w:spacing w:after="90" w:line="268"/>
      </w:pPr>
      <w:r>
        <w:rPr>
          <w:rFonts w:ascii="Calibri" w:cs="Calibri" w:eastAsia="Calibri" w:hAnsi="Calibri"/>
          <w:b/>
          <w:bCs/>
          <w:color w:val="13233B"/>
          <w:sz w:val="21"/>
          <w:szCs w:val="21"/>
        </w:rPr>
        <w:t xml:space="preserve">Commission: </w:t>
      </w:r>
      <w:r>
        <w:rPr>
          <w:rFonts w:ascii="Calibri" w:cs="Calibri" w:eastAsia="Calibri" w:hAnsi="Calibri"/>
          <w:color w:val="1A2433"/>
          <w:sz w:val="21"/>
          <w:szCs w:val="21"/>
        </w:rPr>
        <w:t xml:space="preserve">20% → 18% blended, on full pre-discount order value.</w:t>
      </w:r>
    </w:p>
    <w:p>
      <w:pPr>
        <w:pStyle w:val="ListParagraph"/>
        <w:numPr>
          <w:ilvl w:val="0"/>
          <w:numId w:val="2"/>
        </w:numPr>
        <w:spacing w:after="90" w:line="268"/>
      </w:pPr>
      <w:r>
        <w:rPr>
          <w:rFonts w:ascii="Calibri" w:cs="Calibri" w:eastAsia="Calibri" w:hAnsi="Calibri"/>
          <w:b/>
          <w:bCs/>
          <w:color w:val="13233B"/>
          <w:sz w:val="21"/>
          <w:szCs w:val="21"/>
        </w:rPr>
        <w:t xml:space="preserve">Discount absorption: </w:t>
      </w:r>
      <w:r>
        <w:rPr>
          <w:rFonts w:ascii="Calibri" w:cs="Calibri" w:eastAsia="Calibri" w:hAnsi="Calibri"/>
          <w:color w:val="1A2433"/>
          <w:sz w:val="21"/>
          <w:szCs w:val="21"/>
        </w:rPr>
        <w:t xml:space="preserve">12% → 4% of GMV, fully Trendzo-funded.</w:t>
      </w:r>
    </w:p>
    <w:p>
      <w:pPr>
        <w:pStyle w:val="ListParagraph"/>
        <w:numPr>
          <w:ilvl w:val="0"/>
          <w:numId w:val="2"/>
        </w:numPr>
        <w:spacing w:after="90" w:line="268"/>
      </w:pPr>
      <w:r>
        <w:rPr>
          <w:rFonts w:ascii="Calibri" w:cs="Calibri" w:eastAsia="Calibri" w:hAnsi="Calibri"/>
          <w:b/>
          <w:bCs/>
          <w:color w:val="13233B"/>
          <w:sz w:val="21"/>
          <w:szCs w:val="21"/>
        </w:rPr>
        <w:t xml:space="preserve">Delivery fleet: </w:t>
      </w:r>
      <w:r>
        <w:rPr>
          <w:rFonts w:ascii="Calibri" w:cs="Calibri" w:eastAsia="Calibri" w:hAnsi="Calibri"/>
          <w:color w:val="1A2433"/>
          <w:sz w:val="21"/>
          <w:szCs w:val="21"/>
        </w:rPr>
        <w:t xml:space="preserve">salaried agents ₹15k/mo + ₹2.5/km fuel (~₹15/order in Year 1); cost per order falls as agents fill capacity.</w:t>
      </w:r>
    </w:p>
    <w:p>
      <w:pPr>
        <w:pStyle w:val="ListParagraph"/>
        <w:numPr>
          <w:ilvl w:val="0"/>
          <w:numId w:val="2"/>
        </w:numPr>
        <w:spacing w:after="90" w:line="268"/>
      </w:pPr>
      <w:r>
        <w:rPr>
          <w:rFonts w:ascii="Calibri" w:cs="Calibri" w:eastAsia="Calibri" w:hAnsi="Calibri"/>
          <w:b/>
          <w:bCs/>
          <w:color w:val="13233B"/>
          <w:sz w:val="21"/>
          <w:szCs w:val="21"/>
        </w:rPr>
        <w:t xml:space="preserve">Retention: </w:t>
      </w:r>
      <w:r>
        <w:rPr>
          <w:rFonts w:ascii="Calibri" w:cs="Calibri" w:eastAsia="Calibri" w:hAnsi="Calibri"/>
          <w:color w:val="1A2433"/>
          <w:sz w:val="21"/>
          <w:szCs w:val="21"/>
        </w:rPr>
        <w:t xml:space="preserve">repeat rate ~35% → ~50%; frequency 2.5 → 4 orders/year; payment processing 2% of collected value.</w:t>
      </w:r>
    </w:p>
    <w:p>
      <w:pPr>
        <w:spacing w:after="130" w:before="0" w:line="276"/>
        <w:jc w:val="left"/>
      </w:pPr>
      <w:r>
        <w:rPr>
          <w:rFonts w:ascii="Calibri" w:cs="Calibri" w:eastAsia="Calibri" w:hAnsi="Calibri"/>
          <w:b/>
          <w:bCs/>
          <w:color w:val="13233B"/>
          <w:sz w:val="21"/>
          <w:szCs w:val="21"/>
        </w:rPr>
        <w:t xml:space="preserve">Path to profitability: </w:t>
      </w:r>
      <w:r>
        <w:rPr>
          <w:rFonts w:ascii="Calibri" w:cs="Calibri" w:eastAsia="Calibri" w:hAnsi="Calibri"/>
          <w:color w:val="1A2433"/>
          <w:sz w:val="21"/>
          <w:szCs w:val="21"/>
        </w:rPr>
        <w:t xml:space="preserve">contribution-positive from Year 2, EBITDA breakeven in Year 4, ~18% margin and +₹3.73 crore EBITDA by Year 5, on a peak cumulative burn of −₹2.18 crore at Year 3.</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The single load-bearing assumption is the ₹900 Year-5 AOV — above grocery quick-commerce norms, defensible for fashion baskets. If AOV holds nearer ₹700, contribution compresses; the Appendix sensitivities show the swing.</w:t>
      </w:r>
    </w:p>
    <w:p>
      <w:pPr>
        <w:pStyle w:val="Heading1"/>
        <w:keepNext/>
        <w:keepLines/>
        <w:pageBreakBefore/>
      </w:pPr>
      <w:bookmarkStart w:name="s10" w:id="1009"/>
      <w:r>
        <w:rPr>
          <w:rFonts w:ascii="Georgia" w:cs="Georgia" w:eastAsia="Georgia" w:hAnsi="Georgia"/>
          <w:b/>
          <w:bCs/>
          <w:color w:val="D6336C"/>
        </w:rPr>
        <w:t xml:space="preserve">10  </w:t>
      </w:r>
      <w:bookmarkEnd w:id="1009"/>
      <w:r>
        <w:rPr>
          <w:rFonts w:ascii="Georgia" w:cs="Georgia" w:eastAsia="Georgia" w:hAnsi="Georgia"/>
          <w:b/>
          <w:bCs/>
          <w:color w:val="13233B"/>
        </w:rPr>
        <w:t xml:space="preserve">The Ask</w:t>
      </w:r>
    </w:p>
    <w:p>
      <w:pPr>
        <w:keepNext/>
        <w:spacing w:after="170" w:before="40" w:line="276"/>
      </w:pPr>
      <w:r>
        <w:rPr>
          <w:rFonts w:ascii="Georgia" w:cs="Georgia" w:eastAsia="Georgia" w:hAnsi="Georgia"/>
          <w:i/>
          <w:iCs/>
          <w:color w:val="31486A"/>
          <w:sz w:val="23"/>
          <w:szCs w:val="23"/>
        </w:rPr>
        <w:t xml:space="preserve">₹2 crore takes Trendzo to a Year-1 proof in Indore — offered two ways, so an investor can choose certainty of capital or a lighter, milestone-phased entry.</w:t>
      </w:r>
    </w:p>
    <w:p>
      <w:pPr>
        <w:spacing w:after="130" w:before="0" w:line="276"/>
        <w:jc w:val="left"/>
      </w:pPr>
      <w:r>
        <w:rPr>
          <w:rFonts w:ascii="Calibri" w:cs="Calibri" w:eastAsia="Calibri" w:hAnsi="Calibri"/>
          <w:b/>
          <w:bCs/>
          <w:color w:val="13233B"/>
          <w:sz w:val="21"/>
          <w:szCs w:val="21"/>
        </w:rPr>
        <w:t xml:space="preserve">Amount &amp; instrument. </w:t>
      </w:r>
      <w:r>
        <w:rPr>
          <w:rFonts w:ascii="Calibri" w:cs="Calibri" w:eastAsia="Calibri" w:hAnsi="Calibri"/>
          <w:color w:val="1A2433"/>
          <w:sz w:val="21"/>
          <w:szCs w:val="21"/>
        </w:rPr>
        <w:t xml:space="preserve">Raising </w:t>
      </w:r>
      <w:r>
        <w:rPr>
          <w:rFonts w:ascii="Calibri" w:cs="Calibri" w:eastAsia="Calibri" w:hAnsi="Calibri"/>
          <w:b/>
          <w:bCs/>
          <w:color w:val="D6336C"/>
          <w:sz w:val="21"/>
          <w:szCs w:val="21"/>
        </w:rPr>
        <w:t xml:space="preserve">₹2 crore</w:t>
      </w:r>
      <w:r>
        <w:rPr>
          <w:rFonts w:ascii="Calibri" w:cs="Calibri" w:eastAsia="Calibri" w:hAnsi="Calibri"/>
          <w:color w:val="1A2433"/>
          <w:sz w:val="21"/>
          <w:szCs w:val="21"/>
        </w:rPr>
        <w:t xml:space="preserve"> as a pre-seed on a priced equity round (or SAFE). The same total is available in two structures:</w:t>
      </w:r>
    </w:p>
    <w:tbl>
      <w:tblPr>
        <w:tblW w:type="dxa" w:w="9360"/>
        <w:tblBorders>
          <w:top w:val="none"/>
          <w:left w:val="none"/>
          <w:bottom w:val="none"/>
          <w:right w:val="none"/>
          <w:insideH w:val="none"/>
          <w:insideV w:val="none"/>
        </w:tblBorders>
      </w:tblPr>
      <w:tblGrid>
        <w:gridCol w:w="2640"/>
        <w:gridCol w:w="3360"/>
        <w:gridCol w:w="3360"/>
      </w:tblGrid>
      <w:tr>
        <w:trPr>
          <w:cantSplit/>
          <w:tblHeader/>
        </w:trPr>
        <w:tc>
          <w:tcPr>
            <w:tcW w:type="dxa" w:w="264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
            </w:r>
          </w:p>
        </w:tc>
        <w:tc>
          <w:tcPr>
            <w:tcW w:type="dxa" w:w="33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Option A — single tranche</w:t>
            </w:r>
          </w:p>
        </w:tc>
        <w:tc>
          <w:tcPr>
            <w:tcW w:type="dxa" w:w="33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Option B — phased</w:t>
            </w:r>
          </w:p>
        </w:tc>
      </w:tr>
      <w:tr>
        <w:trPr>
          <w:cantSplit/>
        </w:trPr>
        <w:tc>
          <w:tcPr>
            <w:tcW w:type="dxa" w:w="264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Capital</w:t>
            </w:r>
          </w:p>
        </w:tc>
        <w:tc>
          <w:tcPr>
            <w:tcW w:type="dxa" w:w="33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₹2 crore, up front</w:t>
            </w:r>
          </w:p>
        </w:tc>
        <w:tc>
          <w:tcPr>
            <w:tcW w:type="dxa" w:w="33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₹50 lakh now + ₹1.5 crore at end of Year 1</w:t>
            </w:r>
          </w:p>
        </w:tc>
      </w:tr>
      <w:tr>
        <w:trPr>
          <w:cantSplit/>
        </w:trPr>
        <w:tc>
          <w:tcPr>
            <w:tcW w:type="dxa" w:w="264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Valuation</w:t>
            </w:r>
          </w:p>
        </w:tc>
        <w:tc>
          <w:tcPr>
            <w:tcW w:type="dxa" w:w="33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~₹9 Cr pre / ₹11 Cr post</w:t>
            </w:r>
          </w:p>
        </w:tc>
        <w:tc>
          <w:tcPr>
            <w:tcW w:type="dxa" w:w="33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~₹11.3 Cr pre / ₹13.3 Cr post</w:t>
            </w:r>
          </w:p>
        </w:tc>
      </w:tr>
      <w:tr>
        <w:trPr>
          <w:cantSplit/>
        </w:trPr>
        <w:tc>
          <w:tcPr>
            <w:tcW w:type="dxa" w:w="264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Founder dilution</w:t>
            </w:r>
          </w:p>
        </w:tc>
        <w:tc>
          <w:tcPr>
            <w:tcW w:type="dxa" w:w="33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31486A"/>
                <w:sz w:val="18"/>
                <w:szCs w:val="18"/>
              </w:rPr>
              <w:t xml:space="preserve">18%</w:t>
            </w:r>
          </w:p>
        </w:tc>
        <w:tc>
          <w:tcPr>
            <w:tcW w:type="dxa" w:w="33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0E9F6E"/>
                <w:sz w:val="18"/>
                <w:szCs w:val="18"/>
              </w:rPr>
              <w:t xml:space="preserve">15%</w:t>
            </w:r>
          </w:p>
        </w:tc>
      </w:tr>
      <w:tr>
        <w:trPr>
          <w:cantSplit/>
        </w:trPr>
        <w:tc>
          <w:tcPr>
            <w:tcW w:type="dxa" w:w="264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What it asks of the investor</w:t>
            </w:r>
          </w:p>
        </w:tc>
        <w:tc>
          <w:tcPr>
            <w:tcW w:type="dxa" w:w="33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Full ₹2 Cr committed at close</w:t>
            </w:r>
          </w:p>
        </w:tc>
        <w:tc>
          <w:tcPr>
            <w:tcW w:type="dxa" w:w="33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val="false"/>
                <w:bCs w:val="false"/>
                <w:color w:val="1A2433"/>
                <w:sz w:val="18"/>
                <w:szCs w:val="18"/>
              </w:rPr>
              <w:t xml:space="preserve">₹1.5 Cr released on Year-1 proof</w:t>
            </w:r>
          </w:p>
        </w:tc>
      </w:tr>
    </w:tbl>
    <w:p>
      <w:pPr>
        <w:spacing w:after="170" w:before="20"/>
        <w:jc w:val="center"/>
      </w:pPr>
      <w:r>
        <w:rPr>
          <w:rFonts w:ascii="Calibri" w:cs="Calibri" w:eastAsia="Calibri" w:hAnsi="Calibri"/>
          <w:i/>
          <w:iCs/>
          <w:color w:val="6A7A92"/>
          <w:sz w:val="17"/>
          <w:szCs w:val="17"/>
        </w:rPr>
        <w:t xml:space="preserve">Table 4 — Two structures for the same ₹2 crore raise.</w:t>
      </w:r>
    </w:p>
    <w:p>
      <w:pPr>
        <w:spacing w:after="130" w:before="0" w:line="276"/>
        <w:jc w:val="left"/>
      </w:pPr>
      <w:r>
        <w:rPr>
          <w:rFonts w:ascii="Calibri" w:cs="Calibri" w:eastAsia="Calibri" w:hAnsi="Calibri"/>
          <w:color w:val="1A2433"/>
          <w:sz w:val="21"/>
          <w:szCs w:val="21"/>
        </w:rPr>
        <w:t xml:space="preserve">Both raise the same ₹2 crore to the same Year-1 milestone. </w:t>
      </w:r>
      <w:r>
        <w:rPr>
          <w:rFonts w:ascii="Calibri" w:cs="Calibri" w:eastAsia="Calibri" w:hAnsi="Calibri"/>
          <w:b/>
          <w:bCs/>
          <w:color w:val="13233B"/>
          <w:sz w:val="21"/>
          <w:szCs w:val="21"/>
        </w:rPr>
        <w:t xml:space="preserve">Option A</w:t>
      </w:r>
      <w:r>
        <w:rPr>
          <w:rFonts w:ascii="Calibri" w:cs="Calibri" w:eastAsia="Calibri" w:hAnsi="Calibri"/>
          <w:color w:val="1A2433"/>
          <w:sz w:val="21"/>
          <w:szCs w:val="21"/>
        </w:rPr>
        <w:t xml:space="preserve"> prices the certainty of full capital up front — more equity for more risk. </w:t>
      </w:r>
      <w:r>
        <w:rPr>
          <w:rFonts w:ascii="Calibri" w:cs="Calibri" w:eastAsia="Calibri" w:hAnsi="Calibri"/>
          <w:b/>
          <w:bCs/>
          <w:color w:val="13233B"/>
          <w:sz w:val="21"/>
          <w:szCs w:val="21"/>
        </w:rPr>
        <w:t xml:space="preserve">Option B</w:t>
      </w:r>
      <w:r>
        <w:rPr>
          <w:rFonts w:ascii="Calibri" w:cs="Calibri" w:eastAsia="Calibri" w:hAnsi="Calibri"/>
          <w:color w:val="1A2433"/>
          <w:sz w:val="21"/>
          <w:szCs w:val="21"/>
        </w:rPr>
        <w:t xml:space="preserve"> rewards the company for de-risking the investor: the ₹1.5 crore is released only on hitting the Year-1 proof below, so the round prices three points tighter. In the phased case the </w:t>
      </w:r>
      <w:r>
        <w:rPr>
          <w:rFonts w:ascii="Calibri" w:cs="Calibri" w:eastAsia="Calibri" w:hAnsi="Calibri"/>
          <w:b/>
          <w:bCs/>
          <w:color w:val="D6336C"/>
          <w:sz w:val="21"/>
          <w:szCs w:val="21"/>
        </w:rPr>
        <w:t xml:space="preserve">₹50 lakh</w:t>
      </w:r>
      <w:r>
        <w:rPr>
          <w:rFonts w:ascii="Calibri" w:cs="Calibri" w:eastAsia="Calibri" w:hAnsi="Calibri"/>
          <w:color w:val="1A2433"/>
          <w:sz w:val="21"/>
          <w:szCs w:val="21"/>
        </w:rPr>
        <w:t xml:space="preserve"> funds the build and Indore soft-launch; the </w:t>
      </w:r>
      <w:r>
        <w:rPr>
          <w:rFonts w:ascii="Calibri" w:cs="Calibri" w:eastAsia="Calibri" w:hAnsi="Calibri"/>
          <w:b/>
          <w:bCs/>
          <w:color w:val="D6336C"/>
          <w:sz w:val="21"/>
          <w:szCs w:val="21"/>
        </w:rPr>
        <w:t xml:space="preserve">₹1.5 crore</w:t>
      </w:r>
      <w:r>
        <w:rPr>
          <w:rFonts w:ascii="Calibri" w:cs="Calibri" w:eastAsia="Calibri" w:hAnsi="Calibri"/>
          <w:color w:val="1A2433"/>
          <w:sz w:val="21"/>
          <w:szCs w:val="21"/>
        </w:rPr>
        <w:t xml:space="preserve">, at the end of Year 1, scales the proven model into Year 2.</w:t>
      </w:r>
    </w:p>
    <w:p>
      <w:pPr>
        <w:spacing w:after="120" w:before="60" w:line="240" w:lineRule="auto"/>
        <w:jc w:val="center"/>
      </w:pPr>
      <w:r>
        <w:drawing>
          <wp:inline distT="0" distB="0" distL="0" distR="0">
            <wp:extent cx="3143250" cy="3276600"/>
            <wp:effectExtent t="0" r="0" b="0" l="0"/>
            <wp:docPr id="1" name="figure" descr="chart"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3276600"/>
                    </a:xfrm>
                    <a:prstGeom prst="rect">
                      <a:avLst/>
                    </a:prstGeom>
                  </pic:spPr>
                </pic:pic>
              </a:graphicData>
            </a:graphic>
          </wp:inline>
        </w:drawing>
      </w:r>
    </w:p>
    <w:p>
      <w:pPr>
        <w:spacing w:after="170" w:before="20"/>
        <w:jc w:val="center"/>
      </w:pPr>
      <w:r>
        <w:rPr>
          <w:rFonts w:ascii="Calibri" w:cs="Calibri" w:eastAsia="Calibri" w:hAnsi="Calibri"/>
          <w:i/>
          <w:iCs/>
          <w:color w:val="6A7A92"/>
          <w:sz w:val="17"/>
          <w:szCs w:val="17"/>
        </w:rPr>
        <w:t xml:space="preserve">Figure 5 — Use of funds across the full ₹2 crore (either structure).</w:t>
      </w:r>
    </w:p>
    <w:p>
      <w:pPr>
        <w:spacing w:after="90" w:before="0" w:line="276"/>
        <w:jc w:val="left"/>
      </w:pPr>
      <w:r>
        <w:rPr>
          <w:rFonts w:ascii="Calibri" w:cs="Calibri" w:eastAsia="Calibri" w:hAnsi="Calibri"/>
          <w:color w:val="1A2433"/>
          <w:sz w:val="21"/>
          <w:szCs w:val="21"/>
        </w:rPr>
        <w:t xml:space="preserve">Across the raise, each bucket is tied to a milestone:</w:t>
      </w:r>
    </w:p>
    <w:p>
      <w:pPr>
        <w:pStyle w:val="ListParagraph"/>
        <w:numPr>
          <w:ilvl w:val="0"/>
          <w:numId w:val="2"/>
        </w:numPr>
        <w:spacing w:after="90" w:line="268"/>
      </w:pPr>
      <w:r>
        <w:rPr>
          <w:rFonts w:ascii="Calibri" w:cs="Calibri" w:eastAsia="Calibri" w:hAnsi="Calibri"/>
          <w:b/>
          <w:bCs/>
          <w:color w:val="13233B"/>
          <w:sz w:val="21"/>
          <w:szCs w:val="21"/>
        </w:rPr>
        <w:t xml:space="preserve">Engineering &amp; product (35%) → </w:t>
      </w:r>
      <w:r>
        <w:rPr>
          <w:rFonts w:ascii="Calibri" w:cs="Calibri" w:eastAsia="Calibri" w:hAnsi="Calibri"/>
          <w:color w:val="1A2433"/>
          <w:sz w:val="21"/>
          <w:szCs w:val="21"/>
        </w:rPr>
        <w:t xml:space="preserve">retailer/admin dashboard and agent app live; routing and COD reconciliation in production. (Phase-1 priority.)</w:t>
      </w:r>
    </w:p>
    <w:p>
      <w:pPr>
        <w:pStyle w:val="ListParagraph"/>
        <w:numPr>
          <w:ilvl w:val="0"/>
          <w:numId w:val="2"/>
        </w:numPr>
        <w:spacing w:after="90" w:line="268"/>
      </w:pPr>
      <w:r>
        <w:rPr>
          <w:rFonts w:ascii="Calibri" w:cs="Calibri" w:eastAsia="Calibri" w:hAnsi="Calibri"/>
          <w:b/>
          <w:bCs/>
          <w:color w:val="13233B"/>
          <w:sz w:val="21"/>
          <w:szCs w:val="21"/>
        </w:rPr>
        <w:t xml:space="preserve">Operations &amp; fleet (28%) → </w:t>
      </w:r>
      <w:r>
        <w:rPr>
          <w:rFonts w:ascii="Calibri" w:cs="Calibri" w:eastAsia="Calibri" w:hAnsi="Calibri"/>
          <w:color w:val="1A2433"/>
          <w:sz w:val="21"/>
          <w:szCs w:val="21"/>
        </w:rPr>
        <w:t xml:space="preserve">~100 Indore stores onboarded onto live inventory sync; three-agent fleet operating; sub-60-minute delivery proven.</w:t>
      </w:r>
    </w:p>
    <w:p>
      <w:pPr>
        <w:pStyle w:val="ListParagraph"/>
        <w:numPr>
          <w:ilvl w:val="0"/>
          <w:numId w:val="2"/>
        </w:numPr>
        <w:spacing w:after="90" w:line="268"/>
      </w:pPr>
      <w:r>
        <w:rPr>
          <w:rFonts w:ascii="Calibri" w:cs="Calibri" w:eastAsia="Calibri" w:hAnsi="Calibri"/>
          <w:b/>
          <w:bCs/>
          <w:color w:val="13233B"/>
          <w:sz w:val="21"/>
          <w:szCs w:val="21"/>
        </w:rPr>
        <w:t xml:space="preserve">Marketing &amp; growth (22%) → </w:t>
      </w:r>
      <w:r>
        <w:rPr>
          <w:rFonts w:ascii="Calibri" w:cs="Calibri" w:eastAsia="Calibri" w:hAnsi="Calibri"/>
          <w:color w:val="1A2433"/>
          <w:sz w:val="21"/>
          <w:szCs w:val="21"/>
        </w:rPr>
        <w:t xml:space="preserve">a ~150-orders/day exit run-rate in Indore, with first repeat-rate cohort data. (Phase-2 weighted.)</w:t>
      </w:r>
    </w:p>
    <w:p>
      <w:pPr>
        <w:pStyle w:val="ListParagraph"/>
        <w:numPr>
          <w:ilvl w:val="0"/>
          <w:numId w:val="2"/>
        </w:numPr>
        <w:spacing w:after="90" w:line="268"/>
      </w:pPr>
      <w:r>
        <w:rPr>
          <w:rFonts w:ascii="Calibri" w:cs="Calibri" w:eastAsia="Calibri" w:hAnsi="Calibri"/>
          <w:b/>
          <w:bCs/>
          <w:color w:val="13233B"/>
          <w:sz w:val="21"/>
          <w:szCs w:val="21"/>
        </w:rPr>
        <w:t xml:space="preserve">G&amp;A &amp; runway buffer (15%) → </w:t>
      </w:r>
      <w:r>
        <w:rPr>
          <w:rFonts w:ascii="Calibri" w:cs="Calibri" w:eastAsia="Calibri" w:hAnsi="Calibri"/>
          <w:color w:val="1A2433"/>
          <w:sz w:val="21"/>
          <w:szCs w:val="21"/>
        </w:rPr>
        <w:t xml:space="preserve">compliance, legal, and working-capital cushion through the build.</w:t>
      </w:r>
    </w:p>
    <w:p>
      <w:pPr>
        <w:spacing w:after="130" w:before="0" w:line="276"/>
        <w:jc w:val="left"/>
      </w:pPr>
      <w:r>
        <w:rPr>
          <w:rFonts w:ascii="Calibri" w:cs="Calibri" w:eastAsia="Calibri" w:hAnsi="Calibri"/>
          <w:b/>
          <w:bCs/>
          <w:color w:val="13233B"/>
          <w:sz w:val="21"/>
          <w:szCs w:val="21"/>
        </w:rPr>
        <w:t xml:space="preserve">What it positions us for. </w:t>
      </w:r>
      <w:r>
        <w:rPr>
          <w:rFonts w:ascii="Calibri" w:cs="Calibri" w:eastAsia="Calibri" w:hAnsi="Calibri"/>
          <w:color w:val="1A2433"/>
          <w:sz w:val="21"/>
          <w:szCs w:val="21"/>
        </w:rPr>
        <w:t xml:space="preserve">Either structure reaches the same Year-1 proof, then a ₹2–3 crore seed (~Month 18) bridges the −₹2.18 crore trough and funds expansion to four cities — en route to a Year-4 EBITDA breakeven.</w:t>
      </w:r>
    </w:p>
    <w:p>
      <w:pPr>
        <w:pBdr>
          <w:left w:val="single" w:color="D6336C" w:sz="26" w:space="10"/>
        </w:pBdr>
        <w:shd w:fill="FBEAF1" w:color="auto" w:val="clear"/>
        <w:spacing w:after="170" w:before="70" w:line="264"/>
        <w:ind w:left="210" w:right="140"/>
      </w:pPr>
      <w:r>
        <w:rPr>
          <w:rFonts w:ascii="Calibri" w:cs="Calibri" w:eastAsia="Calibri" w:hAnsi="Calibri"/>
          <w:b/>
          <w:bCs/>
          <w:color w:val="D6336C"/>
          <w:sz w:val="20"/>
          <w:szCs w:val="20"/>
        </w:rPr>
        <w:t xml:space="preserve">What it means.  </w:t>
      </w:r>
      <w:r>
        <w:rPr>
          <w:rFonts w:ascii="Calibri" w:cs="Calibri" w:eastAsia="Calibri" w:hAnsi="Calibri"/>
          <w:color w:val="13233B"/>
          <w:sz w:val="20"/>
          <w:szCs w:val="20"/>
        </w:rPr>
        <w:t xml:space="preserve">Either way the company raises ₹2 crore to a Year-1 proof. Option A trades three points of equity for certainty of capital; Option B trades a contingent second tranche for a higher valuation. Both buy a working one-city engine and the cohort evidence that turns the seed into a scale-up decision, not another proof-of-concept.</w:t>
      </w:r>
    </w:p>
    <w:p>
      <w:pPr>
        <w:pStyle w:val="Heading1"/>
        <w:keepNext/>
        <w:keepLines/>
        <w:pageBreakBefore/>
      </w:pPr>
      <w:bookmarkStart w:name="sA" w:id="1010"/>
      <w:r>
        <w:rPr>
          <w:rFonts w:ascii="Georgia" w:cs="Georgia" w:eastAsia="Georgia" w:hAnsi="Georgia"/>
          <w:b/>
          <w:bCs/>
          <w:color w:val="D6336C"/>
        </w:rPr>
        <w:t xml:space="preserve">Appendix  </w:t>
      </w:r>
      <w:bookmarkEnd w:id="1010"/>
      <w:r>
        <w:rPr>
          <w:rFonts w:ascii="Georgia" w:cs="Georgia" w:eastAsia="Georgia" w:hAnsi="Georgia"/>
          <w:b/>
          <w:bCs/>
          <w:color w:val="13233B"/>
        </w:rPr>
        <w:t xml:space="preserve">Model, Assumptions &amp; Sensitivities</w:t>
      </w:r>
    </w:p>
    <w:p>
      <w:pPr>
        <w:keepNext/>
        <w:spacing w:after="170" w:before="40" w:line="276"/>
      </w:pPr>
      <w:r>
        <w:rPr>
          <w:rFonts w:ascii="Georgia" w:cs="Georgia" w:eastAsia="Georgia" w:hAnsi="Georgia"/>
          <w:i/>
          <w:iCs/>
          <w:color w:val="31486A"/>
          <w:sz w:val="23"/>
          <w:szCs w:val="23"/>
        </w:rPr>
        <w:t xml:space="preserve">The full proof behind the brief — the complete five-year P&amp;L, the driver log, sensitivities, and market-sizing sources.</w:t>
      </w:r>
    </w:p>
    <w:p>
      <w:pPr>
        <w:pStyle w:val="Heading2"/>
        <w:keepNext/>
      </w:pPr>
      <w:r>
        <w:rPr>
          <w:rFonts w:ascii="Georgia" w:cs="Georgia" w:eastAsia="Georgia" w:hAnsi="Georgia"/>
          <w:b/>
          <w:bCs/>
          <w:color w:val="31486A"/>
        </w:rPr>
        <w:t xml:space="preserve">A.1  Full five-year P&amp;L (₹ lakh)</w:t>
      </w:r>
    </w:p>
    <w:tbl>
      <w:tblPr>
        <w:tblW w:type="dxa" w:w="9360"/>
        <w:tblBorders>
          <w:top w:val="none"/>
          <w:left w:val="none"/>
          <w:bottom w:val="none"/>
          <w:right w:val="none"/>
          <w:insideH w:val="none"/>
          <w:insideV w:val="none"/>
        </w:tblBorders>
      </w:tblPr>
      <w:tblGrid>
        <w:gridCol w:w="3060"/>
        <w:gridCol w:w="1260"/>
        <w:gridCol w:w="1260"/>
        <w:gridCol w:w="1260"/>
        <w:gridCol w:w="1260"/>
        <w:gridCol w:w="1260"/>
      </w:tblGrid>
      <w:tr>
        <w:trPr>
          <w:cantSplit/>
          <w:tblHeader/>
        </w:trPr>
        <w:tc>
          <w:tcPr>
            <w:tcW w:type="dxa" w:w="30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 lakh</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Y1</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Y2</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Y3</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Y4</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Y5</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Commission</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42.0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195.0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456.0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1,001.3</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1,782.0</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Delivery fees</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17.7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43.7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93.5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172.6</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Ads (Y3+)</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0.0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0.0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40.3</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115.5</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Net revenue</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sz w:val="18"/>
                <w:szCs w:val="18"/>
              </w:rPr>
              <w:t xml:space="preserve">45.5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sz w:val="18"/>
                <w:szCs w:val="18"/>
              </w:rPr>
              <w:t xml:space="preserve">212.7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sz w:val="18"/>
                <w:szCs w:val="18"/>
              </w:rPr>
              <w:t xml:space="preserve">508.7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sz w:val="18"/>
                <w:szCs w:val="18"/>
              </w:rPr>
              <w:t xml:space="preserve">1,135.1</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sz w:val="18"/>
                <w:szCs w:val="18"/>
              </w:rPr>
              <w:t xml:space="preserve">2,070.1</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Discount absorbed</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25.2</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87.8</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168.0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263.5</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396.0</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Payment processing</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17.8</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44.6</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100.1</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190.1</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Delivery fleet cost</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17.1</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66.3</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138.6</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264.0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436.8</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Contribution</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B23A3A"/>
                <w:sz w:val="18"/>
                <w:szCs w:val="18"/>
              </w:rPr>
              <w:t xml:space="preserve">(0.5)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40.9</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157.5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507.5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1,047.3</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 Overhead (fixed)</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61.2</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121.8</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232.5</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410.1</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673.8</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EBITDA</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B23A3A"/>
                <w:sz w:val="18"/>
                <w:szCs w:val="18"/>
              </w:rPr>
              <w:t xml:space="preserve">(61.7)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B23A3A"/>
                <w:sz w:val="18"/>
                <w:szCs w:val="18"/>
              </w:rPr>
              <w:t xml:space="preserve">(80.9)</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B23A3A"/>
                <w:sz w:val="18"/>
                <w:szCs w:val="18"/>
              </w:rPr>
              <w:t xml:space="preserve">(75.0)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97.4</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bCs/>
                <w:color w:val="0E9F6E"/>
                <w:sz w:val="18"/>
                <w:szCs w:val="18"/>
              </w:rPr>
              <w:t xml:space="preserve">373.5</w:t>
            </w:r>
          </w:p>
        </w:tc>
      </w:tr>
    </w:tbl>
    <w:p>
      <w:pPr>
        <w:spacing w:after="170" w:before="20"/>
        <w:jc w:val="center"/>
      </w:pPr>
      <w:r>
        <w:rPr>
          <w:rFonts w:ascii="Calibri" w:cs="Calibri" w:eastAsia="Calibri" w:hAnsi="Calibri"/>
          <w:i/>
          <w:iCs/>
          <w:color w:val="6A7A92"/>
          <w:sz w:val="17"/>
          <w:szCs w:val="17"/>
        </w:rPr>
        <w:t xml:space="preserve">Table A1 — Full P&amp;L (₹ lakh). Parentheses negative. 1 crore = 100 lakh.</w:t>
      </w:r>
    </w:p>
    <w:p>
      <w:pPr>
        <w:pStyle w:val="Heading2"/>
        <w:keepNext/>
      </w:pPr>
      <w:r>
        <w:rPr>
          <w:rFonts w:ascii="Georgia" w:cs="Georgia" w:eastAsia="Georgia" w:hAnsi="Georgia"/>
          <w:b/>
          <w:bCs/>
          <w:color w:val="31486A"/>
        </w:rPr>
        <w:t xml:space="preserve">A.2  Driver log</w:t>
      </w:r>
    </w:p>
    <w:tbl>
      <w:tblPr>
        <w:tblW w:type="dxa" w:w="9360"/>
        <w:tblBorders>
          <w:top w:val="none"/>
          <w:left w:val="none"/>
          <w:bottom w:val="none"/>
          <w:right w:val="none"/>
          <w:insideH w:val="none"/>
          <w:insideV w:val="none"/>
        </w:tblBorders>
      </w:tblPr>
      <w:tblGrid>
        <w:gridCol w:w="3060"/>
        <w:gridCol w:w="1260"/>
        <w:gridCol w:w="1260"/>
        <w:gridCol w:w="1260"/>
        <w:gridCol w:w="1260"/>
        <w:gridCol w:w="1260"/>
      </w:tblGrid>
      <w:tr>
        <w:trPr>
          <w:cantSplit/>
          <w:tblHeader/>
        </w:trPr>
        <w:tc>
          <w:tcPr>
            <w:tcW w:type="dxa" w:w="30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left"/>
            </w:pPr>
            <w:r>
              <w:rPr>
                <w:rFonts w:ascii="Calibri" w:cs="Calibri" w:eastAsia="Calibri" w:hAnsi="Calibri"/>
                <w:b/>
                <w:bCs/>
                <w:color w:val="FFFFFF"/>
                <w:sz w:val="18"/>
                <w:szCs w:val="18"/>
              </w:rPr>
              <w:t xml:space="preserve">Driver</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Y1</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Y2</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Y3</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Y4</w:t>
            </w:r>
          </w:p>
        </w:tc>
        <w:tc>
          <w:tcPr>
            <w:tcW w:type="dxa" w:w="1260"/>
            <w:tcBorders>
              <w:top w:val="none"/>
              <w:left w:val="none"/>
              <w:bottom w:val="single" w:color="13233B" w:sz="8"/>
              <w:right w:val="none"/>
            </w:tcBorders>
            <w:shd w:fill="13233B" w:color="auto" w:val="clear"/>
            <w:tcMar>
              <w:top w:type="dxa" w:w="90"/>
              <w:left w:type="dxa" w:w="130"/>
              <w:bottom w:type="dxa" w:w="90"/>
              <w:right w:type="dxa" w:w="130"/>
            </w:tcMar>
            <w:vAlign w:val="center"/>
          </w:tcPr>
          <w:p>
            <w:pPr>
              <w:jc w:val="right"/>
            </w:pPr>
            <w:r>
              <w:rPr>
                <w:rFonts w:ascii="Calibri" w:cs="Calibri" w:eastAsia="Calibri" w:hAnsi="Calibri"/>
                <w:b/>
                <w:bCs/>
                <w:color w:val="FFFFFF"/>
                <w:sz w:val="18"/>
                <w:szCs w:val="18"/>
              </w:rPr>
              <w:t xml:space="preserve">Y5</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Cities</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11</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Stores on platform</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1,100</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Orders / year</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30k</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1.3 L</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3.0 L</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6.2 L</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11.0 L</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AOV (₹)</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750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800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850</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900</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Commission rate</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20%</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19%</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19%</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18%</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Discount (% of GMV)</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12%</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5%</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4%</w:t>
            </w:r>
          </w:p>
        </w:tc>
      </w:tr>
      <w:tr>
        <w:trPr>
          <w:cantSplit/>
        </w:trPr>
        <w:tc>
          <w:tcPr>
            <w:tcW w:type="dxa" w:w="30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Delivery agents</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7</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26</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52</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95</w:t>
            </w:r>
          </w:p>
        </w:tc>
        <w:tc>
          <w:tcPr>
            <w:tcW w:type="dxa" w:w="1260"/>
            <w:tcBorders>
              <w:top w:val="none"/>
              <w:left w:val="none"/>
              <w:bottom w:val="single" w:color="E6EAF0" w:sz="4"/>
              <w:right w:val="none"/>
            </w:tcBorders>
            <w:shd w:fill="FFFFFF"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151</w:t>
            </w:r>
          </w:p>
        </w:tc>
      </w:tr>
      <w:tr>
        <w:trPr>
          <w:cantSplit/>
        </w:trPr>
        <w:tc>
          <w:tcPr>
            <w:tcW w:type="dxa" w:w="30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left"/>
            </w:pPr>
            <w:r>
              <w:rPr>
                <w:rFonts w:ascii="Calibri" w:cs="Calibri" w:eastAsia="Calibri" w:hAnsi="Calibri"/>
                <w:b/>
                <w:bCs/>
                <w:color w:val="13233B"/>
                <w:sz w:val="18"/>
                <w:szCs w:val="18"/>
              </w:rPr>
              <w:t xml:space="preserve">Contribution / order (₹)</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color w:val="B23A3A"/>
                <w:sz w:val="18"/>
                <w:szCs w:val="18"/>
              </w:rPr>
              <w:t xml:space="preserve">(2)</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+32</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+53</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+82</w:t>
            </w:r>
          </w:p>
        </w:tc>
        <w:tc>
          <w:tcPr>
            <w:tcW w:type="dxa" w:w="1260"/>
            <w:tcBorders>
              <w:top w:val="none"/>
              <w:left w:val="none"/>
              <w:bottom w:val="single" w:color="E6EAF0" w:sz="4"/>
              <w:right w:val="none"/>
            </w:tcBorders>
            <w:shd w:fill="F7F8FA" w:color="auto" w:val="clear"/>
            <w:tcMar>
              <w:top w:type="dxa" w:w="80"/>
              <w:left w:type="dxa" w:w="130"/>
              <w:bottom w:type="dxa" w:w="80"/>
              <w:right w:type="dxa" w:w="130"/>
            </w:tcMar>
            <w:vAlign w:val="center"/>
          </w:tcPr>
          <w:p>
            <w:pPr>
              <w:jc w:val="right"/>
            </w:pPr>
            <w:r>
              <w:rPr>
                <w:rFonts w:ascii="Calibri" w:cs="Calibri" w:eastAsia="Calibri" w:hAnsi="Calibri"/>
                <w:b w:val="false"/>
                <w:bCs w:val="false"/>
                <w:color w:val="1A2433"/>
                <w:sz w:val="18"/>
                <w:szCs w:val="18"/>
              </w:rPr>
              <w:t xml:space="preserve">+95</w:t>
            </w:r>
          </w:p>
        </w:tc>
      </w:tr>
    </w:tbl>
    <w:p>
      <w:pPr>
        <w:spacing w:after="170" w:before="20"/>
        <w:jc w:val="center"/>
      </w:pPr>
      <w:r>
        <w:rPr>
          <w:rFonts w:ascii="Calibri" w:cs="Calibri" w:eastAsia="Calibri" w:hAnsi="Calibri"/>
          <w:i/>
          <w:iCs/>
          <w:color w:val="6A7A92"/>
          <w:sz w:val="17"/>
          <w:szCs w:val="17"/>
        </w:rPr>
        <w:t xml:space="preserve">Table A2 — Operating drivers behind the model.</w:t>
      </w:r>
    </w:p>
    <w:p>
      <w:pPr>
        <w:pStyle w:val="Heading2"/>
        <w:keepNext/>
      </w:pPr>
      <w:r>
        <w:rPr>
          <w:rFonts w:ascii="Georgia" w:cs="Georgia" w:eastAsia="Georgia" w:hAnsi="Georgia"/>
          <w:b/>
          <w:bCs/>
          <w:color w:val="31486A"/>
        </w:rPr>
        <w:t xml:space="preserve">A.3  Sensitivities &amp; key risks</w:t>
      </w:r>
    </w:p>
    <w:p>
      <w:pPr>
        <w:pStyle w:val="ListParagraph"/>
        <w:numPr>
          <w:ilvl w:val="0"/>
          <w:numId w:val="2"/>
        </w:numPr>
        <w:spacing w:after="90" w:line="268"/>
      </w:pPr>
      <w:r>
        <w:rPr>
          <w:rFonts w:ascii="Calibri" w:cs="Calibri" w:eastAsia="Calibri" w:hAnsi="Calibri"/>
          <w:b/>
          <w:bCs/>
          <w:color w:val="13233B"/>
          <w:sz w:val="21"/>
          <w:szCs w:val="21"/>
        </w:rPr>
        <w:t xml:space="preserve">AOV. </w:t>
      </w:r>
      <w:r>
        <w:rPr>
          <w:rFonts w:ascii="Calibri" w:cs="Calibri" w:eastAsia="Calibri" w:hAnsi="Calibri"/>
          <w:color w:val="1A2433"/>
          <w:sz w:val="21"/>
          <w:szCs w:val="21"/>
        </w:rPr>
        <w:t xml:space="preserve">The most load-bearing lever — Year-5 AOV near ₹700 (vs ₹900) compresses contribution materially, since delivery fees barely cover the fleet and commission carries the model.</w:t>
      </w:r>
    </w:p>
    <w:p>
      <w:pPr>
        <w:pStyle w:val="ListParagraph"/>
        <w:numPr>
          <w:ilvl w:val="0"/>
          <w:numId w:val="2"/>
        </w:numPr>
        <w:spacing w:after="90" w:line="268"/>
      </w:pPr>
      <w:r>
        <w:rPr>
          <w:rFonts w:ascii="Calibri" w:cs="Calibri" w:eastAsia="Calibri" w:hAnsi="Calibri"/>
          <w:b/>
          <w:bCs/>
          <w:color w:val="13233B"/>
          <w:sz w:val="21"/>
          <w:szCs w:val="21"/>
        </w:rPr>
        <w:t xml:space="preserve">Fleet cost. </w:t>
      </w:r>
      <w:r>
        <w:rPr>
          <w:rFonts w:ascii="Calibri" w:cs="Calibri" w:eastAsia="Calibri" w:hAnsi="Calibri"/>
          <w:color w:val="1A2433"/>
          <w:sz w:val="21"/>
          <w:szCs w:val="21"/>
        </w:rPr>
        <w:t xml:space="preserve">Agents are modelled at ₹15k/mo + ₹2.5/km; if retention forces higher pay, contribution per order slips and breakeven moves out.</w:t>
      </w:r>
    </w:p>
    <w:p>
      <w:pPr>
        <w:pStyle w:val="ListParagraph"/>
        <w:numPr>
          <w:ilvl w:val="0"/>
          <w:numId w:val="2"/>
        </w:numPr>
        <w:spacing w:after="90" w:line="268"/>
      </w:pPr>
      <w:r>
        <w:rPr>
          <w:rFonts w:ascii="Calibri" w:cs="Calibri" w:eastAsia="Calibri" w:hAnsi="Calibri"/>
          <w:b/>
          <w:bCs/>
          <w:color w:val="13233B"/>
          <w:sz w:val="21"/>
          <w:szCs w:val="21"/>
        </w:rPr>
        <w:t xml:space="preserve">Density. </w:t>
      </w:r>
      <w:r>
        <w:rPr>
          <w:rFonts w:ascii="Calibri" w:cs="Calibri" w:eastAsia="Calibri" w:hAnsi="Calibri"/>
          <w:color w:val="1A2433"/>
          <w:sz w:val="21"/>
          <w:szCs w:val="21"/>
        </w:rPr>
        <w:t xml:space="preserve">At ~100 stores/city against flat orders, per-store throughput is ~2–3 orders/day; the retailer value proposition strengthens as density rises.</w:t>
      </w:r>
    </w:p>
    <w:p>
      <w:pPr>
        <w:pStyle w:val="ListParagraph"/>
        <w:numPr>
          <w:ilvl w:val="0"/>
          <w:numId w:val="2"/>
        </w:numPr>
        <w:spacing w:after="90" w:line="268"/>
      </w:pPr>
      <w:r>
        <w:rPr>
          <w:rFonts w:ascii="Calibri" w:cs="Calibri" w:eastAsia="Calibri" w:hAnsi="Calibri"/>
          <w:b/>
          <w:bCs/>
          <w:color w:val="13233B"/>
          <w:sz w:val="21"/>
          <w:szCs w:val="21"/>
        </w:rPr>
        <w:t xml:space="preserve">Conservative case. </w:t>
      </w:r>
      <w:r>
        <w:rPr>
          <w:rFonts w:ascii="Calibri" w:cs="Calibri" w:eastAsia="Calibri" w:hAnsi="Calibri"/>
          <w:color w:val="1A2433"/>
          <w:sz w:val="21"/>
          <w:szCs w:val="21"/>
        </w:rPr>
        <w:t xml:space="preserve">At 0.65× volume against a fixed cost base, the plan only just breaks even in Year 5 and does not recoup cumulative losses within five years — a real downside.</w:t>
      </w:r>
    </w:p>
    <w:p>
      <w:pPr>
        <w:pStyle w:val="Heading2"/>
        <w:keepNext/>
      </w:pPr>
      <w:r>
        <w:rPr>
          <w:rFonts w:ascii="Georgia" w:cs="Georgia" w:eastAsia="Georgia" w:hAnsi="Georgia"/>
          <w:b/>
          <w:bCs/>
          <w:color w:val="31486A"/>
        </w:rPr>
        <w:t xml:space="preserve">A.4  Market-sizing methodology &amp; sources</w:t>
      </w:r>
    </w:p>
    <w:p>
      <w:pPr>
        <w:spacing w:after="130" w:before="0" w:line="276"/>
        <w:jc w:val="left"/>
      </w:pPr>
      <w:r>
        <w:rPr>
          <w:rFonts w:ascii="Calibri" w:cs="Calibri" w:eastAsia="Calibri" w:hAnsi="Calibri"/>
          <w:color w:val="1A2433"/>
          <w:sz w:val="19"/>
          <w:szCs w:val="19"/>
        </w:rPr>
        <w:t xml:space="preserve">TAM — India fashion &amp; apparel retail ~₹9.6 lakh crore (industry estimate). SAM — India online fashion ~₹1.83 lakh crore (industry/Statista). SOM — bottom-up Year-5 GMV ₹99 crore. Quick-commerce context: India q-commerce GMV ~₹0.6 lakh crore FY25 → ~₹2.9 lakh crore 2030; q-commerce AOV ~₹500, Blinkit ₹625–709. Figures are estimates compiled from public industry sources for sizing only.</w:t>
      </w:r>
    </w:p>
    <w:p>
      <w:pPr>
        <w:spacing w:after="130" w:before="0" w:line="276"/>
        <w:jc w:val="left"/>
      </w:pPr>
      <w:r>
        <w:rPr>
          <w:rFonts w:ascii="Calibri" w:cs="Calibri" w:eastAsia="Calibri" w:hAnsi="Calibri"/>
          <w:b/>
          <w:bCs/>
          <w:color w:val="13233B"/>
          <w:sz w:val="19"/>
          <w:szCs w:val="19"/>
        </w:rPr>
        <w:t xml:space="preserve">Currency note. </w:t>
      </w:r>
      <w:r>
        <w:rPr>
          <w:rFonts w:ascii="Calibri" w:cs="Calibri" w:eastAsia="Calibri" w:hAnsi="Calibri"/>
          <w:color w:val="1A2433"/>
          <w:sz w:val="19"/>
          <w:szCs w:val="19"/>
        </w:rPr>
        <w:t xml:space="preserve">All figures in Indian rupees. 1 crore = ₹10,000,000; 1 lakh = ₹100,000. Market figures are converted from US-dollar industry sources at ₹83 to the dollar. The model is reconciled — every line ties from order value to EBITDA.</w:t>
      </w:r>
    </w:p>
    <w:p>
      <w:pPr>
        <w:spacing w:after="40"/>
      </w:pPr>
      <w:r>
        <w:rPr>
          <w:sz w:val="2"/>
          <w:szCs w:val="2"/>
        </w:rPr>
        <w:t xml:space="preserve"/>
      </w:r>
    </w:p>
    <w:p>
      <w:pPr>
        <w:pBdr>
          <w:top w:val="single" w:color="E6EAF0" w:sz="6" w:space="8"/>
        </w:pBdr>
        <w:spacing w:before="120"/>
        <w:jc w:val="center"/>
      </w:pPr>
      <w:r>
        <w:rPr>
          <w:rFonts w:ascii="Calibri" w:cs="Calibri" w:eastAsia="Calibri" w:hAnsi="Calibri"/>
          <w:i/>
          <w:iCs/>
          <w:color w:val="6A7A92"/>
          <w:sz w:val="16"/>
          <w:szCs w:val="16"/>
        </w:rPr>
        <w:t xml:space="preserve">Trendzo  ·  Investor Brief  ·  June 2026  ·  v1.0  ·  Strictly private &amp; confidential</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AF0" w:sz="4" w:space="6"/>
      </w:pBdr>
      <w:tabs>
        <w:tab w:val="right" w:pos="9360"/>
      </w:tabs>
    </w:pPr>
    <w:r>
      <w:rPr>
        <w:rFonts w:ascii="Calibri" w:cs="Calibri" w:eastAsia="Calibri" w:hAnsi="Calibri"/>
        <w:color w:val="6A7A92"/>
        <w:sz w:val="15"/>
        <w:szCs w:val="15"/>
      </w:rPr>
      <w:t xml:space="preserve">Trendzo  ·  Strictly private &amp; confidential — not for distribution</w:t>
    </w:r>
    <w:r>
      <w:rPr>
        <w:rFonts w:ascii="Calibri" w:cs="Calibri" w:eastAsia="Calibri" w:hAnsi="Calibri"/>
        <w:color w:val="6A7A92"/>
        <w:sz w:val="15"/>
        <w:szCs w:val="15"/>
      </w:rPr>
      <w:t xml:space="preserve">	Page </w:t>
    </w:r>
    <w:r>
      <w:rPr>
        <w:rFonts w:ascii="Calibri" w:cs="Calibri" w:eastAsia="Calibri" w:hAnsi="Calibri"/>
        <w:color w:val="6A7A9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AF0" w:sz="4" w:space="6"/>
      </w:pBdr>
      <w:tabs>
        <w:tab w:val="right" w:pos="9360"/>
      </w:tabs>
      <w:spacing w:after="0"/>
    </w:pPr>
    <w:r>
      <w:rPr>
        <w:rFonts w:ascii="Calibri" w:cs="Calibri" w:eastAsia="Calibri" w:hAnsi="Calibri"/>
        <w:b/>
        <w:bCs/>
        <w:color w:val="6A7A92"/>
        <w:spacing w:val="20"/>
        <w:sz w:val="14"/>
        <w:szCs w:val="14"/>
      </w:rPr>
      <w:t xml:space="preserve">TRENDZO — INVESTOR BRIEF</w:t>
    </w:r>
    <w:r>
      <w:rPr>
        <w:rFonts w:ascii="Calibri" w:cs="Calibri" w:eastAsia="Calibri" w:hAnsi="Calibri"/>
        <w:color w:val="6A7A92"/>
        <w:sz w:val="14"/>
        <w:szCs w:val="14"/>
      </w:rPr>
      <w:t xml:space="preserve">	Pre-seed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0" w:hanging="230"/>
      </w:pPr>
      <w:rPr>
        <w:rFonts w:ascii="Calibri" w:cs="Calibri" w:eastAsia="Calibri" w:hAnsi="Calibri"/>
        <w:color w:val="D6336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50" w:before="300"/>
      <w:outlineLvl w:val="0"/>
    </w:pPr>
    <w:rPr>
      <w:rFonts w:ascii="Georgia" w:cs="Georgia" w:eastAsia="Georgia" w:hAnsi="Georgia"/>
      <w:b/>
      <w:bCs/>
      <w:color w:val="13233B"/>
      <w:sz w:val="32"/>
      <w:szCs w:val="32"/>
    </w:rPr>
  </w:style>
  <w:style w:type="paragraph" w:styleId="Heading2">
    <w:name w:val="Heading 2"/>
    <w:basedOn w:val="Normal"/>
    <w:next w:val="Normal"/>
    <w:qFormat/>
    <w:pPr>
      <w:keepNext/>
      <w:spacing w:after="90" w:before="230"/>
      <w:outlineLvl w:val="1"/>
    </w:pPr>
    <w:rPr>
      <w:rFonts w:ascii="Georgia" w:cs="Georgia" w:eastAsia="Georgia" w:hAnsi="Georgia"/>
      <w:b/>
      <w:bCs/>
      <w:color w:val="31486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3bef593133d30b461b125f6068615deaf5b92f.png"/><Relationship Id="rId10" Type="http://schemas.openxmlformats.org/officeDocument/2006/relationships/image" Target="media/35028187e87d85fab1fe12dd6105748fca639757.png"/><Relationship Id="rId11" Type="http://schemas.openxmlformats.org/officeDocument/2006/relationships/image" Target="media/d6a0987837280d0a7d131dc02671750ec7481011.png"/><Relationship Id="rId12" Type="http://schemas.openxmlformats.org/officeDocument/2006/relationships/image" Target="media/2a8a370b63f3659ac988b6f406d8f6e9df5095e9.png"/><Relationship Id="rId13" Type="http://schemas.openxmlformats.org/officeDocument/2006/relationships/image" Target="media/c5a76c20fb7663366dba74bab984a7fea6d51e02.png"/><Relationship Id="rId14" Type="http://schemas.openxmlformats.org/officeDocument/2006/relationships/image" Target="media/b89a7ddd01b34f758a258176743be155ecd9b3f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2026-06-22T12:10:54.612Z</dcterms:created>
  <dcterms:modified xsi:type="dcterms:W3CDTF">2026-06-22T12:10:54.627Z</dcterms:modified>
</cp:coreProperties>
</file>

<file path=docProps/custom.xml><?xml version="1.0" encoding="utf-8"?>
<Properties xmlns="http://schemas.openxmlformats.org/officeDocument/2006/custom-properties" xmlns:vt="http://schemas.openxmlformats.org/officeDocument/2006/docPropsVTypes"/>
</file>