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Pr="007D553D" w:rsidR="00177915" w:rsidP="007D553D" w:rsidRDefault="00BA25B9" w14:paraId="51E3719D" w14:textId="77777777">
      <w:pPr>
        <w:pStyle w:val="Heading1"/>
      </w:pPr>
      <w:r w:rsidR="00BA25B9">
        <w:rPr/>
        <w:t>CS 405 Project Two Script Template</w:t>
      </w:r>
    </w:p>
    <w:p w:rsidR="6A889ED1" w:rsidP="64E098EA" w:rsidRDefault="6A889ED1" w14:paraId="2CD0FAFB" w14:textId="69897185">
      <w:pPr>
        <w:pStyle w:val="Normal"/>
        <w:rPr>
          <w:rFonts w:ascii="Calibri" w:hAnsi="Calibri" w:eastAsia="Calibri" w:cs="Calibri"/>
          <w:noProof w:val="0"/>
          <w:sz w:val="22"/>
          <w:szCs w:val="22"/>
          <w:lang w:val="en-US"/>
        </w:rPr>
      </w:pPr>
      <w:r w:rsidR="6A889ED1">
        <w:rPr/>
        <w:t xml:space="preserve">Presentation link </w:t>
      </w:r>
      <w:hyperlink r:id="R660c2f36d3dc49f8">
        <w:r w:rsidRPr="64E098EA" w:rsidR="6A889ED1">
          <w:rPr>
            <w:rStyle w:val="Hyperlink"/>
            <w:rFonts w:ascii="Lato" w:hAnsi="Lato" w:eastAsia="Lato" w:cs="Lato"/>
            <w:b w:val="0"/>
            <w:bCs w:val="0"/>
            <w:i w:val="0"/>
            <w:iCs w:val="0"/>
            <w:caps w:val="0"/>
            <w:smallCaps w:val="0"/>
            <w:strike w:val="0"/>
            <w:dstrike w:val="0"/>
            <w:noProof w:val="0"/>
            <w:color w:val="006FBF"/>
            <w:sz w:val="28"/>
            <w:szCs w:val="28"/>
            <w:u w:val="none"/>
            <w:lang w:val="en-US"/>
          </w:rPr>
          <w:t>https://youtu.be/J0KMIeJuCmE?si=fFmKk130lV79vf_S</w:t>
        </w:r>
      </w:hyperlink>
    </w:p>
    <w:p w:rsidR="64E098EA" w:rsidRDefault="64E098EA" w14:paraId="242BEAC3" w14:textId="4A94630E">
      <w:r w:rsidR="64E098EA">
        <w:drawing>
          <wp:anchor distT="0" distB="0" distL="114300" distR="114300" simplePos="0" relativeHeight="251658240" behindDoc="0" locked="0" layoutInCell="1" allowOverlap="1" wp14:editId="41F17F5C" wp14:anchorId="7A6A57BA">
            <wp:simplePos x="0" y="0"/>
            <wp:positionH relativeFrom="column">
              <wp:align>left</wp:align>
            </wp:positionH>
            <wp:positionV relativeFrom="paragraph">
              <wp:posOffset>0</wp:posOffset>
            </wp:positionV>
            <wp:extent cx="5772150" cy="3343275"/>
            <wp:effectExtent l="0" t="0" r="0" b="0"/>
            <wp:wrapSquare wrapText="bothSides"/>
            <wp:docPr id="463723877" name="picture" title="Video titled: Project2 Trenton Mendiola">
              <a:hlinkClick r:id="R5a2d15781a3c416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989779b7dea74eb5">
                      <a:extLst>
                        <a:ext xmlns:a="http://schemas.openxmlformats.org/drawingml/2006/main" uri="{28A0092B-C50C-407E-A947-70E740481C1C}">
                          <a14:useLocalDpi val="0"/>
                        </a:ext>
                        <a:ext uri="http://schemas.microsoft.com/office/word/2020/oembed">
                          <woe:oembed oEmbedUrl="https://youtu.be/J0KMIeJuCmE?si=fFmKk130lV79vf_S"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64E098EA" w:rsidP="64E098EA" w:rsidRDefault="64E098EA" w14:paraId="55F42C32" w14:textId="07E879DF">
      <w:pPr>
        <w:pStyle w:val="Normal"/>
        <w:rPr>
          <w:rFonts w:ascii="Lato" w:hAnsi="Lato" w:eastAsia="Lato" w:cs="Lato"/>
          <w:b w:val="0"/>
          <w:bCs w:val="0"/>
          <w:i w:val="0"/>
          <w:iCs w:val="0"/>
          <w:caps w:val="0"/>
          <w:smallCaps w:val="0"/>
          <w:strike w:val="0"/>
          <w:dstrike w:val="0"/>
          <w:noProof w:val="0"/>
          <w:color w:val="006FBF"/>
          <w:sz w:val="28"/>
          <w:szCs w:val="28"/>
          <w:u w:val="none"/>
          <w:lang w:val="en-US"/>
        </w:rPr>
      </w:pPr>
    </w:p>
    <w:p w:rsidR="007D553D" w:rsidP="007D553D" w:rsidRDefault="007D553D" w14:paraId="1D8A85EE" w14:textId="77777777">
      <w:pPr>
        <w:suppressAutoHyphens/>
        <w:spacing w:after="0" w:line="240" w:lineRule="auto"/>
        <w:jc w:val="center"/>
        <w:rPr>
          <w:b/>
        </w:rPr>
      </w:pPr>
    </w:p>
    <w:p w:rsidRPr="007D553D" w:rsidR="007D553D" w:rsidP="007D553D" w:rsidRDefault="007D553D" w14:paraId="6640B288" w14:textId="77777777">
      <w:pPr>
        <w:suppressAutoHyphens/>
        <w:spacing w:after="0" w:line="240" w:lineRule="auto"/>
        <w:rPr>
          <w:b/>
        </w:rPr>
      </w:pPr>
      <w:r w:rsidRPr="007D553D">
        <w:rPr>
          <w:color w:val="000000"/>
        </w:rPr>
        <w:t>Complete this template by replacing the bracketed text with the relevant information.</w:t>
      </w:r>
    </w:p>
    <w:p w:rsidRPr="007D553D" w:rsidR="007D553D" w:rsidP="007D553D" w:rsidRDefault="007D553D" w14:paraId="5B0DF8A6" w14:textId="77777777">
      <w:pPr>
        <w:suppressAutoHyphens/>
        <w:spacing w:after="0" w:line="240" w:lineRule="auto"/>
        <w:jc w:val="center"/>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15"/>
        <w:gridCol w:w="7455"/>
      </w:tblGrid>
      <w:tr w:rsidRPr="007D553D" w:rsidR="00177915" w:rsidTr="179C2767" w14:paraId="35AE1259" w14:textId="77777777">
        <w:trPr>
          <w:trHeight w:val="1373"/>
          <w:tblHeader/>
        </w:trPr>
        <w:tc>
          <w:tcPr>
            <w:tcW w:w="2115" w:type="dxa"/>
            <w:tcMar/>
            <w:vAlign w:val="center"/>
          </w:tcPr>
          <w:p w:rsidRPr="007D553D" w:rsidR="00177915" w:rsidP="007D553D" w:rsidRDefault="00BA25B9" w14:paraId="4208F210" w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6C3B3005" w14:textId="77777777">
            <w:pPr>
              <w:suppressAutoHyphens/>
              <w:jc w:val="center"/>
              <w:rPr>
                <w:b/>
              </w:rPr>
            </w:pPr>
            <w:r w:rsidRPr="007D553D">
              <w:rPr>
                <w:b/>
              </w:rPr>
              <w:t>Narrative</w:t>
            </w:r>
          </w:p>
        </w:tc>
      </w:tr>
      <w:tr w:rsidRPr="007D553D" w:rsidR="00177915" w:rsidTr="179C2767" w14:paraId="1C716D72" w14:textId="77777777">
        <w:trPr>
          <w:trHeight w:val="1296"/>
        </w:trPr>
        <w:tc>
          <w:tcPr>
            <w:tcW w:w="2115" w:type="dxa"/>
            <w:tcMar/>
            <w:vAlign w:val="center"/>
          </w:tcPr>
          <w:p w:rsidRPr="007D553D" w:rsidR="00177915" w:rsidP="007D553D" w:rsidRDefault="00BA25B9" w14:paraId="7202B4C6" w14:textId="77777777">
            <w:pPr>
              <w:suppressAutoHyphens/>
              <w:jc w:val="center"/>
              <w:rPr>
                <w:b/>
              </w:rPr>
            </w:pPr>
            <w:r w:rsidRPr="007D553D">
              <w:rPr>
                <w:b/>
              </w:rPr>
              <w:t>1</w:t>
            </w:r>
          </w:p>
        </w:tc>
        <w:tc>
          <w:tcPr>
            <w:tcW w:w="7455" w:type="dxa"/>
            <w:tcMar/>
          </w:tcPr>
          <w:p w:rsidRPr="007D553D" w:rsidR="00177915" w:rsidP="4C28AC1B" w:rsidRDefault="007D553D" w14:paraId="6CDE04F7" w14:textId="14D5DBCA">
            <w:pPr>
              <w:pStyle w:val="Normal"/>
              <w:suppressLineNumbers w:val="0"/>
              <w:bidi w:val="0"/>
              <w:spacing w:before="0" w:beforeAutospacing="off" w:after="0" w:afterAutospacing="off" w:line="240" w:lineRule="auto"/>
              <w:ind w:left="0" w:right="0"/>
              <w:jc w:val="left"/>
            </w:pPr>
            <w:r w:rsidR="4198F7F6">
              <w:rPr/>
              <w:t>Hello</w:t>
            </w:r>
            <w:r w:rsidR="4198F7F6">
              <w:rPr/>
              <w:t xml:space="preserve"> my name is Trenton </w:t>
            </w:r>
            <w:r w:rsidR="4198F7F6">
              <w:rPr/>
              <w:t>Mendiola</w:t>
            </w:r>
            <w:r w:rsidR="4198F7F6">
              <w:rPr/>
              <w:t xml:space="preserve"> and this is an overview of the </w:t>
            </w:r>
            <w:r w:rsidR="4198F7F6">
              <w:rPr/>
              <w:t>Green Pace</w:t>
            </w:r>
            <w:r w:rsidR="4198F7F6">
              <w:rPr/>
              <w:t xml:space="preserve"> security policy</w:t>
            </w:r>
          </w:p>
        </w:tc>
      </w:tr>
      <w:tr w:rsidRPr="007D553D" w:rsidR="00177915" w:rsidTr="179C2767" w14:paraId="389ED8C6" w14:textId="77777777">
        <w:trPr>
          <w:trHeight w:val="1373"/>
        </w:trPr>
        <w:tc>
          <w:tcPr>
            <w:tcW w:w="2115" w:type="dxa"/>
            <w:tcMar/>
            <w:vAlign w:val="center"/>
          </w:tcPr>
          <w:p w:rsidRPr="007D553D" w:rsidR="00177915" w:rsidP="007D553D" w:rsidRDefault="00BA25B9" w14:paraId="46806FAD" w14:textId="77777777">
            <w:pPr>
              <w:suppressAutoHyphens/>
              <w:jc w:val="center"/>
              <w:rPr>
                <w:b/>
              </w:rPr>
            </w:pPr>
            <w:r w:rsidRPr="007D553D">
              <w:rPr>
                <w:b/>
              </w:rPr>
              <w:t>2</w:t>
            </w:r>
          </w:p>
        </w:tc>
        <w:tc>
          <w:tcPr>
            <w:tcW w:w="7455" w:type="dxa"/>
            <w:tcMar/>
          </w:tcPr>
          <w:p w:rsidRPr="007D553D" w:rsidR="00177915" w:rsidP="007D553D" w:rsidRDefault="007D553D" w14:paraId="484921B4" w14:textId="780A355C">
            <w:pPr>
              <w:suppressAutoHyphens/>
            </w:pPr>
            <w:r w:rsidR="6F1D5FE1">
              <w:rPr/>
              <w:t xml:space="preserve">The security policy is needed as Green Pace is moving from </w:t>
            </w:r>
            <w:r w:rsidR="6F1D5FE1">
              <w:rPr/>
              <w:t>a DevOps</w:t>
            </w:r>
            <w:r w:rsidR="6F1D5FE1">
              <w:rPr/>
              <w:t xml:space="preserve"> practice to a </w:t>
            </w:r>
            <w:r w:rsidR="6F1D5FE1">
              <w:rPr/>
              <w:t>DevSecOps</w:t>
            </w:r>
            <w:r w:rsidR="6F1D5FE1">
              <w:rPr/>
              <w:t xml:space="preserve">. The policy serves as a guide following it will ensure that each element of the system is </w:t>
            </w:r>
            <w:r w:rsidR="0DC9A685">
              <w:rPr/>
              <w:t>following</w:t>
            </w:r>
            <w:r w:rsidR="6F1D5FE1">
              <w:rPr/>
              <w:t xml:space="preserve"> proper security </w:t>
            </w:r>
            <w:r w:rsidR="0AC01864">
              <w:rPr/>
              <w:t>protocol</w:t>
            </w:r>
            <w:r w:rsidR="6F1D5FE1">
              <w:rPr/>
              <w:t xml:space="preserve">. This policy covers 10 coding standards that serve as rules and guides so that individuals follow each of the 10 coding principles. The policy also covers how </w:t>
            </w:r>
            <w:r w:rsidR="4C730691">
              <w:rPr/>
              <w:t>to implement</w:t>
            </w:r>
            <w:r w:rsidR="6F1D5FE1">
              <w:rPr/>
              <w:t xml:space="preserve"> the three encryption </w:t>
            </w:r>
            <w:r w:rsidR="6F1D5FE1">
              <w:rPr/>
              <w:t>polices</w:t>
            </w:r>
            <w:r w:rsidR="6F1D5FE1">
              <w:rPr/>
              <w:t xml:space="preserve">, the </w:t>
            </w:r>
            <w:r w:rsidR="6F1D5FE1">
              <w:rPr/>
              <w:t>tripe</w:t>
            </w:r>
            <w:r w:rsidR="6F1D5FE1">
              <w:rPr/>
              <w:t xml:space="preserve"> A </w:t>
            </w:r>
            <w:r w:rsidR="1954DE1D">
              <w:rPr/>
              <w:t>polices</w:t>
            </w:r>
            <w:r w:rsidR="6F1D5FE1">
              <w:rPr/>
              <w:t xml:space="preserve">, unit testing, and </w:t>
            </w:r>
            <w:r w:rsidR="699EE927">
              <w:rPr/>
              <w:t>automaton</w:t>
            </w:r>
            <w:r w:rsidR="6F1D5FE1">
              <w:rPr/>
              <w:t>.</w:t>
            </w:r>
          </w:p>
        </w:tc>
      </w:tr>
      <w:tr w:rsidRPr="007D553D" w:rsidR="00177915" w:rsidTr="179C2767" w14:paraId="60921BDE" w14:textId="77777777">
        <w:trPr>
          <w:trHeight w:val="1296"/>
        </w:trPr>
        <w:tc>
          <w:tcPr>
            <w:tcW w:w="2115" w:type="dxa"/>
            <w:tcMar/>
            <w:vAlign w:val="center"/>
          </w:tcPr>
          <w:p w:rsidRPr="007D553D" w:rsidR="00177915" w:rsidP="007D553D" w:rsidRDefault="00BA25B9" w14:paraId="40EEEA5D" w14:textId="77777777">
            <w:pPr>
              <w:suppressAutoHyphens/>
              <w:jc w:val="center"/>
              <w:rPr>
                <w:b/>
              </w:rPr>
            </w:pPr>
            <w:r w:rsidRPr="007D553D">
              <w:rPr>
                <w:b/>
              </w:rPr>
              <w:t>3</w:t>
            </w:r>
          </w:p>
        </w:tc>
        <w:tc>
          <w:tcPr>
            <w:tcW w:w="7455" w:type="dxa"/>
            <w:tcMar/>
          </w:tcPr>
          <w:p w:rsidRPr="007D553D" w:rsidR="00177915" w:rsidP="179C2767" w:rsidRDefault="007D553D" w14:paraId="28A1C1BC" w14:textId="484E5A7B">
            <w:pPr>
              <w:pStyle w:val="Normal"/>
              <w:suppressLineNumbers w:val="0"/>
              <w:bidi w:val="0"/>
              <w:spacing w:before="0" w:beforeAutospacing="off" w:after="0" w:afterAutospacing="off" w:line="240" w:lineRule="auto"/>
              <w:ind w:left="0" w:right="0"/>
              <w:jc w:val="left"/>
            </w:pPr>
            <w:r w:rsidR="3A7CEA06">
              <w:rPr/>
              <w:t xml:space="preserve">This is the threats matrix </w:t>
            </w:r>
            <w:r w:rsidR="2EDC7D1F">
              <w:rPr/>
              <w:t>which</w:t>
            </w:r>
            <w:r w:rsidR="3A7CEA06">
              <w:rPr/>
              <w:t xml:space="preserve"> p</w:t>
            </w:r>
            <w:r w:rsidR="3A7CEA06">
              <w:rPr/>
              <w:t xml:space="preserve">rovides an overview </w:t>
            </w:r>
            <w:r w:rsidR="1B9C17E4">
              <w:rPr/>
              <w:t>of</w:t>
            </w:r>
            <w:r w:rsidR="3A7CEA06">
              <w:rPr/>
              <w:t xml:space="preserve"> how likely each threat is to be taken </w:t>
            </w:r>
            <w:r w:rsidR="74999017">
              <w:rPr/>
              <w:t>advantage</w:t>
            </w:r>
            <w:r w:rsidR="3A7CEA06">
              <w:rPr/>
              <w:t xml:space="preserve"> of. </w:t>
            </w:r>
            <w:r w:rsidR="167506DF">
              <w:rPr/>
              <w:t xml:space="preserve">This ranges from unlikely to priority. Where unlikely is as it suggests unlikely to occur and should not take </w:t>
            </w:r>
            <w:r w:rsidR="39C5E6FA">
              <w:rPr/>
              <w:t>priority</w:t>
            </w:r>
            <w:r w:rsidR="167506DF">
              <w:rPr/>
              <w:t xml:space="preserve">. While Priority </w:t>
            </w:r>
            <w:r w:rsidR="167506DF">
              <w:rPr/>
              <w:t>indicates</w:t>
            </w:r>
            <w:r w:rsidR="167506DF">
              <w:rPr/>
              <w:t xml:space="preserve"> that it is likely to occur and can cause </w:t>
            </w:r>
            <w:r w:rsidR="167506DF">
              <w:rPr/>
              <w:t>serios</w:t>
            </w:r>
            <w:r w:rsidR="167506DF">
              <w:rPr/>
              <w:t xml:space="preserve"> issues if not </w:t>
            </w:r>
            <w:r w:rsidR="3A3A164D">
              <w:rPr/>
              <w:t>address</w:t>
            </w:r>
            <w:r w:rsidR="167506DF">
              <w:rPr/>
              <w:t xml:space="preserve"> so</w:t>
            </w:r>
            <w:r w:rsidR="167506DF">
              <w:rPr/>
              <w:t xml:space="preserve"> they should </w:t>
            </w:r>
            <w:r w:rsidR="7B93B2AF">
              <w:rPr/>
              <w:t xml:space="preserve">take priority. The </w:t>
            </w:r>
            <w:r w:rsidR="188B1B58">
              <w:rPr/>
              <w:t>vulnerabilities</w:t>
            </w:r>
            <w:r w:rsidR="7B93B2AF">
              <w:rPr/>
              <w:t xml:space="preserve"> present</w:t>
            </w:r>
            <w:r w:rsidR="1A218A58">
              <w:rPr/>
              <w:t xml:space="preserve">  in </w:t>
            </w:r>
            <w:r w:rsidR="54DCFBAC">
              <w:rPr/>
              <w:t>priority</w:t>
            </w:r>
            <w:r w:rsidR="1A218A58">
              <w:rPr/>
              <w:t xml:space="preserve"> as stated by Carnegie Mellon University in the wiki “SEI CERT C++ Coding Standard” </w:t>
            </w:r>
            <w:r w:rsidR="7B93B2AF">
              <w:rPr/>
              <w:t>all pose threats that will compromise a system and use common tactics to do so like buffer flows</w:t>
            </w:r>
            <w:r w:rsidR="3EC9EC3F">
              <w:rPr/>
              <w:t xml:space="preserve"> </w:t>
            </w:r>
            <w:r w:rsidR="6FEBC123">
              <w:rPr/>
              <w:t>which</w:t>
            </w:r>
            <w:r w:rsidR="3EC9EC3F">
              <w:rPr/>
              <w:t xml:space="preserve"> is why I have placed them in priority (Carnegie Mellon University, </w:t>
            </w:r>
            <w:r w:rsidR="2D954F5C">
              <w:rPr/>
              <w:t>n.x</w:t>
            </w:r>
            <w:r w:rsidR="2D954F5C">
              <w:rPr/>
              <w:t>).</w:t>
            </w:r>
            <w:r w:rsidR="7B93B2AF">
              <w:rPr/>
              <w:t xml:space="preserve"> </w:t>
            </w:r>
            <w:r w:rsidR="25E4D476">
              <w:rPr/>
              <w:t xml:space="preserve">Where the threats in </w:t>
            </w:r>
            <w:r w:rsidR="1CAE173C">
              <w:rPr/>
              <w:t xml:space="preserve">the </w:t>
            </w:r>
            <w:r w:rsidR="1CAE173C">
              <w:rPr/>
              <w:t>likely category</w:t>
            </w:r>
            <w:r w:rsidR="1CAE173C">
              <w:rPr/>
              <w:t xml:space="preserve"> can all be taken advantage of through common exploits but pose less of a threat (Carnegie Mellon University, </w:t>
            </w:r>
            <w:r w:rsidR="1CAE173C">
              <w:rPr/>
              <w:t>nd</w:t>
            </w:r>
            <w:r w:rsidR="1CAE173C">
              <w:rPr/>
              <w:t xml:space="preserve">). Low </w:t>
            </w:r>
            <w:r w:rsidR="0F871FBD">
              <w:rPr/>
              <w:t>priority</w:t>
            </w:r>
            <w:r w:rsidR="1CAE173C">
              <w:rPr/>
              <w:t xml:space="preserve"> may not be commonly taken advantage of an</w:t>
            </w:r>
            <w:r w:rsidR="32A02E0F">
              <w:rPr/>
              <w:t xml:space="preserve">d does not pose </w:t>
            </w:r>
            <w:r w:rsidR="32A02E0F">
              <w:rPr/>
              <w:t>as serios of a</w:t>
            </w:r>
            <w:r w:rsidR="32A02E0F">
              <w:rPr/>
              <w:t xml:space="preserve"> threat (Carnegie Mellon University, </w:t>
            </w:r>
            <w:r w:rsidR="32A02E0F">
              <w:rPr/>
              <w:t>n.d</w:t>
            </w:r>
            <w:r w:rsidR="32A02E0F">
              <w:rPr/>
              <w:t xml:space="preserve">). Lastly Unlikely features threats that are just not likely to be taken advantage of although they should still be addressed (Carnegie Mellon University, </w:t>
            </w:r>
            <w:r w:rsidR="32A02E0F">
              <w:rPr/>
              <w:t>nd</w:t>
            </w:r>
            <w:r w:rsidR="32A02E0F">
              <w:rPr/>
              <w:t xml:space="preserve">). </w:t>
            </w:r>
          </w:p>
        </w:tc>
      </w:tr>
      <w:tr w:rsidRPr="007D553D" w:rsidR="00177915" w:rsidTr="179C2767" w14:paraId="3E69DF9E" w14:textId="77777777">
        <w:trPr>
          <w:trHeight w:val="1373"/>
        </w:trPr>
        <w:tc>
          <w:tcPr>
            <w:tcW w:w="2115" w:type="dxa"/>
            <w:tcMar/>
            <w:vAlign w:val="center"/>
          </w:tcPr>
          <w:p w:rsidRPr="007D553D" w:rsidR="00177915" w:rsidP="007D553D" w:rsidRDefault="00BA25B9" w14:paraId="6043F3EE" w14:textId="77777777">
            <w:pPr>
              <w:suppressAutoHyphens/>
              <w:jc w:val="center"/>
              <w:rPr>
                <w:b/>
              </w:rPr>
            </w:pPr>
            <w:r w:rsidRPr="007D553D">
              <w:rPr>
                <w:b/>
              </w:rPr>
              <w:t>4</w:t>
            </w:r>
          </w:p>
        </w:tc>
        <w:tc>
          <w:tcPr>
            <w:tcW w:w="7455" w:type="dxa"/>
            <w:tcMar/>
          </w:tcPr>
          <w:p w:rsidRPr="007D553D" w:rsidR="00177915" w:rsidP="4C28AC1B" w:rsidRDefault="007D553D" w14:paraId="29F1DAF6" w14:textId="6D8FB62A">
            <w:pPr>
              <w:pStyle w:val="Normal"/>
              <w:suppressLineNumbers w:val="0"/>
              <w:bidi w:val="0"/>
              <w:spacing w:before="0" w:beforeAutospacing="off" w:after="0" w:afterAutospacing="off" w:line="240" w:lineRule="auto"/>
              <w:ind w:left="0" w:right="0"/>
              <w:jc w:val="left"/>
            </w:pPr>
            <w:r w:rsidR="09CF0856">
              <w:rPr/>
              <w:t xml:space="preserve">The ten coding </w:t>
            </w:r>
            <w:r w:rsidR="09CF0856">
              <w:rPr/>
              <w:t>principles</w:t>
            </w:r>
            <w:r w:rsidR="09CF0856">
              <w:rPr/>
              <w:t xml:space="preserve"> are Validate Input Data, Heed Compiler Warnings, </w:t>
            </w:r>
            <w:r w:rsidR="03202743">
              <w:rPr/>
              <w:t xml:space="preserve">Architect and Design for Security Policies, Keep It Simple, Default Deny, Adhere to the Principle of Least Privilege, Sanitize Data sent to Other Systems, Practice Defense in Depth, Use Effective Quality Assurance Techniques, and Adopt a Secure Coding Standard. </w:t>
            </w:r>
            <w:r w:rsidR="28417B2B">
              <w:rPr/>
              <w:t xml:space="preserve">The coding standards listed below </w:t>
            </w:r>
            <w:r w:rsidR="28417B2B">
              <w:rPr/>
              <w:t xml:space="preserve">some of the </w:t>
            </w:r>
            <w:r w:rsidR="59CDB66E">
              <w:rPr/>
              <w:t>principles</w:t>
            </w:r>
            <w:r w:rsidR="28417B2B">
              <w:rPr/>
              <w:t xml:space="preserve"> are the </w:t>
            </w:r>
            <w:r w:rsidR="77453DA0">
              <w:rPr/>
              <w:t>standard</w:t>
            </w:r>
            <w:r w:rsidR="0D035CB4">
              <w:rPr/>
              <w:t>s</w:t>
            </w:r>
            <w:r w:rsidR="28417B2B">
              <w:rPr/>
              <w:t xml:space="preserve"> </w:t>
            </w:r>
            <w:r w:rsidR="28417B2B">
              <w:rPr/>
              <w:t xml:space="preserve">that apply to that principle. </w:t>
            </w:r>
            <w:r w:rsidR="1E916C68">
              <w:rPr/>
              <w:t>Validate input data</w:t>
            </w:r>
            <w:r w:rsidR="67DD3ABB">
              <w:rPr/>
              <w:t xml:space="preserve"> is associated with </w:t>
            </w:r>
            <w:r w:rsidR="37AD67FF">
              <w:rPr/>
              <w:t xml:space="preserve">coding standard 4 </w:t>
            </w:r>
            <w:r w:rsidR="67DD3ABB">
              <w:rPr/>
              <w:t xml:space="preserve">as this standard </w:t>
            </w:r>
            <w:r w:rsidR="6BDE1106">
              <w:rPr/>
              <w:t xml:space="preserve">works to ensure user input is valid data. </w:t>
            </w:r>
            <w:r w:rsidR="40F406FF">
              <w:rPr/>
              <w:t xml:space="preserve">Heed Complier </w:t>
            </w:r>
            <w:r w:rsidR="07EF645A">
              <w:rPr/>
              <w:t>warnings</w:t>
            </w:r>
            <w:r w:rsidR="40F406FF">
              <w:rPr/>
              <w:t xml:space="preserve"> </w:t>
            </w:r>
            <w:r w:rsidR="40F406FF">
              <w:rPr/>
              <w:t>is</w:t>
            </w:r>
            <w:r w:rsidR="40F406FF">
              <w:rPr/>
              <w:t xml:space="preserve"> </w:t>
            </w:r>
            <w:r w:rsidR="7EF43106">
              <w:rPr/>
              <w:t>associated</w:t>
            </w:r>
            <w:r w:rsidR="40F406FF">
              <w:rPr/>
              <w:t xml:space="preserve"> with coding standards 1, 2, 4, 7, and 9. Each of </w:t>
            </w:r>
            <w:r w:rsidR="40F406FF">
              <w:rPr/>
              <w:t>standards</w:t>
            </w:r>
            <w:r w:rsidR="40F406FF">
              <w:rPr/>
              <w:t xml:space="preserve"> address issues that would present </w:t>
            </w:r>
            <w:r w:rsidR="37F28AAF">
              <w:rPr/>
              <w:t>themselves</w:t>
            </w:r>
            <w:r w:rsidR="33C9E5EA">
              <w:rPr/>
              <w:t xml:space="preserve"> as </w:t>
            </w:r>
            <w:r w:rsidR="70B892B3">
              <w:rPr/>
              <w:t>compiler</w:t>
            </w:r>
            <w:r w:rsidR="33C9E5EA">
              <w:rPr/>
              <w:t xml:space="preserve"> warnings and by following the standard you are then following the principle. The </w:t>
            </w:r>
            <w:r w:rsidR="33C9E5EA">
              <w:rPr/>
              <w:t>principle</w:t>
            </w:r>
            <w:r w:rsidR="33C9E5EA">
              <w:rPr/>
              <w:t xml:space="preserve"> </w:t>
            </w:r>
            <w:r w:rsidR="5EBF32F8">
              <w:rPr/>
              <w:t>Use</w:t>
            </w:r>
            <w:r w:rsidR="33C9E5EA">
              <w:rPr/>
              <w:t xml:space="preserve"> Effective </w:t>
            </w:r>
            <w:r w:rsidR="453294C0">
              <w:rPr/>
              <w:t>Quality</w:t>
            </w:r>
            <w:r w:rsidR="33C9E5EA">
              <w:rPr/>
              <w:t xml:space="preserve"> Assurance Techniques is </w:t>
            </w:r>
            <w:r w:rsidR="16F4D998">
              <w:rPr/>
              <w:t>associated</w:t>
            </w:r>
            <w:r w:rsidR="33C9E5EA">
              <w:rPr/>
              <w:t xml:space="preserve"> with coding standards 6, 8, </w:t>
            </w:r>
            <w:r w:rsidR="0D2508E2">
              <w:rPr/>
              <w:t xml:space="preserve">9, and 10. Each of these standards all work to apply </w:t>
            </w:r>
            <w:r w:rsidR="188D9780">
              <w:rPr/>
              <w:t>quality</w:t>
            </w:r>
            <w:r w:rsidR="0D2508E2">
              <w:rPr/>
              <w:t xml:space="preserve"> assurance </w:t>
            </w:r>
            <w:r w:rsidR="05D87C43">
              <w:rPr/>
              <w:t>techniques</w:t>
            </w:r>
            <w:r w:rsidR="0D2508E2">
              <w:rPr/>
              <w:t xml:space="preserve"> into your code to </w:t>
            </w:r>
            <w:r w:rsidR="0A39B577">
              <w:rPr/>
              <w:t>following</w:t>
            </w:r>
            <w:r w:rsidR="6BDFB269">
              <w:rPr/>
              <w:t xml:space="preserve"> the </w:t>
            </w:r>
            <w:r w:rsidR="6BDFB269">
              <w:rPr/>
              <w:t>principles</w:t>
            </w:r>
            <w:r w:rsidR="6BDFB269">
              <w:rPr/>
              <w:t xml:space="preserve"> guidance. </w:t>
            </w:r>
            <w:r w:rsidR="7B9BC5D7">
              <w:rPr/>
              <w:t>Lastly</w:t>
            </w:r>
            <w:r w:rsidR="6BDFB269">
              <w:rPr/>
              <w:t xml:space="preserve"> the </w:t>
            </w:r>
            <w:r w:rsidR="14F1376B">
              <w:rPr/>
              <w:t xml:space="preserve">principle of </w:t>
            </w:r>
            <w:r w:rsidR="14F1376B">
              <w:rPr/>
              <w:t>adopt</w:t>
            </w:r>
            <w:r w:rsidR="6BDFB269">
              <w:rPr/>
              <w:t xml:space="preserve"> a secure coding standard is </w:t>
            </w:r>
            <w:r w:rsidR="186D351B">
              <w:rPr/>
              <w:t>associated</w:t>
            </w:r>
            <w:r w:rsidR="6BDFB269">
              <w:rPr/>
              <w:t xml:space="preserve"> with coding standards 1, 2, 3, 5, and 10. Each of these coding standards enforces applying a set of rules or </w:t>
            </w:r>
            <w:r w:rsidR="0FD50FC2">
              <w:rPr/>
              <w:t>guidelines</w:t>
            </w:r>
            <w:r w:rsidR="6BDFB269">
              <w:rPr/>
              <w:t xml:space="preserve"> that dictate what should</w:t>
            </w:r>
            <w:r w:rsidR="629BB951">
              <w:rPr/>
              <w:t xml:space="preserve"> and should not be done throughout all of your code working towards the </w:t>
            </w:r>
            <w:r w:rsidR="25548A1D">
              <w:rPr/>
              <w:t>principle</w:t>
            </w:r>
            <w:r w:rsidR="629BB951">
              <w:rPr/>
              <w:t xml:space="preserve"> of applying a secure coding </w:t>
            </w:r>
            <w:r w:rsidR="57EF26BE">
              <w:rPr/>
              <w:t>standard</w:t>
            </w:r>
            <w:r w:rsidR="629BB951">
              <w:rPr/>
              <w:t xml:space="preserve">. </w:t>
            </w:r>
          </w:p>
        </w:tc>
      </w:tr>
      <w:tr w:rsidRPr="007D553D" w:rsidR="00177915" w:rsidTr="179C2767" w14:paraId="58F717C1" w14:textId="77777777">
        <w:trPr>
          <w:trHeight w:val="1296"/>
        </w:trPr>
        <w:tc>
          <w:tcPr>
            <w:tcW w:w="2115" w:type="dxa"/>
            <w:tcMar/>
            <w:vAlign w:val="center"/>
          </w:tcPr>
          <w:p w:rsidRPr="007D553D" w:rsidR="00177915" w:rsidP="007D553D" w:rsidRDefault="00BA25B9" w14:paraId="7EB4787A" w14:textId="77777777">
            <w:pPr>
              <w:suppressAutoHyphens/>
              <w:jc w:val="center"/>
              <w:rPr>
                <w:b/>
              </w:rPr>
            </w:pPr>
            <w:r w:rsidRPr="007D553D">
              <w:rPr>
                <w:b/>
              </w:rPr>
              <w:t>5</w:t>
            </w:r>
          </w:p>
        </w:tc>
        <w:tc>
          <w:tcPr>
            <w:tcW w:w="7455" w:type="dxa"/>
            <w:tcMar/>
          </w:tcPr>
          <w:p w:rsidRPr="007D553D" w:rsidR="00177915" w:rsidP="007D553D" w:rsidRDefault="007D553D" w14:paraId="312575EB" w14:textId="0CD3E489">
            <w:pPr>
              <w:suppressAutoHyphens/>
            </w:pPr>
            <w:r w:rsidR="3105A65D">
              <w:rPr/>
              <w:t xml:space="preserve">The coding standards are ranked </w:t>
            </w:r>
            <w:r w:rsidR="3CC131C7">
              <w:rPr/>
              <w:t xml:space="preserve">in ascending order with the top being </w:t>
            </w:r>
            <w:r w:rsidR="3CC131C7">
              <w:rPr/>
              <w:t>least</w:t>
            </w:r>
            <w:r w:rsidR="3CC131C7">
              <w:rPr/>
              <w:t xml:space="preserve"> </w:t>
            </w:r>
            <w:r w:rsidR="5EE845B5">
              <w:rPr/>
              <w:t>priority</w:t>
            </w:r>
            <w:r w:rsidR="3CC131C7">
              <w:rPr/>
              <w:t xml:space="preserve"> and </w:t>
            </w:r>
            <w:r w:rsidR="6607D9A5">
              <w:rPr/>
              <w:t>bottom</w:t>
            </w:r>
            <w:r w:rsidR="3CC131C7">
              <w:rPr/>
              <w:t xml:space="preserve"> being the highest </w:t>
            </w:r>
            <w:r w:rsidR="30D5DBD6">
              <w:rPr/>
              <w:t>priority</w:t>
            </w:r>
            <w:r w:rsidR="3CC131C7">
              <w:rPr/>
              <w:t xml:space="preserve">. </w:t>
            </w:r>
          </w:p>
          <w:p w:rsidRPr="007D553D" w:rsidR="00177915" w:rsidP="007D553D" w:rsidRDefault="007D553D" w14:paraId="6C7ED67B" w14:textId="18B55492">
            <w:pPr>
              <w:suppressAutoHyphens/>
            </w:pPr>
            <w:r w:rsidR="1A875620">
              <w:rPr/>
              <w:t xml:space="preserve">The rankings are based on the potential risks that these </w:t>
            </w:r>
            <w:r w:rsidR="79B37561">
              <w:rPr/>
              <w:t>vulnerabilities</w:t>
            </w:r>
            <w:r w:rsidR="1A875620">
              <w:rPr/>
              <w:t xml:space="preserve"> bring</w:t>
            </w:r>
            <w:r w:rsidR="22386F60">
              <w:rPr/>
              <w:t xml:space="preserve"> as </w:t>
            </w:r>
            <w:r w:rsidR="22386F60">
              <w:rPr/>
              <w:t>stated</w:t>
            </w:r>
            <w:r w:rsidR="22386F60">
              <w:rPr/>
              <w:t xml:space="preserve"> by Carnegie Mellon University in the wiki “SEI CERT C++ Coding Standard” </w:t>
            </w:r>
            <w:r w:rsidR="574C6464">
              <w:rPr/>
              <w:t>The list begins w</w:t>
            </w:r>
            <w:r w:rsidR="55D7F55B">
              <w:rPr/>
              <w:t xml:space="preserve">ith INT35-CPP and ERR50-CPP </w:t>
            </w:r>
            <w:r w:rsidR="574C6464">
              <w:rPr/>
              <w:t xml:space="preserve">vulnerabilities </w:t>
            </w:r>
            <w:r w:rsidR="7794B503">
              <w:rPr/>
              <w:t>which</w:t>
            </w:r>
            <w:r w:rsidR="574C6464">
              <w:rPr/>
              <w:t xml:space="preserve"> are likely to result in inaccurate </w:t>
            </w:r>
            <w:r w:rsidR="2E531B15">
              <w:rPr/>
              <w:t>variables</w:t>
            </w:r>
            <w:r w:rsidR="574C6464">
              <w:rPr/>
              <w:t xml:space="preserve"> or</w:t>
            </w:r>
            <w:r w:rsidR="69E8AA54">
              <w:rPr/>
              <w:t xml:space="preserve"> a</w:t>
            </w:r>
            <w:r w:rsidR="574C6464">
              <w:rPr/>
              <w:t xml:space="preserve"> </w:t>
            </w:r>
            <w:r w:rsidR="4A1B7AF6">
              <w:rPr/>
              <w:t>loss of data</w:t>
            </w:r>
            <w:r w:rsidR="6C8BB2D2">
              <w:rPr/>
              <w:t xml:space="preserve"> (Carnegie Mellon University, </w:t>
            </w:r>
            <w:r w:rsidR="6C8BB2D2">
              <w:rPr/>
              <w:t>n.d</w:t>
            </w:r>
            <w:r w:rsidR="6C8BB2D2">
              <w:rPr/>
              <w:t>)</w:t>
            </w:r>
            <w:r w:rsidR="24760D8A">
              <w:rPr/>
              <w:t xml:space="preserve"> As the list moves down to ERR51</w:t>
            </w:r>
            <w:r w:rsidR="7EBDBC73">
              <w:rPr/>
              <w:t xml:space="preserve"> the vulnerabilities </w:t>
            </w:r>
            <w:r w:rsidR="351AB658">
              <w:rPr/>
              <w:t xml:space="preserve">is likely </w:t>
            </w:r>
            <w:r w:rsidR="7EBDBC73">
              <w:rPr/>
              <w:t xml:space="preserve">to result in a leak of information from the system (Carnegie Mellon University, </w:t>
            </w:r>
            <w:r w:rsidR="7EBDBC73">
              <w:rPr/>
              <w:t>n.d</w:t>
            </w:r>
            <w:r w:rsidR="7EBDBC73">
              <w:rPr/>
              <w:t>)</w:t>
            </w:r>
            <w:r w:rsidR="4DCD060F">
              <w:rPr/>
              <w:t xml:space="preserve"> from there STR50, FIO30, MEM50, MEM52, MEM51, MEM56, ending with INT30 all of these </w:t>
            </w:r>
            <w:r w:rsidR="1485FBF1">
              <w:rPr/>
              <w:t>vulnerabilities</w:t>
            </w:r>
            <w:r w:rsidR="5289C94C">
              <w:rPr/>
              <w:t xml:space="preserve"> a</w:t>
            </w:r>
            <w:r w:rsidR="4DCD060F">
              <w:rPr/>
              <w:t>re likely to result in unexpected behavior that can ei</w:t>
            </w:r>
            <w:r w:rsidR="205F6CDE">
              <w:rPr/>
              <w:t>ther give the attack access to functionality of a system or information within it (Carnegie Mellon University,</w:t>
            </w:r>
            <w:r w:rsidR="205F6CDE">
              <w:rPr/>
              <w:t xml:space="preserve"> </w:t>
            </w:r>
            <w:r w:rsidR="205F6CDE">
              <w:rPr/>
              <w:t>n</w:t>
            </w:r>
            <w:r w:rsidR="205F6CDE">
              <w:rPr/>
              <w:t>.</w:t>
            </w:r>
            <w:r w:rsidR="205F6CDE">
              <w:rPr/>
              <w:t>d</w:t>
            </w:r>
            <w:r w:rsidR="205F6CDE">
              <w:rPr/>
              <w:t>)</w:t>
            </w:r>
          </w:p>
        </w:tc>
      </w:tr>
      <w:tr w:rsidRPr="007D553D" w:rsidR="00177915" w:rsidTr="179C2767" w14:paraId="1D6184BF" w14:textId="77777777">
        <w:trPr>
          <w:trHeight w:val="1373"/>
        </w:trPr>
        <w:tc>
          <w:tcPr>
            <w:tcW w:w="2115" w:type="dxa"/>
            <w:tcMar/>
            <w:vAlign w:val="center"/>
          </w:tcPr>
          <w:p w:rsidRPr="007D553D" w:rsidR="00177915" w:rsidP="007D553D" w:rsidRDefault="00BA25B9" w14:paraId="1A5736AF" w14:textId="77777777">
            <w:pPr>
              <w:suppressAutoHyphens/>
              <w:jc w:val="center"/>
              <w:rPr>
                <w:b/>
              </w:rPr>
            </w:pPr>
            <w:r w:rsidRPr="007D553D">
              <w:rPr>
                <w:b/>
              </w:rPr>
              <w:t>6</w:t>
            </w:r>
          </w:p>
        </w:tc>
        <w:tc>
          <w:tcPr>
            <w:tcW w:w="7455" w:type="dxa"/>
            <w:tcMar/>
          </w:tcPr>
          <w:p w:rsidRPr="007D553D" w:rsidR="00177915" w:rsidP="007D553D" w:rsidRDefault="007D553D" w14:paraId="1ED99CCF" w14:textId="1AF9CBFC">
            <w:pPr>
              <w:suppressAutoHyphens/>
            </w:pPr>
            <w:r w:rsidR="1A37A324">
              <w:rPr/>
              <w:t>Encry</w:t>
            </w:r>
            <w:r w:rsidR="1A37A324">
              <w:rPr/>
              <w:t xml:space="preserve">ption at rest, flight, and use as stated by Google in the "Google Cloud Security White Pages" refer to applying </w:t>
            </w:r>
            <w:r w:rsidR="063F53FF">
              <w:rPr/>
              <w:t>encryptio</w:t>
            </w:r>
            <w:r w:rsidR="063F53FF">
              <w:rPr/>
              <w:t>n</w:t>
            </w:r>
            <w:r w:rsidR="1A37A324">
              <w:rPr/>
              <w:t xml:space="preserve"> to data at different stages(Google, 2025) Rest refers to encrypting data when it is being stored in the system(Google, 2025) Flight</w:t>
            </w:r>
            <w:r w:rsidR="1A37A324">
              <w:rPr/>
              <w:t xml:space="preserve"> </w:t>
            </w:r>
            <w:r w:rsidR="5505EA77">
              <w:rPr/>
              <w:t>refer</w:t>
            </w:r>
            <w:r w:rsidR="5505EA77">
              <w:rPr/>
              <w:t>s</w:t>
            </w:r>
            <w:r w:rsidR="1A37A324">
              <w:rPr/>
              <w:t xml:space="preserve"> to encrypting data when it i</w:t>
            </w:r>
            <w:r w:rsidR="1A37A324">
              <w:rPr/>
              <w:t>s movi</w:t>
            </w:r>
            <w:r w:rsidR="1A37A324">
              <w:rPr/>
              <w:t>ng from one place to another.</w:t>
            </w:r>
            <w:r w:rsidR="1A37A324">
              <w:rPr/>
              <w:t xml:space="preserve"> </w:t>
            </w:r>
            <w:r w:rsidR="1A37A324">
              <w:rPr/>
              <w:t>Lastl</w:t>
            </w:r>
            <w:r w:rsidR="1A37A324">
              <w:rPr/>
              <w:t>y</w:t>
            </w:r>
            <w:r w:rsidR="1A37A324">
              <w:rPr/>
              <w:t xml:space="preserve"> use refers to encrypting data whe</w:t>
            </w:r>
            <w:r w:rsidR="1A37A324">
              <w:rPr/>
              <w:t>n it is actively being used by users (Go</w:t>
            </w:r>
            <w:r w:rsidR="1A37A324">
              <w:rPr/>
              <w:t xml:space="preserve">ogle, 2025). </w:t>
            </w:r>
            <w:r w:rsidR="1A37A324">
              <w:rPr/>
              <w:t>The</w:t>
            </w:r>
            <w:r w:rsidR="1A37A324">
              <w:rPr/>
              <w:t xml:space="preserve"> </w:t>
            </w:r>
            <w:r w:rsidR="7E102509">
              <w:rPr/>
              <w:t>encryptio</w:t>
            </w:r>
            <w:r w:rsidR="7E102509">
              <w:rPr/>
              <w:t>n</w:t>
            </w:r>
            <w:r w:rsidR="1A37A324">
              <w:rPr/>
              <w:t xml:space="preserve"> p</w:t>
            </w:r>
            <w:r w:rsidR="1A37A324">
              <w:rPr/>
              <w:t>olicy states</w:t>
            </w:r>
            <w:r w:rsidR="1A37A324">
              <w:rPr/>
              <w:t xml:space="preserve"> that in order to apply encryption at</w:t>
            </w:r>
            <w:r w:rsidR="1A37A324">
              <w:rPr/>
              <w:t xml:space="preserve"> res</w:t>
            </w:r>
            <w:r w:rsidR="1A37A324">
              <w:rPr/>
              <w:t>t an Advanced</w:t>
            </w:r>
            <w:r w:rsidR="1A37A324">
              <w:rPr/>
              <w:t xml:space="preserve"> </w:t>
            </w:r>
            <w:r w:rsidR="27C4937C">
              <w:rPr/>
              <w:t>Encrypti</w:t>
            </w:r>
            <w:r w:rsidR="27C4937C">
              <w:rPr/>
              <w:t>on</w:t>
            </w:r>
            <w:r w:rsidR="1A37A324">
              <w:rPr/>
              <w:t xml:space="preserve"> Standard or AES must be app</w:t>
            </w:r>
            <w:r w:rsidR="1A37A324">
              <w:rPr/>
              <w:t xml:space="preserve">lied to </w:t>
            </w:r>
            <w:r w:rsidR="1A37A324">
              <w:rPr/>
              <w:t>the data that is stored in t</w:t>
            </w:r>
            <w:r w:rsidR="1A37A324">
              <w:rPr/>
              <w:t>he</w:t>
            </w:r>
            <w:r w:rsidR="1A37A324">
              <w:rPr/>
              <w:t xml:space="preserve"> system.</w:t>
            </w:r>
            <w:r w:rsidR="1A37A324">
              <w:rPr/>
              <w:t xml:space="preserve"> AES-256 will be used because of its staple in the in</w:t>
            </w:r>
            <w:r w:rsidR="1A37A324">
              <w:rPr/>
              <w:t>dustr</w:t>
            </w:r>
            <w:r w:rsidR="1A37A324">
              <w:rPr/>
              <w:t xml:space="preserve">y </w:t>
            </w:r>
            <w:r w:rsidR="1A37A324">
              <w:rPr/>
              <w:t>as</w:t>
            </w:r>
            <w:r w:rsidR="1A37A324">
              <w:rPr/>
              <w:t xml:space="preserve"> a result </w:t>
            </w:r>
            <w:r w:rsidR="1A37A324">
              <w:rPr/>
              <w:t>of</w:t>
            </w:r>
            <w:r w:rsidR="1A37A324">
              <w:rPr/>
              <w:t xml:space="preserve"> its effectiveness and larg</w:t>
            </w:r>
            <w:r w:rsidR="1A37A324">
              <w:rPr/>
              <w:t xml:space="preserve">e </w:t>
            </w:r>
            <w:r w:rsidR="1A37A324">
              <w:rPr/>
              <w:t>256 b</w:t>
            </w:r>
            <w:r w:rsidR="1A37A324">
              <w:rPr/>
              <w:t>it</w:t>
            </w:r>
            <w:r w:rsidR="1A37A324">
              <w:rPr/>
              <w:t xml:space="preserve"> k</w:t>
            </w:r>
            <w:r w:rsidR="1A37A324">
              <w:rPr/>
              <w:t xml:space="preserve">ey </w:t>
            </w:r>
            <w:r w:rsidR="1A37A324">
              <w:rPr/>
              <w:t xml:space="preserve">size. </w:t>
            </w:r>
            <w:r w:rsidR="1A37A324">
              <w:rPr/>
              <w:t>Th</w:t>
            </w:r>
            <w:r w:rsidR="1A37A324">
              <w:rPr/>
              <w:t xml:space="preserve">e </w:t>
            </w:r>
            <w:r w:rsidR="6B171FDF">
              <w:rPr/>
              <w:t>encrypt</w:t>
            </w:r>
            <w:r w:rsidR="6B171FDF">
              <w:rPr/>
              <w:t>i</w:t>
            </w:r>
            <w:r w:rsidR="6B171FDF">
              <w:rPr/>
              <w:t>o</w:t>
            </w:r>
            <w:r w:rsidR="6B171FDF">
              <w:rPr/>
              <w:t>n</w:t>
            </w:r>
            <w:r w:rsidR="1A37A324">
              <w:rPr/>
              <w:t xml:space="preserve"> </w:t>
            </w:r>
            <w:r w:rsidR="4870348E">
              <w:rPr/>
              <w:t>poli</w:t>
            </w:r>
            <w:r w:rsidR="4870348E">
              <w:rPr/>
              <w:t>cy</w:t>
            </w:r>
            <w:r w:rsidR="1A37A324">
              <w:rPr/>
              <w:t xml:space="preserve"> also states that in order to properly appl</w:t>
            </w:r>
            <w:r w:rsidR="1A37A324">
              <w:rPr/>
              <w:t xml:space="preserve">y </w:t>
            </w:r>
            <w:r w:rsidR="753175F4">
              <w:rPr/>
              <w:t>encrypti</w:t>
            </w:r>
            <w:r w:rsidR="753175F4">
              <w:rPr/>
              <w:t>on</w:t>
            </w:r>
            <w:r w:rsidR="1A37A324">
              <w:rPr/>
              <w:t xml:space="preserve"> in tran</w:t>
            </w:r>
            <w:r w:rsidR="1A37A324">
              <w:rPr/>
              <w:t>sit Transport Layer Security must be applied to the data that is moving from one place to another (Google, 2025) TLS 1.3 or higher must be used because as sta</w:t>
            </w:r>
            <w:r w:rsidR="1A37A324">
              <w:rPr/>
              <w:t>ted b</w:t>
            </w:r>
            <w:r w:rsidR="1A37A324">
              <w:rPr/>
              <w:t xml:space="preserve">y </w:t>
            </w:r>
            <w:r w:rsidR="1A37A324">
              <w:rPr/>
              <w:t>C</w:t>
            </w:r>
            <w:r w:rsidR="1A37A324">
              <w:rPr/>
              <w:t>loud</w:t>
            </w:r>
            <w:r w:rsidR="7103DA43">
              <w:rPr/>
              <w:t>fl</w:t>
            </w:r>
            <w:r w:rsidR="1A37A324">
              <w:rPr/>
              <w:t>a</w:t>
            </w:r>
            <w:r w:rsidR="1A37A324">
              <w:rPr/>
              <w:t>re</w:t>
            </w:r>
            <w:r w:rsidR="1A37A324">
              <w:rPr/>
              <w:t xml:space="preserve"> in the article "</w:t>
            </w:r>
            <w:r w:rsidR="1A37A324">
              <w:rPr/>
              <w:t>What is t</w:t>
            </w:r>
            <w:r w:rsidR="1A37A324">
              <w:rPr/>
              <w:t>h</w:t>
            </w:r>
            <w:r w:rsidR="1A37A324">
              <w:rPr/>
              <w:t xml:space="preserve">e </w:t>
            </w:r>
            <w:r w:rsidR="43E08400">
              <w:rPr/>
              <w:t>differe</w:t>
            </w:r>
            <w:r w:rsidR="43E08400">
              <w:rPr/>
              <w:t>nce</w:t>
            </w:r>
            <w:r w:rsidR="1A37A324">
              <w:rPr/>
              <w:t xml:space="preserve"> between TLS 1.</w:t>
            </w:r>
            <w:r w:rsidR="1A37A324">
              <w:rPr/>
              <w:t>3 and 1.2" i</w:t>
            </w:r>
            <w:r w:rsidR="1A37A324">
              <w:rPr/>
              <w:t>t is the latest version offering more security than previous and it is also receiving current support (</w:t>
            </w:r>
            <w:r w:rsidR="1A37A324">
              <w:rPr/>
              <w:t>CloudFare</w:t>
            </w:r>
            <w:r w:rsidR="1A37A324">
              <w:rPr/>
              <w:t xml:space="preserve">, </w:t>
            </w:r>
            <w:r w:rsidR="1A37A324">
              <w:rPr/>
              <w:t>n.d</w:t>
            </w:r>
            <w:r w:rsidR="1A37A324">
              <w:rPr/>
              <w:t xml:space="preserve">). Lastly the </w:t>
            </w:r>
            <w:r w:rsidR="7E00C922">
              <w:rPr/>
              <w:t>encryption</w:t>
            </w:r>
            <w:r w:rsidR="1A37A324">
              <w:rPr/>
              <w:t xml:space="preserve"> policy </w:t>
            </w:r>
            <w:r w:rsidR="1A37A324">
              <w:rPr/>
              <w:t>state</w:t>
            </w:r>
            <w:r w:rsidR="1A37A324">
              <w:rPr/>
              <w:t xml:space="preserve"> that in order to properly apply </w:t>
            </w:r>
            <w:r w:rsidR="72C9E637">
              <w:rPr/>
              <w:t>encryption</w:t>
            </w:r>
            <w:r w:rsidR="1A37A324">
              <w:rPr/>
              <w:t xml:space="preserve"> to data in use Fully </w:t>
            </w:r>
            <w:r w:rsidR="25B51F72">
              <w:rPr/>
              <w:t xml:space="preserve">Homomorphic </w:t>
            </w:r>
            <w:r w:rsidR="49A31608">
              <w:rPr/>
              <w:t>Encryption</w:t>
            </w:r>
            <w:r w:rsidR="1A37A324">
              <w:rPr/>
              <w:t xml:space="preserve"> or FHE must be applied to that data. This is </w:t>
            </w:r>
            <w:r w:rsidR="1A37A324">
              <w:rPr/>
              <w:t>because</w:t>
            </w:r>
            <w:r w:rsidR="1A37A324">
              <w:rPr/>
              <w:t xml:space="preserve"> as </w:t>
            </w:r>
            <w:r w:rsidR="1A37A324">
              <w:rPr/>
              <w:t>stated</w:t>
            </w:r>
            <w:r w:rsidR="1A37A324">
              <w:rPr/>
              <w:t xml:space="preserve"> by Andreja </w:t>
            </w:r>
            <w:r w:rsidR="1A37A324">
              <w:rPr/>
              <w:t>Velimirovic</w:t>
            </w:r>
            <w:r w:rsidR="1A37A324">
              <w:rPr/>
              <w:t xml:space="preserve">  in the article "What Is Encryption in Use?" This </w:t>
            </w:r>
            <w:r w:rsidR="10AEE8B6">
              <w:rPr/>
              <w:t>encryption</w:t>
            </w:r>
            <w:r w:rsidR="1A37A324">
              <w:rPr/>
              <w:t xml:space="preserve"> method applies directly to the data that is being used and while</w:t>
            </w:r>
            <w:r w:rsidR="1A37A324">
              <w:rPr/>
              <w:t xml:space="preserve"> </w:t>
            </w:r>
            <w:r w:rsidR="1A37A324">
              <w:rPr/>
              <w:t>use</w:t>
            </w:r>
            <w:r w:rsidR="1A37A324">
              <w:rPr/>
              <w:t>s</w:t>
            </w:r>
            <w:r w:rsidR="1A37A324">
              <w:rPr/>
              <w:t xml:space="preserve"> more resources to run provides more security than</w:t>
            </w:r>
            <w:r w:rsidR="1A37A324">
              <w:rPr/>
              <w:t xml:space="preserve"> </w:t>
            </w:r>
            <w:r w:rsidR="1A37A324">
              <w:rPr/>
              <w:t>PH</w:t>
            </w:r>
            <w:r w:rsidR="1A37A324">
              <w:rPr/>
              <w:t>E</w:t>
            </w:r>
            <w:r w:rsidR="1A37A324">
              <w:rPr/>
              <w:t xml:space="preserve"> which is partially </w:t>
            </w:r>
            <w:r w:rsidR="544EED12">
              <w:rPr/>
              <w:t>Homomorphic</w:t>
            </w:r>
            <w:r w:rsidR="1A37A324">
              <w:rPr/>
              <w:t xml:space="preserve"> encryption (</w:t>
            </w:r>
            <w:r w:rsidR="1A37A324">
              <w:rPr/>
              <w:t>Velimirovic</w:t>
            </w:r>
            <w:r w:rsidR="1A37A324">
              <w:rPr/>
              <w:t>, 2023).</w:t>
            </w:r>
          </w:p>
        </w:tc>
      </w:tr>
      <w:tr w:rsidRPr="007D553D" w:rsidR="00177915" w:rsidTr="179C2767" w14:paraId="19E871C4" w14:textId="77777777">
        <w:trPr>
          <w:trHeight w:val="1296"/>
        </w:trPr>
        <w:tc>
          <w:tcPr>
            <w:tcW w:w="2115" w:type="dxa"/>
            <w:tcMar/>
            <w:vAlign w:val="center"/>
          </w:tcPr>
          <w:p w:rsidRPr="007D553D" w:rsidR="00177915" w:rsidP="007D553D" w:rsidRDefault="00BA25B9" w14:paraId="412E5B2B" w14:textId="77777777">
            <w:pPr>
              <w:suppressAutoHyphens/>
              <w:jc w:val="center"/>
              <w:rPr>
                <w:b/>
              </w:rPr>
            </w:pPr>
            <w:r w:rsidRPr="007D553D">
              <w:rPr>
                <w:b/>
              </w:rPr>
              <w:t>7</w:t>
            </w:r>
          </w:p>
        </w:tc>
        <w:tc>
          <w:tcPr>
            <w:tcW w:w="7455" w:type="dxa"/>
            <w:tcMar/>
          </w:tcPr>
          <w:p w:rsidRPr="007D553D" w:rsidR="00177915" w:rsidP="007D553D" w:rsidRDefault="007D553D" w14:paraId="2A6C5AE9" w14:textId="1C155093">
            <w:pPr>
              <w:suppressAutoHyphens/>
            </w:pPr>
            <w:r w:rsidR="1ED486AF">
              <w:rPr/>
              <w:t xml:space="preserve">The triple a framework is designed to authenticate who a user is </w:t>
            </w:r>
            <w:r w:rsidR="1ED486AF">
              <w:rPr/>
              <w:t>provide</w:t>
            </w:r>
            <w:r w:rsidR="1ED486AF">
              <w:rPr/>
              <w:t xml:space="preserve"> the </w:t>
            </w:r>
            <w:r w:rsidR="1ED486AF">
              <w:rPr/>
              <w:t>accurate</w:t>
            </w:r>
            <w:r w:rsidR="1ED486AF">
              <w:rPr/>
              <w:t xml:space="preserve"> authorization, and account for what users do in the system. The security </w:t>
            </w:r>
            <w:r w:rsidR="773B0DE4">
              <w:rPr/>
              <w:t>policy</w:t>
            </w:r>
            <w:r w:rsidR="1ED486AF">
              <w:rPr/>
              <w:t xml:space="preserve"> states that in order to achieve proper </w:t>
            </w:r>
            <w:r w:rsidR="0BB53E05">
              <w:rPr/>
              <w:t>authenticatio</w:t>
            </w:r>
            <w:r w:rsidR="09FAAE40">
              <w:rPr/>
              <w:t>n</w:t>
            </w:r>
            <w:r w:rsidR="1ED486AF">
              <w:rPr/>
              <w:t xml:space="preserve"> and </w:t>
            </w:r>
            <w:r w:rsidR="1ED486AF">
              <w:rPr/>
              <w:t>authorization</w:t>
            </w:r>
            <w:r w:rsidR="782D4F42">
              <w:rPr/>
              <w:t>,</w:t>
            </w:r>
            <w:r w:rsidR="1ED486AF">
              <w:rPr/>
              <w:t xml:space="preserve"> the Role-based Access Control model must be </w:t>
            </w:r>
            <w:r w:rsidR="26CBE2BE">
              <w:rPr/>
              <w:t>implemented</w:t>
            </w:r>
            <w:r w:rsidR="1ED486AF">
              <w:rPr/>
              <w:t xml:space="preserve">. This model </w:t>
            </w:r>
            <w:r w:rsidR="1ED486AF">
              <w:rPr/>
              <w:t>as</w:t>
            </w:r>
            <w:r w:rsidR="1ED486AF">
              <w:rPr/>
              <w:t xml:space="preserve"> described by Gregg Lindemulder in the article "What is role-based access control (RBAC)?" </w:t>
            </w:r>
            <w:r w:rsidR="1ED486AF">
              <w:rPr/>
              <w:t>sees</w:t>
            </w:r>
            <w:r w:rsidR="1ED486AF">
              <w:rPr/>
              <w:t xml:space="preserve"> that a system has multiple different roles that are </w:t>
            </w:r>
            <w:r w:rsidR="40BE7290">
              <w:rPr/>
              <w:t>created</w:t>
            </w:r>
            <w:r w:rsidR="1ED486AF">
              <w:rPr/>
              <w:t xml:space="preserve"> and assigned by admins, this ensures that certain access is only given to individuals that are pre-determined to have that access (Lindemulder, 2024). This model supports the </w:t>
            </w:r>
            <w:r w:rsidR="098BE666">
              <w:rPr/>
              <w:t>authentication</w:t>
            </w:r>
            <w:r w:rsidR="1ED486AF">
              <w:rPr/>
              <w:t xml:space="preserve"> and </w:t>
            </w:r>
            <w:r w:rsidR="65F89053">
              <w:rPr/>
              <w:t>authorization</w:t>
            </w:r>
            <w:r w:rsidR="1ED486AF">
              <w:rPr/>
              <w:t xml:space="preserve"> policies as it creates a system that requires both </w:t>
            </w:r>
            <w:r w:rsidR="1ED486AF">
              <w:rPr/>
              <w:t>authorization</w:t>
            </w:r>
            <w:r w:rsidR="1ED486AF">
              <w:rPr/>
              <w:t xml:space="preserve"> to access content as users would have to get into their assigned account and provides the correct authorization to users (</w:t>
            </w:r>
            <w:r w:rsidRPr="179C2767" w:rsidR="5C6E13AB">
              <w:rPr>
                <w:rFonts w:ascii="Calibri" w:hAnsi="Calibri" w:eastAsia="Calibri" w:cs="Calibri"/>
                <w:noProof w:val="0"/>
                <w:sz w:val="22"/>
                <w:szCs w:val="22"/>
                <w:lang w:val="en-US"/>
              </w:rPr>
              <w:t>Lindemulder</w:t>
            </w:r>
            <w:r w:rsidR="1ED486AF">
              <w:rPr/>
              <w:t xml:space="preserve">, 2024). To better enforce authentication the security policy also </w:t>
            </w:r>
            <w:r w:rsidR="1ED486AF">
              <w:rPr/>
              <w:t>states</w:t>
            </w:r>
            <w:r w:rsidR="1ED486AF">
              <w:rPr/>
              <w:t xml:space="preserve"> to </w:t>
            </w:r>
            <w:r w:rsidR="44B46C37">
              <w:rPr/>
              <w:t>implement</w:t>
            </w:r>
            <w:r w:rsidR="1ED486AF">
              <w:rPr/>
              <w:t xml:space="preserve"> </w:t>
            </w:r>
            <w:r w:rsidR="0DC6213A">
              <w:rPr/>
              <w:t>Password less</w:t>
            </w:r>
            <w:r w:rsidR="1ED486AF">
              <w:rPr/>
              <w:t xml:space="preserve"> Authentication which as described by John Martinez in the article "9 User Authentication Methods to Stay Secure in 2025</w:t>
            </w:r>
            <w:r w:rsidR="1ED486AF">
              <w:rPr/>
              <w:t>"  provides</w:t>
            </w:r>
            <w:r w:rsidR="1ED486AF">
              <w:rPr/>
              <w:t xml:space="preserve"> users with a way to access their account without a password through means such as email links (Martinez, 2025). This supports </w:t>
            </w:r>
            <w:r w:rsidR="11B20836">
              <w:rPr/>
              <w:t>authentication</w:t>
            </w:r>
            <w:r w:rsidR="1ED486AF">
              <w:rPr/>
              <w:t xml:space="preserve"> as it enforces the login process to be even more </w:t>
            </w:r>
            <w:r w:rsidR="1ED486AF">
              <w:rPr/>
              <w:t>personal</w:t>
            </w:r>
            <w:r w:rsidR="1ED486AF">
              <w:rPr/>
              <w:t xml:space="preserve"> doing away with the password which can be </w:t>
            </w:r>
            <w:r w:rsidR="659FB3AF">
              <w:rPr/>
              <w:t>accidently</w:t>
            </w:r>
            <w:r w:rsidR="1ED486AF">
              <w:rPr/>
              <w:t xml:space="preserve"> given out or even guessed by attackers (Martines, 2025). To enforce </w:t>
            </w:r>
            <w:r w:rsidR="1ED486AF">
              <w:rPr/>
              <w:t>accounting</w:t>
            </w:r>
            <w:r w:rsidR="1ED486AF">
              <w:rPr/>
              <w:t xml:space="preserve"> the security policy </w:t>
            </w:r>
            <w:r w:rsidR="1ED486AF">
              <w:rPr/>
              <w:t>states</w:t>
            </w:r>
            <w:r w:rsidR="1ED486AF">
              <w:rPr/>
              <w:t xml:space="preserve"> that User Activity Monitoring or UAM will need to be </w:t>
            </w:r>
            <w:r w:rsidR="4E73A00F">
              <w:rPr/>
              <w:t>implemented</w:t>
            </w:r>
            <w:r w:rsidR="1ED486AF">
              <w:rPr/>
              <w:t xml:space="preserve">. UAM as </w:t>
            </w:r>
            <w:r w:rsidR="1ED486AF">
              <w:rPr/>
              <w:t>stated</w:t>
            </w:r>
            <w:r w:rsidR="1ED486AF">
              <w:rPr/>
              <w:t xml:space="preserve"> by </w:t>
            </w:r>
            <w:r w:rsidR="1ED486AF">
              <w:rPr/>
              <w:t>Fortra</w:t>
            </w:r>
            <w:r w:rsidR="1ED486AF">
              <w:rPr/>
              <w:t xml:space="preserve"> in the article "What is User Activity Monitoring</w:t>
            </w:r>
            <w:r w:rsidR="1ED486AF">
              <w:rPr/>
              <w:t>?</w:t>
            </w:r>
            <w:r w:rsidR="1ED486AF">
              <w:rPr/>
              <w:t xml:space="preserve"> How It Works, Benefits, Best Practices, and More" is the </w:t>
            </w:r>
            <w:r w:rsidR="3F69E893">
              <w:rPr/>
              <w:t>implementation</w:t>
            </w:r>
            <w:r w:rsidR="1ED486AF">
              <w:rPr/>
              <w:t xml:space="preserve"> of active monitoring for what users are doing within a system (</w:t>
            </w:r>
            <w:r w:rsidR="1ED486AF">
              <w:rPr/>
              <w:t>Fortra</w:t>
            </w:r>
            <w:r w:rsidR="1ED486AF">
              <w:rPr/>
              <w:t xml:space="preserve">, </w:t>
            </w:r>
            <w:r w:rsidR="1ED486AF">
              <w:rPr/>
              <w:t>n.d</w:t>
            </w:r>
            <w:r w:rsidR="1ED486AF">
              <w:rPr/>
              <w:t xml:space="preserve">). This supports accounting as user activity is tracked and accounted for providing </w:t>
            </w:r>
            <w:r w:rsidR="1ED486AF">
              <w:rPr/>
              <w:t>a</w:t>
            </w:r>
            <w:r w:rsidR="1ED486AF">
              <w:rPr/>
              <w:t xml:space="preserve"> easier way to keep account of any </w:t>
            </w:r>
            <w:r w:rsidR="737F4645">
              <w:rPr/>
              <w:t>suspicious</w:t>
            </w:r>
            <w:r w:rsidR="1ED486AF">
              <w:rPr/>
              <w:t xml:space="preserve"> or </w:t>
            </w:r>
            <w:r w:rsidR="481D87DA">
              <w:rPr/>
              <w:t>unusual</w:t>
            </w:r>
            <w:r w:rsidR="1ED486AF">
              <w:rPr/>
              <w:t xml:space="preserve"> activity (</w:t>
            </w:r>
            <w:r w:rsidR="1ED486AF">
              <w:rPr/>
              <w:t>Fortra</w:t>
            </w:r>
            <w:r w:rsidR="1ED486AF">
              <w:rPr/>
              <w:t xml:space="preserve">, </w:t>
            </w:r>
            <w:r w:rsidR="1ED486AF">
              <w:rPr/>
              <w:t>n.d</w:t>
            </w:r>
            <w:r w:rsidR="1ED486AF">
              <w:rPr/>
              <w:t>).</w:t>
            </w:r>
          </w:p>
        </w:tc>
      </w:tr>
      <w:tr w:rsidRPr="007D553D" w:rsidR="00177915" w:rsidTr="179C2767" w14:paraId="1CB4AF40" w14:textId="77777777">
        <w:trPr>
          <w:trHeight w:val="1296"/>
        </w:trPr>
        <w:tc>
          <w:tcPr>
            <w:tcW w:w="2115" w:type="dxa"/>
            <w:tcMar/>
            <w:vAlign w:val="center"/>
          </w:tcPr>
          <w:p w:rsidRPr="007D553D" w:rsidR="00177915" w:rsidP="007D553D" w:rsidRDefault="00BA25B9" w14:paraId="05612CDF" w14:textId="77777777">
            <w:pPr>
              <w:suppressAutoHyphens/>
              <w:jc w:val="center"/>
              <w:rPr>
                <w:b/>
              </w:rPr>
            </w:pPr>
            <w:r w:rsidRPr="007D553D">
              <w:rPr>
                <w:b/>
              </w:rPr>
              <w:lastRenderedPageBreak/>
              <w:t>8</w:t>
            </w:r>
          </w:p>
        </w:tc>
        <w:tc>
          <w:tcPr>
            <w:tcW w:w="7455" w:type="dxa"/>
            <w:tcMar/>
          </w:tcPr>
          <w:p w:rsidRPr="007D553D" w:rsidR="00177915" w:rsidP="179C2767" w:rsidRDefault="007D553D" w14:paraId="5698D30F" w14:textId="20292405">
            <w:pPr>
              <w:pStyle w:val="Normal"/>
              <w:suppressLineNumbers w:val="0"/>
              <w:bidi w:val="0"/>
              <w:spacing w:before="0" w:beforeAutospacing="off" w:after="0" w:afterAutospacing="off" w:line="240" w:lineRule="auto"/>
              <w:ind w:left="0" w:right="0"/>
              <w:jc w:val="left"/>
            </w:pPr>
            <w:r w:rsidR="4CD32792">
              <w:rPr/>
              <w:t xml:space="preserve">Unit testing is an essential part in developing a system as you can use it </w:t>
            </w:r>
            <w:r w:rsidR="4CD32792">
              <w:rPr/>
              <w:t>verify</w:t>
            </w:r>
            <w:r w:rsidR="4CD32792">
              <w:rPr/>
              <w:t xml:space="preserve"> that </w:t>
            </w:r>
            <w:r w:rsidR="13BE8230">
              <w:rPr/>
              <w:t>behavior</w:t>
            </w:r>
            <w:r w:rsidR="4CD32792">
              <w:rPr/>
              <w:t xml:space="preserve"> that is supposed to happen in your system does and behavior that is supposed to be </w:t>
            </w:r>
            <w:r w:rsidR="4CD32792">
              <w:rPr/>
              <w:t>prevent</w:t>
            </w:r>
            <w:r w:rsidR="4CD32792">
              <w:rPr/>
              <w:t xml:space="preserve"> is. </w:t>
            </w:r>
          </w:p>
          <w:p w:rsidRPr="007D553D" w:rsidR="00177915" w:rsidP="179C2767" w:rsidRDefault="007D553D" w14:paraId="7C03111E" w14:textId="727B1B24">
            <w:pPr>
              <w:pStyle w:val="Normal"/>
              <w:suppressLineNumbers w:val="0"/>
              <w:bidi w:val="0"/>
              <w:spacing w:before="0" w:beforeAutospacing="off" w:after="0" w:afterAutospacing="off" w:line="240" w:lineRule="auto"/>
              <w:ind w:left="0" w:right="0"/>
              <w:jc w:val="left"/>
            </w:pPr>
            <w:r w:rsidR="4CD32792">
              <w:rPr/>
              <w:t xml:space="preserve">Here are five </w:t>
            </w:r>
            <w:r w:rsidR="72D52200">
              <w:rPr/>
              <w:t>examples</w:t>
            </w:r>
            <w:r w:rsidR="4CD32792">
              <w:rPr/>
              <w:t xml:space="preserve"> of unit testing that will guide how to </w:t>
            </w:r>
            <w:r w:rsidR="084F2E15">
              <w:rPr/>
              <w:t>implement</w:t>
            </w:r>
            <w:r w:rsidR="4CD32792">
              <w:rPr/>
              <w:t xml:space="preserve"> unit testing into a system. </w:t>
            </w:r>
          </w:p>
        </w:tc>
      </w:tr>
      <w:tr w:rsidR="179C2767" w:rsidTr="179C2767" w14:paraId="0BB20A7A">
        <w:trPr>
          <w:trHeight w:val="300"/>
        </w:trPr>
        <w:tc>
          <w:tcPr>
            <w:tcW w:w="2115" w:type="dxa"/>
            <w:tcMar/>
            <w:vAlign w:val="center"/>
          </w:tcPr>
          <w:p w:rsidR="086B94BC" w:rsidP="179C2767" w:rsidRDefault="086B94BC" w14:paraId="06169A6F" w14:textId="0EC9A8BD">
            <w:pPr>
              <w:pStyle w:val="Normal"/>
              <w:jc w:val="center"/>
              <w:rPr>
                <w:b w:val="1"/>
                <w:bCs w:val="1"/>
              </w:rPr>
            </w:pPr>
            <w:r w:rsidRPr="179C2767" w:rsidR="086B94BC">
              <w:rPr>
                <w:b w:val="1"/>
                <w:bCs w:val="1"/>
              </w:rPr>
              <w:t>9</w:t>
            </w:r>
          </w:p>
        </w:tc>
        <w:tc>
          <w:tcPr>
            <w:tcW w:w="7455" w:type="dxa"/>
            <w:tcMar/>
          </w:tcPr>
          <w:p w:rsidR="33133D89" w:rsidP="179C2767" w:rsidRDefault="33133D89" w14:paraId="41F7FA1B" w14:textId="10B5573B">
            <w:pPr>
              <w:pStyle w:val="Normal"/>
              <w:spacing w:line="240" w:lineRule="auto"/>
              <w:jc w:val="left"/>
            </w:pPr>
            <w:r w:rsidR="33133D89">
              <w:rPr/>
              <w:t xml:space="preserve">This is a positive </w:t>
            </w:r>
            <w:r w:rsidR="357B6D47">
              <w:rPr/>
              <w:t>test;</w:t>
            </w:r>
            <w:r w:rsidR="33133D89">
              <w:rPr/>
              <w:t xml:space="preserve"> </w:t>
            </w:r>
            <w:r w:rsidR="334C078E">
              <w:rPr/>
              <w:t xml:space="preserve">it is important to remember when writing positive tests that you are verifying that expected </w:t>
            </w:r>
            <w:r w:rsidR="678FDB53">
              <w:rPr/>
              <w:t>behavior</w:t>
            </w:r>
            <w:r w:rsidR="334C078E">
              <w:rPr/>
              <w:t xml:space="preserve"> occurs with no errors. </w:t>
            </w:r>
            <w:r w:rsidR="334C078E">
              <w:rPr/>
              <w:t>This</w:t>
            </w:r>
            <w:r w:rsidR="334C078E">
              <w:rPr/>
              <w:t xml:space="preserve"> tests for </w:t>
            </w:r>
            <w:r w:rsidR="2BE8AF3D">
              <w:rPr/>
              <w:t>example,</w:t>
            </w:r>
            <w:r w:rsidR="334C078E">
              <w:rPr/>
              <w:t xml:space="preserve"> tests that adding values to the collection multiple times will result in the </w:t>
            </w:r>
            <w:r w:rsidR="0F51EAB6">
              <w:rPr/>
              <w:t>excepted</w:t>
            </w:r>
            <w:r w:rsidR="334C078E">
              <w:rPr/>
              <w:t xml:space="preserve"> </w:t>
            </w:r>
            <w:r w:rsidR="3B0B1988">
              <w:rPr/>
              <w:t xml:space="preserve">number of entries at the end. It is important to verify that expected results are </w:t>
            </w:r>
            <w:r w:rsidR="2648B5BC">
              <w:rPr/>
              <w:t>occurring</w:t>
            </w:r>
            <w:r w:rsidR="3B0B1988">
              <w:rPr/>
              <w:t xml:space="preserve"> throughout the </w:t>
            </w:r>
            <w:r w:rsidR="3B0B1988">
              <w:rPr/>
              <w:t>test</w:t>
            </w:r>
            <w:r w:rsidR="3B0B1988">
              <w:rPr/>
              <w:t xml:space="preserve"> which is why when the start </w:t>
            </w:r>
            <w:r w:rsidR="24A1A6E2">
              <w:rPr/>
              <w:t>starts,</w:t>
            </w:r>
            <w:r w:rsidR="3B0B1988">
              <w:rPr/>
              <w:t xml:space="preserve"> we check to see if the collection is empty. From there we perform some</w:t>
            </w:r>
            <w:r w:rsidR="7E48A879">
              <w:rPr/>
              <w:t xml:space="preserve"> logic adding 1 entry and verify that the entry was added. This is done by checking that the size is total to 1. </w:t>
            </w:r>
            <w:r w:rsidR="7E48A879">
              <w:rPr/>
              <w:t>After that we rep</w:t>
            </w:r>
            <w:r w:rsidR="12D43A82">
              <w:rPr/>
              <w:t xml:space="preserve">eat </w:t>
            </w:r>
            <w:r w:rsidR="7E48A879">
              <w:rPr/>
              <w:t>2 more times until the last assert statement that verifies the collection size is a total of 10 entries.</w:t>
            </w:r>
            <w:r w:rsidR="7E48A879">
              <w:rPr/>
              <w:t xml:space="preserve"> </w:t>
            </w:r>
          </w:p>
        </w:tc>
      </w:tr>
      <w:tr w:rsidR="179C2767" w:rsidTr="179C2767" w14:paraId="70C74184">
        <w:trPr>
          <w:trHeight w:val="300"/>
        </w:trPr>
        <w:tc>
          <w:tcPr>
            <w:tcW w:w="2115" w:type="dxa"/>
            <w:tcMar/>
            <w:vAlign w:val="center"/>
          </w:tcPr>
          <w:p w:rsidR="086B94BC" w:rsidP="179C2767" w:rsidRDefault="086B94BC" w14:paraId="12EF83C2" w14:textId="14373EAE">
            <w:pPr>
              <w:pStyle w:val="Normal"/>
              <w:jc w:val="center"/>
              <w:rPr>
                <w:b w:val="1"/>
                <w:bCs w:val="1"/>
              </w:rPr>
            </w:pPr>
            <w:r w:rsidRPr="179C2767" w:rsidR="086B94BC">
              <w:rPr>
                <w:b w:val="1"/>
                <w:bCs w:val="1"/>
              </w:rPr>
              <w:t>10</w:t>
            </w:r>
          </w:p>
        </w:tc>
        <w:tc>
          <w:tcPr>
            <w:tcW w:w="7455" w:type="dxa"/>
            <w:tcMar/>
          </w:tcPr>
          <w:p w:rsidR="0527A005" w:rsidP="179C2767" w:rsidRDefault="0527A005" w14:paraId="58391068" w14:textId="7D65A1F9">
            <w:pPr>
              <w:pStyle w:val="Normal"/>
              <w:spacing w:line="240" w:lineRule="auto"/>
              <w:jc w:val="left"/>
            </w:pPr>
            <w:r w:rsidR="0527A005">
              <w:rPr/>
              <w:t xml:space="preserve">This is a negative test; it is important to remember when writing negative </w:t>
            </w:r>
            <w:r w:rsidR="0527A005">
              <w:rPr/>
              <w:t>tests</w:t>
            </w:r>
            <w:r w:rsidR="0527A005">
              <w:rPr/>
              <w:t xml:space="preserve"> you are assuring that an error occurs when you </w:t>
            </w:r>
            <w:r w:rsidR="049EDA06">
              <w:rPr/>
              <w:t>perform</w:t>
            </w:r>
            <w:r w:rsidR="0527A005">
              <w:rPr/>
              <w:t xml:space="preserve"> actions that </w:t>
            </w:r>
            <w:r w:rsidR="5198650C">
              <w:rPr/>
              <w:t>would</w:t>
            </w:r>
            <w:r w:rsidR="0527A005">
              <w:rPr/>
              <w:t xml:space="preserve"> cause those errors. In this test we are testing that </w:t>
            </w:r>
            <w:r w:rsidR="240E59F3">
              <w:rPr/>
              <w:t xml:space="preserve">using the resize method with </w:t>
            </w:r>
            <w:r w:rsidR="240E59F3">
              <w:rPr/>
              <w:t>an</w:t>
            </w:r>
            <w:r w:rsidR="240E59F3">
              <w:rPr/>
              <w:t xml:space="preserve"> value greater than the max size will result in a </w:t>
            </w:r>
            <w:r w:rsidR="13DB57E6">
              <w:rPr/>
              <w:t>length</w:t>
            </w:r>
            <w:r w:rsidR="240E59F3">
              <w:rPr/>
              <w:t xml:space="preserve"> error being thrown. </w:t>
            </w:r>
            <w:r w:rsidR="76D89DF5">
              <w:rPr/>
              <w:t xml:space="preserve">Notice again in this test we are asserting behavior </w:t>
            </w:r>
            <w:r w:rsidR="772A404A">
              <w:rPr/>
              <w:t>throughout</w:t>
            </w:r>
            <w:r w:rsidR="76D89DF5">
              <w:rPr/>
              <w:t xml:space="preserve"> the test to make sure everything works properly. </w:t>
            </w:r>
          </w:p>
        </w:tc>
      </w:tr>
      <w:tr w:rsidR="179C2767" w:rsidTr="179C2767" w14:paraId="137B7AE9">
        <w:trPr>
          <w:trHeight w:val="300"/>
        </w:trPr>
        <w:tc>
          <w:tcPr>
            <w:tcW w:w="2115" w:type="dxa"/>
            <w:tcMar/>
            <w:vAlign w:val="center"/>
          </w:tcPr>
          <w:p w:rsidR="086B94BC" w:rsidP="179C2767" w:rsidRDefault="086B94BC" w14:paraId="1E7BD408" w14:textId="72B17664">
            <w:pPr>
              <w:pStyle w:val="Normal"/>
              <w:jc w:val="center"/>
              <w:rPr>
                <w:b w:val="1"/>
                <w:bCs w:val="1"/>
              </w:rPr>
            </w:pPr>
            <w:r w:rsidRPr="179C2767" w:rsidR="086B94BC">
              <w:rPr>
                <w:b w:val="1"/>
                <w:bCs w:val="1"/>
              </w:rPr>
              <w:t>11</w:t>
            </w:r>
          </w:p>
        </w:tc>
        <w:tc>
          <w:tcPr>
            <w:tcW w:w="7455" w:type="dxa"/>
            <w:tcMar/>
          </w:tcPr>
          <w:p w:rsidR="731F69BE" w:rsidP="179C2767" w:rsidRDefault="731F69BE" w14:paraId="6244E342" w14:textId="605C1002">
            <w:pPr>
              <w:pStyle w:val="Normal"/>
              <w:spacing w:line="240" w:lineRule="auto"/>
              <w:jc w:val="left"/>
            </w:pPr>
            <w:r w:rsidR="731F69BE">
              <w:rPr/>
              <w:t xml:space="preserve">This is another negative test that </w:t>
            </w:r>
            <w:r w:rsidR="731F69BE">
              <w:rPr/>
              <w:t>is asserting</w:t>
            </w:r>
            <w:r w:rsidR="731F69BE">
              <w:rPr/>
              <w:t xml:space="preserve"> the out-of-range error will be </w:t>
            </w:r>
            <w:r w:rsidR="7077D7EE">
              <w:rPr/>
              <w:t xml:space="preserve">called </w:t>
            </w:r>
            <w:r w:rsidR="731F69BE">
              <w:rPr/>
              <w:t xml:space="preserve">when calling </w:t>
            </w:r>
            <w:r w:rsidR="731F69BE">
              <w:rPr/>
              <w:t>at(</w:t>
            </w:r>
            <w:r w:rsidR="731F69BE">
              <w:rPr/>
              <w:t xml:space="preserve">) while using an index that is out of </w:t>
            </w:r>
            <w:r w:rsidR="731F69BE">
              <w:rPr/>
              <w:t>bound</w:t>
            </w:r>
            <w:r w:rsidR="731F69BE">
              <w:rPr/>
              <w:t xml:space="preserve">. </w:t>
            </w:r>
            <w:r w:rsidR="731F69BE">
              <w:rPr/>
              <w:t>Again</w:t>
            </w:r>
            <w:r w:rsidR="731F69BE">
              <w:rPr/>
              <w:t xml:space="preserve"> throughout the test we are testing functionality asserting the </w:t>
            </w:r>
            <w:r w:rsidR="32CEFF0E">
              <w:rPr/>
              <w:t>collections</w:t>
            </w:r>
            <w:r w:rsidR="731F69BE">
              <w:rPr/>
              <w:t xml:space="preserve"> empty </w:t>
            </w:r>
            <w:r w:rsidR="731F69BE">
              <w:rPr/>
              <w:t>on</w:t>
            </w:r>
            <w:r w:rsidR="731F69BE">
              <w:rPr/>
              <w:t xml:space="preserve"> start and that the exception is </w:t>
            </w:r>
            <w:r w:rsidR="375AB79D">
              <w:rPr/>
              <w:t xml:space="preserve">thrown at the end. </w:t>
            </w:r>
          </w:p>
        </w:tc>
      </w:tr>
      <w:tr w:rsidR="179C2767" w:rsidTr="179C2767" w14:paraId="72E00797">
        <w:trPr>
          <w:trHeight w:val="300"/>
        </w:trPr>
        <w:tc>
          <w:tcPr>
            <w:tcW w:w="2115" w:type="dxa"/>
            <w:tcMar/>
            <w:vAlign w:val="center"/>
          </w:tcPr>
          <w:p w:rsidR="086B94BC" w:rsidP="179C2767" w:rsidRDefault="086B94BC" w14:paraId="2FA89EAE" w14:textId="173EA74C">
            <w:pPr>
              <w:pStyle w:val="Normal"/>
              <w:jc w:val="center"/>
              <w:rPr>
                <w:b w:val="1"/>
                <w:bCs w:val="1"/>
              </w:rPr>
            </w:pPr>
            <w:r w:rsidRPr="179C2767" w:rsidR="086B94BC">
              <w:rPr>
                <w:b w:val="1"/>
                <w:bCs w:val="1"/>
              </w:rPr>
              <w:t>12</w:t>
            </w:r>
          </w:p>
        </w:tc>
        <w:tc>
          <w:tcPr>
            <w:tcW w:w="7455" w:type="dxa"/>
            <w:tcMar/>
          </w:tcPr>
          <w:p w:rsidR="33AD531C" w:rsidP="179C2767" w:rsidRDefault="33AD531C" w14:paraId="04BE978A" w14:textId="62B05B10">
            <w:pPr>
              <w:pStyle w:val="Normal"/>
              <w:spacing w:line="240" w:lineRule="auto"/>
              <w:jc w:val="left"/>
            </w:pPr>
            <w:r w:rsidR="33AD531C">
              <w:rPr/>
              <w:t xml:space="preserve">This is another positive test, in this test we are asserting that reserve increases </w:t>
            </w:r>
            <w:r w:rsidR="33AD531C">
              <w:rPr/>
              <w:t>capacity</w:t>
            </w:r>
            <w:r w:rsidR="33AD531C">
              <w:rPr/>
              <w:t xml:space="preserve"> but not size. As you can see in </w:t>
            </w:r>
            <w:r w:rsidR="33AD531C">
              <w:rPr/>
              <w:t>the  test</w:t>
            </w:r>
            <w:r w:rsidR="33AD531C">
              <w:rPr/>
              <w:t xml:space="preserve"> we are </w:t>
            </w:r>
            <w:r w:rsidR="5D03E65F">
              <w:rPr/>
              <w:t>asserting</w:t>
            </w:r>
            <w:r w:rsidR="33AD531C">
              <w:rPr/>
              <w:t xml:space="preserve"> functionality throughout it checking that the size is empty at the </w:t>
            </w:r>
            <w:r w:rsidR="30D9D50A">
              <w:rPr/>
              <w:t>beginning</w:t>
            </w:r>
            <w:r w:rsidR="33AD531C">
              <w:rPr/>
              <w:t xml:space="preserve">. Then at the end of the </w:t>
            </w:r>
            <w:r w:rsidR="33AD531C">
              <w:rPr/>
              <w:t>test that</w:t>
            </w:r>
            <w:r w:rsidR="33AD531C">
              <w:rPr/>
              <w:t xml:space="preserve"> the collection capacity when up </w:t>
            </w:r>
            <w:r w:rsidR="2AA7AF5D">
              <w:rPr/>
              <w:t xml:space="preserve">to 10 but </w:t>
            </w:r>
            <w:r w:rsidR="2AA7AF5D">
              <w:rPr/>
              <w:t>size</w:t>
            </w:r>
            <w:r w:rsidR="2AA7AF5D">
              <w:rPr/>
              <w:t xml:space="preserve"> remained 0. </w:t>
            </w:r>
          </w:p>
        </w:tc>
      </w:tr>
      <w:tr w:rsidRPr="007D553D" w:rsidR="00177915" w:rsidTr="179C2767" w14:paraId="16627A85" w14:textId="77777777">
        <w:trPr>
          <w:trHeight w:val="1296"/>
        </w:trPr>
        <w:tc>
          <w:tcPr>
            <w:tcW w:w="2115" w:type="dxa"/>
            <w:tcMar/>
            <w:vAlign w:val="center"/>
          </w:tcPr>
          <w:p w:rsidRPr="007D553D" w:rsidR="00177915" w:rsidP="179C2767" w:rsidRDefault="00BA25B9" w14:paraId="5AB3EDC2" w14:textId="73A81C22">
            <w:pPr>
              <w:suppressAutoHyphens/>
              <w:jc w:val="center"/>
              <w:rPr>
                <w:b w:val="1"/>
                <w:bCs w:val="1"/>
              </w:rPr>
            </w:pPr>
            <w:r w:rsidRPr="179C2767" w:rsidR="086B94BC">
              <w:rPr>
                <w:b w:val="1"/>
                <w:bCs w:val="1"/>
              </w:rPr>
              <w:t>1</w:t>
            </w:r>
            <w:r w:rsidRPr="179C2767" w:rsidR="04C4658D">
              <w:rPr>
                <w:b w:val="1"/>
                <w:bCs w:val="1"/>
              </w:rPr>
              <w:t>3</w:t>
            </w:r>
          </w:p>
        </w:tc>
        <w:tc>
          <w:tcPr>
            <w:tcW w:w="7455" w:type="dxa"/>
            <w:tcMar/>
          </w:tcPr>
          <w:p w:rsidRPr="007D553D" w:rsidR="00177915" w:rsidP="179C2767" w:rsidRDefault="007D553D" w14:paraId="43B51E91" w14:textId="63A3D4DD">
            <w:pPr>
              <w:pStyle w:val="Normal"/>
              <w:suppressLineNumbers w:val="0"/>
              <w:bidi w:val="0"/>
              <w:spacing w:before="0" w:beforeAutospacing="off" w:after="0" w:afterAutospacing="off" w:line="240" w:lineRule="auto"/>
              <w:ind w:left="0" w:right="0"/>
              <w:jc w:val="left"/>
            </w:pPr>
            <w:r w:rsidR="3BB20171">
              <w:rPr/>
              <w:t xml:space="preserve">This is a visual representation of the </w:t>
            </w:r>
            <w:r w:rsidR="3BB20171">
              <w:rPr/>
              <w:t>DevSecOps</w:t>
            </w:r>
            <w:r w:rsidR="3BB20171">
              <w:rPr/>
              <w:t xml:space="preserve"> pipeline</w:t>
            </w:r>
          </w:p>
        </w:tc>
      </w:tr>
      <w:tr w:rsidRPr="007D553D" w:rsidR="00177915" w:rsidTr="179C2767" w14:paraId="609CC02D" w14:textId="77777777">
        <w:trPr>
          <w:trHeight w:val="1296"/>
        </w:trPr>
        <w:tc>
          <w:tcPr>
            <w:tcW w:w="2115" w:type="dxa"/>
            <w:tcMar/>
            <w:vAlign w:val="center"/>
          </w:tcPr>
          <w:p w:rsidRPr="007D553D" w:rsidR="00177915" w:rsidP="179C2767" w:rsidRDefault="00BA25B9" w14:paraId="5B02EBA0" w14:textId="515119DA">
            <w:pPr>
              <w:suppressAutoHyphens/>
              <w:jc w:val="center"/>
              <w:rPr>
                <w:b w:val="1"/>
                <w:bCs w:val="1"/>
              </w:rPr>
            </w:pPr>
            <w:r w:rsidRPr="179C2767" w:rsidR="00BA25B9">
              <w:rPr>
                <w:b w:val="1"/>
                <w:bCs w:val="1"/>
              </w:rPr>
              <w:t>1</w:t>
            </w:r>
            <w:r w:rsidRPr="179C2767" w:rsidR="04C4658D">
              <w:rPr>
                <w:b w:val="1"/>
                <w:bCs w:val="1"/>
              </w:rPr>
              <w:t>4</w:t>
            </w:r>
          </w:p>
        </w:tc>
        <w:tc>
          <w:tcPr>
            <w:tcW w:w="7455" w:type="dxa"/>
            <w:tcMar/>
          </w:tcPr>
          <w:p w:rsidRPr="007D553D" w:rsidR="00177915" w:rsidP="007D553D" w:rsidRDefault="007D553D" w14:paraId="7BBF9EAD" w14:textId="7EE17984">
            <w:pPr>
              <w:suppressAutoHyphens/>
            </w:pPr>
            <w:r w:rsidR="77CB8CEC">
              <w:rPr/>
              <w:t xml:space="preserve">The DevSecOps pipeline is a representation of each of the processes involved in developing and maintaining a system. This diagram represents an infinite loop that matches the constantly moving and repeating phases involved in developing a system. There is a constant flow from pre-production to Production where each step progresses the system. </w:t>
            </w:r>
          </w:p>
          <w:p w:rsidRPr="007D553D" w:rsidR="00177915" w:rsidP="5F9B4857" w:rsidRDefault="007D553D" w14:paraId="0EAC9EDF" w14:textId="635511B4">
            <w:pPr>
              <w:pStyle w:val="Normal"/>
              <w:suppressAutoHyphens/>
            </w:pPr>
            <w:r w:rsidR="77CB8CEC">
              <w:rPr/>
              <w:t xml:space="preserve"> </w:t>
            </w:r>
          </w:p>
          <w:p w:rsidRPr="007D553D" w:rsidR="00177915" w:rsidP="5F9B4857" w:rsidRDefault="007D553D" w14:paraId="1A163284" w14:textId="15AA09CF">
            <w:pPr>
              <w:pStyle w:val="Normal"/>
              <w:suppressAutoHyphens/>
            </w:pPr>
            <w:r w:rsidR="77CB8CEC">
              <w:rPr/>
              <w:t xml:space="preserve">Automation lands within the verify and test phase of the pipeline  </w:t>
            </w:r>
            <w:r w:rsidR="1AF0D6FB">
              <w:rPr/>
              <w:t>occurring</w:t>
            </w:r>
            <w:r w:rsidR="77CB8CEC">
              <w:rPr/>
              <w:t xml:space="preserve"> as the last step in this phase. During this </w:t>
            </w:r>
            <w:r w:rsidR="77CB8CEC">
              <w:rPr/>
              <w:t>process</w:t>
            </w:r>
            <w:r w:rsidR="77CB8CEC">
              <w:rPr/>
              <w:t xml:space="preserve"> the Sonar static code analysis tool is used to perform static code analysis on the system. </w:t>
            </w:r>
            <w:r w:rsidR="77CB8CEC">
              <w:rPr/>
              <w:t>This</w:t>
            </w:r>
            <w:r w:rsidR="77CB8CEC">
              <w:rPr/>
              <w:t xml:space="preserve"> as </w:t>
            </w:r>
            <w:r w:rsidR="77CB8CEC">
              <w:rPr/>
              <w:t>stated</w:t>
            </w:r>
            <w:r w:rsidR="77CB8CEC">
              <w:rPr/>
              <w:t xml:space="preserve"> by Sonar in their product page titled "Sonar static code analysis"</w:t>
            </w:r>
            <w:r w:rsidR="77CB8CEC">
              <w:rPr/>
              <w:t xml:space="preserve"> is</w:t>
            </w:r>
            <w:r w:rsidR="77CB8CEC">
              <w:rPr/>
              <w:t xml:space="preserve"> performing a check that compares the code to </w:t>
            </w:r>
            <w:r w:rsidR="77CB8CEC">
              <w:rPr/>
              <w:t>their</w:t>
            </w:r>
            <w:r w:rsidR="77CB8CEC">
              <w:rPr/>
              <w:t xml:space="preserve"> define best practice static code analysis rules (Sonar, </w:t>
            </w:r>
            <w:r w:rsidR="77CB8CEC">
              <w:rPr/>
              <w:t>n.d</w:t>
            </w:r>
            <w:r w:rsidR="77CB8CEC">
              <w:rPr/>
              <w:t xml:space="preserve">). After making the </w:t>
            </w:r>
            <w:r w:rsidR="77CB8CEC">
              <w:rPr/>
              <w:t>c</w:t>
            </w:r>
            <w:r w:rsidR="51CB0521">
              <w:rPr/>
              <w:t>omparison</w:t>
            </w:r>
            <w:r w:rsidR="51CB0521">
              <w:rPr/>
              <w:t xml:space="preserve"> </w:t>
            </w:r>
            <w:r w:rsidR="77CB8CEC">
              <w:rPr/>
              <w:t xml:space="preserve">the tool will then present where </w:t>
            </w:r>
            <w:r w:rsidR="4BCEDB29">
              <w:rPr/>
              <w:t>vulnerabilities</w:t>
            </w:r>
            <w:r w:rsidR="77CB8CEC">
              <w:rPr/>
              <w:t xml:space="preserve"> are present and offer ways to correct them (Sonar, </w:t>
            </w:r>
            <w:r w:rsidR="77CB8CEC">
              <w:rPr/>
              <w:t>n.d</w:t>
            </w:r>
            <w:r w:rsidR="77CB8CEC">
              <w:rPr/>
              <w:t xml:space="preserve">). After receiving the results from the test fixes based </w:t>
            </w:r>
            <w:r w:rsidR="77CB8CEC">
              <w:rPr/>
              <w:t>on</w:t>
            </w:r>
            <w:r w:rsidR="77CB8CEC">
              <w:rPr/>
              <w:t xml:space="preserve"> it will be </w:t>
            </w:r>
            <w:r w:rsidR="2410D58B">
              <w:rPr/>
              <w:t>implemented</w:t>
            </w:r>
            <w:r w:rsidR="77CB8CEC">
              <w:rPr/>
              <w:t xml:space="preserve"> and the test will be run again. </w:t>
            </w:r>
            <w:r w:rsidR="77CB8CEC">
              <w:rPr/>
              <w:t>This processes</w:t>
            </w:r>
            <w:r w:rsidR="77CB8CEC">
              <w:rPr/>
              <w:t xml:space="preserve"> will repeat until the tool does not detect any </w:t>
            </w:r>
            <w:r w:rsidR="091036F4">
              <w:rPr/>
              <w:t>vulnerabilities</w:t>
            </w:r>
            <w:r w:rsidR="77CB8CEC">
              <w:rPr/>
              <w:t xml:space="preserve">. This process is ensuring the </w:t>
            </w:r>
            <w:r w:rsidR="77CB8CEC">
              <w:rPr/>
              <w:t>the</w:t>
            </w:r>
            <w:r w:rsidR="77CB8CEC">
              <w:rPr/>
              <w:t xml:space="preserve"> system holds up to the standards </w:t>
            </w:r>
            <w:r w:rsidR="77CB8CEC">
              <w:rPr/>
              <w:t>established</w:t>
            </w:r>
            <w:r w:rsidR="77CB8CEC">
              <w:rPr/>
              <w:t xml:space="preserve"> by the tool which </w:t>
            </w:r>
            <w:r w:rsidR="77CB8CEC">
              <w:rPr/>
              <w:t>align</w:t>
            </w:r>
            <w:r w:rsidR="77CB8CEC">
              <w:rPr/>
              <w:t xml:space="preserve"> with best security practices in term guiding the code to be clean and secure (Sonar, </w:t>
            </w:r>
            <w:r w:rsidR="77CB8CEC">
              <w:rPr/>
              <w:t>n.d</w:t>
            </w:r>
            <w:r w:rsidR="77CB8CEC">
              <w:rPr/>
              <w:t>).</w:t>
            </w:r>
          </w:p>
        </w:tc>
      </w:tr>
      <w:tr w:rsidRPr="007D553D" w:rsidR="00177915" w:rsidTr="179C2767" w14:paraId="35903F49" w14:textId="77777777">
        <w:trPr>
          <w:trHeight w:val="1296"/>
        </w:trPr>
        <w:tc>
          <w:tcPr>
            <w:tcW w:w="2115" w:type="dxa"/>
            <w:tcMar/>
            <w:vAlign w:val="center"/>
          </w:tcPr>
          <w:p w:rsidRPr="007D553D" w:rsidR="00177915" w:rsidP="179C2767" w:rsidRDefault="00BA25B9" w14:paraId="78857076" w14:textId="3FEC0D0D">
            <w:pPr>
              <w:suppressAutoHyphens/>
              <w:jc w:val="center"/>
              <w:rPr>
                <w:b w:val="1"/>
                <w:bCs w:val="1"/>
              </w:rPr>
            </w:pPr>
            <w:r w:rsidRPr="179C2767" w:rsidR="00BA25B9">
              <w:rPr>
                <w:b w:val="1"/>
                <w:bCs w:val="1"/>
              </w:rPr>
              <w:t>1</w:t>
            </w:r>
            <w:r w:rsidRPr="179C2767" w:rsidR="36BA07A1">
              <w:rPr>
                <w:b w:val="1"/>
                <w:bCs w:val="1"/>
              </w:rPr>
              <w:t>5</w:t>
            </w:r>
          </w:p>
        </w:tc>
        <w:tc>
          <w:tcPr>
            <w:tcW w:w="7455" w:type="dxa"/>
            <w:tcMar/>
          </w:tcPr>
          <w:p w:rsidRPr="007D553D" w:rsidR="00177915" w:rsidP="5F9B4857" w:rsidRDefault="007D553D" w14:paraId="32385135" w14:textId="7C55915D">
            <w:pPr>
              <w:pStyle w:val="Normal"/>
              <w:suppressLineNumbers w:val="0"/>
              <w:bidi w:val="0"/>
              <w:spacing w:before="0" w:beforeAutospacing="off" w:after="0" w:afterAutospacing="off" w:line="240" w:lineRule="auto"/>
              <w:ind w:left="0" w:right="0"/>
              <w:jc w:val="left"/>
            </w:pPr>
            <w:r w:rsidR="3052BD84">
              <w:rPr/>
              <w:t xml:space="preserve">When applying security </w:t>
            </w:r>
            <w:r w:rsidR="3052BD84">
              <w:rPr/>
              <w:t>intrinsically</w:t>
            </w:r>
            <w:r w:rsidR="3052BD84">
              <w:rPr/>
              <w:t xml:space="preserve"> there are several factors that must be considered and </w:t>
            </w:r>
            <w:r w:rsidR="3052BD84">
              <w:rPr/>
              <w:t>it must be applied</w:t>
            </w:r>
            <w:r w:rsidR="3052BD84">
              <w:rPr/>
              <w:t xml:space="preserve"> correctly</w:t>
            </w:r>
            <w:r w:rsidR="3052BD84">
              <w:rPr/>
              <w:t>, with</w:t>
            </w:r>
            <w:r w:rsidR="3052BD84">
              <w:rPr/>
              <w:t xml:space="preserve"> this being </w:t>
            </w:r>
            <w:r w:rsidR="3052BD84">
              <w:rPr/>
              <w:t>said</w:t>
            </w:r>
            <w:r w:rsidR="3052BD84">
              <w:rPr/>
              <w:t xml:space="preserve"> the benefits of this will be worth the risk and work involved. To successfully implement </w:t>
            </w:r>
            <w:r w:rsidR="3052BD84">
              <w:rPr/>
              <w:t>this</w:t>
            </w:r>
            <w:r w:rsidR="3052BD84">
              <w:rPr/>
              <w:t xml:space="preserve"> there is a lot of planning and </w:t>
            </w:r>
            <w:r w:rsidR="3052BD84">
              <w:rPr/>
              <w:t>follow through</w:t>
            </w:r>
            <w:r w:rsidR="3052BD84">
              <w:rPr/>
              <w:t xml:space="preserve"> involved. As </w:t>
            </w:r>
            <w:r w:rsidR="3052BD84">
              <w:rPr/>
              <w:t>stated</w:t>
            </w:r>
            <w:r w:rsidR="3052BD84">
              <w:rPr/>
              <w:t xml:space="preserve"> by The Federal Trade Commission in the article “Start with Security: A Guide for Business” when developing a project, you should start by </w:t>
            </w:r>
            <w:r w:rsidR="3052BD84">
              <w:rPr/>
              <w:t>establishing</w:t>
            </w:r>
            <w:r w:rsidR="3052BD84">
              <w:rPr/>
              <w:t xml:space="preserve"> the security that will be implemented (Federal Trade Commision, 2024). This will create the </w:t>
            </w:r>
            <w:r w:rsidR="3052BD84">
              <w:rPr/>
              <w:t>excepted</w:t>
            </w:r>
            <w:r w:rsidR="3052BD84">
              <w:rPr/>
              <w:t xml:space="preserve"> level and type of security that should be implemented throughout your project (Federal Trade Commission, 2024). From the start of the project to the </w:t>
            </w:r>
            <w:r w:rsidR="3052BD84">
              <w:rPr/>
              <w:t>end</w:t>
            </w:r>
            <w:r w:rsidR="3052BD84">
              <w:rPr/>
              <w:t xml:space="preserve"> this </w:t>
            </w:r>
            <w:r w:rsidR="3052BD84">
              <w:rPr/>
              <w:t>established</w:t>
            </w:r>
            <w:r w:rsidR="3052BD84">
              <w:rPr/>
              <w:t xml:space="preserve"> rule for security should be implemented. When implementing this </w:t>
            </w:r>
            <w:r w:rsidR="3052BD84">
              <w:rPr/>
              <w:t>strategy</w:t>
            </w:r>
            <w:r w:rsidR="3052BD84">
              <w:rPr/>
              <w:t xml:space="preserve"> you run the risk of creating and implementing a security structure that is not adequate or does not work for your project. This is why it is important to do </w:t>
            </w:r>
            <w:r w:rsidR="3052BD84">
              <w:rPr/>
              <w:t>the hard</w:t>
            </w:r>
            <w:r w:rsidR="3052BD84">
              <w:rPr/>
              <w:t xml:space="preserve"> work researching and creating a security policy like the one </w:t>
            </w:r>
            <w:r w:rsidR="3052BD84">
              <w:rPr/>
              <w:t>representing</w:t>
            </w:r>
            <w:r w:rsidR="3052BD84">
              <w:rPr/>
              <w:t xml:space="preserve"> in this presentation. With a good security policy that supports and </w:t>
            </w:r>
            <w:r w:rsidR="46C98A30">
              <w:rPr/>
              <w:t xml:space="preserve">implements </w:t>
            </w:r>
            <w:r w:rsidR="3052BD84">
              <w:rPr/>
              <w:t xml:space="preserve">proper security like the </w:t>
            </w:r>
            <w:r w:rsidR="70D5DCA9">
              <w:rPr/>
              <w:t>principle</w:t>
            </w:r>
            <w:r w:rsidR="3052BD84">
              <w:rPr/>
              <w:t xml:space="preserve"> of least privilege for example the risk involved of applying security intrinsically are diminished and you reap the rewards of having a system developed to support security.</w:t>
            </w:r>
          </w:p>
        </w:tc>
      </w:tr>
      <w:tr w:rsidRPr="007D553D" w:rsidR="00177915" w:rsidTr="179C2767" w14:paraId="2637279C" w14:textId="77777777">
        <w:trPr>
          <w:trHeight w:val="1296"/>
        </w:trPr>
        <w:tc>
          <w:tcPr>
            <w:tcW w:w="2115" w:type="dxa"/>
            <w:tcMar/>
            <w:vAlign w:val="center"/>
          </w:tcPr>
          <w:p w:rsidRPr="007D553D" w:rsidR="00177915" w:rsidP="179C2767" w:rsidRDefault="00BA25B9" w14:paraId="79D8B5F9" w14:textId="5CE0C02C">
            <w:pPr>
              <w:suppressAutoHyphens/>
              <w:jc w:val="center"/>
              <w:rPr>
                <w:b w:val="1"/>
                <w:bCs w:val="1"/>
              </w:rPr>
            </w:pPr>
            <w:r w:rsidRPr="179C2767" w:rsidR="00BA25B9">
              <w:rPr>
                <w:b w:val="1"/>
                <w:bCs w:val="1"/>
              </w:rPr>
              <w:t>1</w:t>
            </w:r>
            <w:r w:rsidRPr="179C2767" w:rsidR="36BA07A1">
              <w:rPr>
                <w:b w:val="1"/>
                <w:bCs w:val="1"/>
              </w:rPr>
              <w:t>6</w:t>
            </w:r>
          </w:p>
        </w:tc>
        <w:tc>
          <w:tcPr>
            <w:tcW w:w="7455" w:type="dxa"/>
            <w:tcMar/>
          </w:tcPr>
          <w:p w:rsidRPr="007D553D" w:rsidR="00177915" w:rsidP="007D553D" w:rsidRDefault="007D553D" w14:paraId="02AF25B6" w14:textId="62FB4DC1">
            <w:pPr>
              <w:suppressAutoHyphens/>
            </w:pPr>
            <w:r w:rsidR="114CA32B">
              <w:rPr/>
              <w:t xml:space="preserve">One gap that is present in the security policy is a lack of SQL injection specific coding standards. While coding standard STD-004-CPP FIO30-C. Exclude user input from format strings. Does </w:t>
            </w:r>
            <w:r w:rsidR="114CA32B">
              <w:rPr/>
              <w:t>help to</w:t>
            </w:r>
            <w:r w:rsidR="114CA32B">
              <w:rPr/>
              <w:t xml:space="preserve"> prevent SQL injections by working to </w:t>
            </w:r>
            <w:r w:rsidR="3BE1BB79">
              <w:rPr/>
              <w:t>sanitize</w:t>
            </w:r>
            <w:r w:rsidR="114CA32B">
              <w:rPr/>
              <w:t xml:space="preserve"> user input </w:t>
            </w:r>
            <w:r w:rsidR="114CA32B">
              <w:rPr/>
              <w:t>data.</w:t>
            </w:r>
            <w:r w:rsidR="114CA32B">
              <w:rPr/>
              <w:t xml:space="preserve"> This standard does not </w:t>
            </w:r>
            <w:r w:rsidR="114CA32B">
              <w:rPr/>
              <w:t>directly relate</w:t>
            </w:r>
            <w:r w:rsidR="114CA32B">
              <w:rPr/>
              <w:t xml:space="preserve"> to SQL </w:t>
            </w:r>
            <w:r w:rsidR="114CA32B">
              <w:rPr/>
              <w:t>injections</w:t>
            </w:r>
            <w:r w:rsidR="114CA32B">
              <w:rPr/>
              <w:t xml:space="preserve"> and a specific </w:t>
            </w:r>
            <w:r w:rsidR="4AF696AA">
              <w:rPr/>
              <w:t>standard</w:t>
            </w:r>
            <w:r w:rsidR="114CA32B">
              <w:rPr/>
              <w:t xml:space="preserve"> should be added to </w:t>
            </w:r>
            <w:r w:rsidR="3A043966">
              <w:rPr/>
              <w:t>address</w:t>
            </w:r>
            <w:r w:rsidR="114CA32B">
              <w:rPr/>
              <w:t xml:space="preserve"> this. </w:t>
            </w:r>
          </w:p>
          <w:p w:rsidRPr="007D553D" w:rsidR="00177915" w:rsidP="179C2767" w:rsidRDefault="007D553D" w14:paraId="36AE31D9" w14:textId="0A32F191">
            <w:pPr>
              <w:pStyle w:val="Normal"/>
              <w:suppressAutoHyphens/>
            </w:pPr>
            <w:r w:rsidR="114CA32B">
              <w:rPr/>
              <w:t xml:space="preserve"> </w:t>
            </w:r>
          </w:p>
          <w:p w:rsidRPr="007D553D" w:rsidR="00177915" w:rsidP="179C2767" w:rsidRDefault="007D553D" w14:paraId="794AAEF3" w14:textId="3B789668">
            <w:pPr>
              <w:pStyle w:val="Normal"/>
              <w:suppressAutoHyphens/>
            </w:pPr>
            <w:r w:rsidR="114CA32B">
              <w:rPr/>
              <w:t xml:space="preserve">Another gap that is present in the security policy is more </w:t>
            </w:r>
            <w:r w:rsidR="114CA32B">
              <w:rPr/>
              <w:t>tool</w:t>
            </w:r>
            <w:r w:rsidR="114CA32B">
              <w:rPr/>
              <w:t xml:space="preserve"> that should be used</w:t>
            </w:r>
            <w:r w:rsidR="114CA32B">
              <w:rPr/>
              <w:t xml:space="preserve">.  </w:t>
            </w:r>
            <w:r w:rsidR="111A43EF">
              <w:rPr/>
              <w:t>Aside</w:t>
            </w:r>
            <w:r w:rsidR="114CA32B">
              <w:rPr/>
              <w:t xml:space="preserve"> from automated testing there are many tools that can help </w:t>
            </w:r>
            <w:r w:rsidR="2DD1B41D">
              <w:rPr/>
              <w:t>implement</w:t>
            </w:r>
            <w:r w:rsidR="114CA32B">
              <w:rPr/>
              <w:t xml:space="preserve"> policies like </w:t>
            </w:r>
            <w:r w:rsidR="0631D91B">
              <w:rPr/>
              <w:t>Authentication</w:t>
            </w:r>
            <w:r w:rsidR="114CA32B">
              <w:rPr/>
              <w:t xml:space="preserve"> which can be used to </w:t>
            </w:r>
            <w:r w:rsidR="114CA32B">
              <w:rPr/>
              <w:t>more easily apply this principle</w:t>
            </w:r>
            <w:r w:rsidR="114CA32B">
              <w:rPr/>
              <w:t xml:space="preserve">. </w:t>
            </w:r>
          </w:p>
          <w:p w:rsidRPr="007D553D" w:rsidR="00177915" w:rsidP="179C2767" w:rsidRDefault="007D553D" w14:paraId="02B9BBCC" w14:textId="27488DEC">
            <w:pPr>
              <w:pStyle w:val="Normal"/>
              <w:suppressAutoHyphens/>
            </w:pPr>
            <w:r w:rsidR="114CA32B">
              <w:rPr/>
              <w:t xml:space="preserve"> </w:t>
            </w:r>
          </w:p>
          <w:p w:rsidRPr="007D553D" w:rsidR="00177915" w:rsidP="179C2767" w:rsidRDefault="007D553D" w14:paraId="09CA053A" w14:textId="32EB28B7">
            <w:pPr>
              <w:pStyle w:val="Normal"/>
              <w:suppressAutoHyphens/>
            </w:pPr>
            <w:r w:rsidR="114CA32B">
              <w:rPr/>
              <w:t xml:space="preserve">The last gap that I can </w:t>
            </w:r>
            <w:r w:rsidR="09FB6B57">
              <w:rPr/>
              <w:t>identify</w:t>
            </w:r>
            <w:r w:rsidR="114CA32B">
              <w:rPr/>
              <w:t xml:space="preserve"> in the security policy is that there is not an updated graphic of the </w:t>
            </w:r>
            <w:r w:rsidR="114CA32B">
              <w:rPr/>
              <w:t>DevSecOps</w:t>
            </w:r>
            <w:r w:rsidR="114CA32B">
              <w:rPr/>
              <w:t xml:space="preserve"> pipeline that </w:t>
            </w:r>
            <w:r w:rsidR="114CA32B">
              <w:rPr/>
              <w:t>represents</w:t>
            </w:r>
            <w:r w:rsidR="114CA32B">
              <w:rPr/>
              <w:t xml:space="preserve"> the pipeline with automation included. This will need to </w:t>
            </w:r>
            <w:r w:rsidR="114CA32B">
              <w:rPr/>
              <w:t>added</w:t>
            </w:r>
            <w:r w:rsidR="114CA32B">
              <w:rPr/>
              <w:t xml:space="preserve"> so individuals do not miss automation.</w:t>
            </w:r>
          </w:p>
        </w:tc>
      </w:tr>
      <w:tr w:rsidRPr="007D553D" w:rsidR="00177915" w:rsidTr="179C2767" w14:paraId="040861A0" w14:textId="77777777">
        <w:trPr>
          <w:trHeight w:val="1296"/>
        </w:trPr>
        <w:tc>
          <w:tcPr>
            <w:tcW w:w="2115" w:type="dxa"/>
            <w:tcMar/>
            <w:vAlign w:val="center"/>
          </w:tcPr>
          <w:p w:rsidRPr="007D553D" w:rsidR="00177915" w:rsidP="179C2767" w:rsidRDefault="00BA25B9" w14:paraId="2CF76596" w14:textId="1AEE6C6C">
            <w:pPr>
              <w:suppressAutoHyphens/>
              <w:jc w:val="center"/>
              <w:rPr>
                <w:b w:val="1"/>
                <w:bCs w:val="1"/>
              </w:rPr>
            </w:pPr>
            <w:r w:rsidRPr="179C2767" w:rsidR="00BA25B9">
              <w:rPr>
                <w:b w:val="1"/>
                <w:bCs w:val="1"/>
              </w:rPr>
              <w:t>1</w:t>
            </w:r>
            <w:r w:rsidRPr="179C2767" w:rsidR="1E58FA63">
              <w:rPr>
                <w:b w:val="1"/>
                <w:bCs w:val="1"/>
              </w:rPr>
              <w:t>7</w:t>
            </w:r>
          </w:p>
        </w:tc>
        <w:tc>
          <w:tcPr>
            <w:tcW w:w="7455" w:type="dxa"/>
            <w:tcMar/>
          </w:tcPr>
          <w:p w:rsidRPr="007D553D" w:rsidR="00177915" w:rsidP="179C2767" w:rsidRDefault="007D553D" w14:paraId="2A010422" w14:textId="4E7723A0">
            <w:pPr>
              <w:pStyle w:val="Normal"/>
              <w:suppressLineNumbers w:val="0"/>
              <w:bidi w:val="0"/>
              <w:spacing w:before="0" w:beforeAutospacing="off" w:after="0" w:afterAutospacing="off" w:line="240" w:lineRule="auto"/>
              <w:ind w:left="0" w:right="0"/>
              <w:jc w:val="left"/>
            </w:pPr>
            <w:r w:rsidR="4D01D50D">
              <w:rPr/>
              <w:t xml:space="preserve">As </w:t>
            </w:r>
            <w:r w:rsidR="4D01D50D">
              <w:rPr/>
              <w:t>stated</w:t>
            </w:r>
            <w:r w:rsidR="4D01D50D">
              <w:rPr/>
              <w:t xml:space="preserve"> by OWASP in the article “SQL Injection Prevention Cheat Sheet </w:t>
            </w:r>
            <w:r w:rsidR="4D01D50D">
              <w:rPr/>
              <w:t xml:space="preserve">“ </w:t>
            </w:r>
            <w:r w:rsidR="38501DBB">
              <w:rPr/>
              <w:t>utilizing</w:t>
            </w:r>
            <w:r w:rsidR="6DF4EB84">
              <w:rPr/>
              <w:t xml:space="preserve"> </w:t>
            </w:r>
            <w:r w:rsidR="3AB535EF">
              <w:rPr/>
              <w:t>parametrized</w:t>
            </w:r>
            <w:r w:rsidR="6DF4EB84">
              <w:rPr/>
              <w:t xml:space="preserve"> queries and proper storage </w:t>
            </w:r>
            <w:r w:rsidR="52AD12B7">
              <w:rPr/>
              <w:t>procedures</w:t>
            </w:r>
            <w:r w:rsidR="6DF4EB84">
              <w:rPr/>
              <w:t xml:space="preserve"> </w:t>
            </w:r>
            <w:r w:rsidR="6DF4EB84">
              <w:rPr/>
              <w:t>are</w:t>
            </w:r>
            <w:r w:rsidR="6DF4EB84">
              <w:rPr/>
              <w:t xml:space="preserve"> an effective standard to reduce the risk of SQL injection </w:t>
            </w:r>
            <w:r w:rsidR="028E447F">
              <w:rPr/>
              <w:t>vulnerabilities</w:t>
            </w:r>
            <w:r w:rsidR="6DF4EB84">
              <w:rPr/>
              <w:t xml:space="preserve">. Which is why I </w:t>
            </w:r>
            <w:r w:rsidR="246AA7A3">
              <w:rPr/>
              <w:t>suggest</w:t>
            </w:r>
            <w:r w:rsidR="6DF4EB84">
              <w:rPr/>
              <w:t xml:space="preserve"> </w:t>
            </w:r>
            <w:r w:rsidR="1B32B2C0">
              <w:rPr/>
              <w:t>adding</w:t>
            </w:r>
            <w:r w:rsidR="6DF4EB84">
              <w:rPr/>
              <w:t xml:space="preserve"> STD-011-CPP Use </w:t>
            </w:r>
            <w:r w:rsidR="2D5A4A25">
              <w:rPr/>
              <w:t>Parametrized</w:t>
            </w:r>
            <w:r w:rsidR="6DF4EB84">
              <w:rPr/>
              <w:t xml:space="preserve"> Queries</w:t>
            </w:r>
            <w:r w:rsidR="22849D33">
              <w:rPr/>
              <w:t xml:space="preserve"> and STD-012-CPP Use Proper Storage Procedures to the security policy </w:t>
            </w:r>
            <w:r w:rsidR="616A6264">
              <w:rPr/>
              <w:t>to</w:t>
            </w:r>
            <w:r w:rsidR="22849D33">
              <w:rPr/>
              <w:t xml:space="preserve"> improve the gaps present in it</w:t>
            </w:r>
            <w:r w:rsidR="427EDECA">
              <w:rPr/>
              <w:t xml:space="preserve"> </w:t>
            </w:r>
            <w:r w:rsidR="76A434E7">
              <w:rPr/>
              <w:t>which</w:t>
            </w:r>
            <w:r w:rsidR="427EDECA">
              <w:rPr/>
              <w:t xml:space="preserve"> includes a lack of SQL injection specific standards</w:t>
            </w:r>
            <w:r w:rsidR="22849D33">
              <w:rPr/>
              <w:t xml:space="preserve">. </w:t>
            </w:r>
          </w:p>
        </w:tc>
      </w:tr>
      <w:tr w:rsidRPr="007D553D" w:rsidR="00177915" w:rsidTr="179C2767" w14:paraId="37616630" w14:textId="77777777">
        <w:trPr>
          <w:trHeight w:val="1296"/>
        </w:trPr>
        <w:tc>
          <w:tcPr>
            <w:tcW w:w="2115" w:type="dxa"/>
            <w:tcMar/>
            <w:vAlign w:val="center"/>
          </w:tcPr>
          <w:p w:rsidRPr="007D553D" w:rsidR="00177915" w:rsidP="179C2767" w:rsidRDefault="00BA25B9" w14:paraId="5095DF5C" w14:textId="27705AA7">
            <w:pPr>
              <w:suppressAutoHyphens/>
              <w:jc w:val="center"/>
              <w:rPr>
                <w:b w:val="1"/>
                <w:bCs w:val="1"/>
              </w:rPr>
            </w:pPr>
            <w:r w:rsidRPr="179C2767" w:rsidR="00BA25B9">
              <w:rPr>
                <w:b w:val="1"/>
                <w:bCs w:val="1"/>
              </w:rPr>
              <w:t>1</w:t>
            </w:r>
            <w:r w:rsidRPr="179C2767" w:rsidR="4A742928">
              <w:rPr>
                <w:b w:val="1"/>
                <w:bCs w:val="1"/>
              </w:rPr>
              <w:t>8</w:t>
            </w:r>
          </w:p>
        </w:tc>
        <w:tc>
          <w:tcPr>
            <w:tcW w:w="7455" w:type="dxa"/>
            <w:tcMar/>
          </w:tcPr>
          <w:p w:rsidRPr="007D553D" w:rsidR="00177915" w:rsidP="179C2767" w:rsidRDefault="007D553D" w14:paraId="20A6BB05" w14:textId="70083B97">
            <w:pPr>
              <w:pStyle w:val="Normal"/>
              <w:suppressLineNumbers w:val="0"/>
              <w:bidi w:val="0"/>
              <w:spacing w:before="0" w:beforeAutospacing="off" w:after="0" w:afterAutospacing="off" w:line="240" w:lineRule="auto"/>
              <w:ind w:left="0" w:right="0"/>
              <w:jc w:val="left"/>
            </w:pPr>
            <w:r w:rsidR="17796F8D">
              <w:rPr/>
              <w:t xml:space="preserve">Here are </w:t>
            </w:r>
            <w:r w:rsidR="17796F8D">
              <w:rPr/>
              <w:t>all of</w:t>
            </w:r>
            <w:r w:rsidR="17796F8D">
              <w:rPr/>
              <w:t xml:space="preserve"> the resources that helped in the creation of this presentation</w:t>
            </w:r>
          </w:p>
        </w:tc>
      </w:tr>
    </w:tbl>
    <w:p w:rsidRPr="007D553D" w:rsidR="00177915" w:rsidP="007D553D" w:rsidRDefault="00177915" w14:paraId="097865CA" w14:textId="76C047C7">
      <w:pPr>
        <w:suppressAutoHyphens/>
        <w:spacing w:after="0" w:line="240" w:lineRule="auto"/>
      </w:pPr>
      <w:r>
        <w:br w:type="page"/>
      </w:r>
    </w:p>
    <w:p w:rsidRPr="007D553D" w:rsidR="00177915" w:rsidP="179C2767" w:rsidRDefault="00177915" w14:paraId="6909588B" w14:textId="67A55255">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References Carnegie Mellon University. (n.d.). SEI CERT C++ coding standard - SEI CERT C++ coding standard - Confluence. Retrieved June 20, 2025, from </w:t>
      </w:r>
      <w:hyperlink r:id="Rff7beb3a9b704c1a">
        <w:r w:rsidRPr="179C2767" w:rsidR="5A605656">
          <w:rPr>
            <w:rStyle w:val="Hyperlink"/>
            <w:rFonts w:ascii="Calibri" w:hAnsi="Calibri" w:eastAsia="Calibri" w:cs="Calibri"/>
            <w:noProof w:val="0"/>
            <w:sz w:val="22"/>
            <w:szCs w:val="22"/>
            <w:lang w:val="en-US"/>
          </w:rPr>
          <w:t>https://wiki.sei.cmu.edu/confluence/pages/viewpage.action?pageId=88046682</w:t>
        </w:r>
      </w:hyperlink>
    </w:p>
    <w:p w:rsidRPr="007D553D" w:rsidR="00177915" w:rsidP="179C2767" w:rsidRDefault="00177915" w14:paraId="57F33DA5" w14:textId="42ACA515">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Cloudflare. (n.d.). What is the difference between TLS 1.3 and TLS 1.2? Cloudflare - The Web Performance &amp; Security Company | Cloudflare. Retrieved June 20, 2025, from </w:t>
      </w:r>
      <w:hyperlink r:id="Rdac6da666b9a4c53">
        <w:r w:rsidRPr="179C2767" w:rsidR="5A605656">
          <w:rPr>
            <w:rStyle w:val="Hyperlink"/>
            <w:rFonts w:ascii="Calibri" w:hAnsi="Calibri" w:eastAsia="Calibri" w:cs="Calibri"/>
            <w:noProof w:val="0"/>
            <w:sz w:val="22"/>
            <w:szCs w:val="22"/>
            <w:lang w:val="en-US"/>
          </w:rPr>
          <w:t>https://www.cloudflare.com/learning/ssl/why-use-tls-1.3/</w:t>
        </w:r>
      </w:hyperlink>
    </w:p>
    <w:p w:rsidRPr="007D553D" w:rsidR="00177915" w:rsidP="179C2767" w:rsidRDefault="00177915" w14:paraId="45CBA384" w14:textId="05986DA2">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Federal Trade Commission. (2024, February 14). Start with security: A guide for business. Retrieved June 20, 2025, from </w:t>
      </w:r>
      <w:hyperlink w:anchor="start" r:id="R439b37b65e764806">
        <w:r w:rsidRPr="179C2767" w:rsidR="5A605656">
          <w:rPr>
            <w:rStyle w:val="Hyperlink"/>
            <w:rFonts w:ascii="Calibri" w:hAnsi="Calibri" w:eastAsia="Calibri" w:cs="Calibri"/>
            <w:noProof w:val="0"/>
            <w:sz w:val="22"/>
            <w:szCs w:val="22"/>
            <w:lang w:val="en-US"/>
          </w:rPr>
          <w:t>https://www.ftc.gov/business-guidance/resources/start-security-guide-business#start</w:t>
        </w:r>
      </w:hyperlink>
    </w:p>
    <w:p w:rsidRPr="007D553D" w:rsidR="00177915" w:rsidP="179C2767" w:rsidRDefault="00177915" w14:paraId="47965867" w14:textId="39A34A38">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Forta. (n.d.). What is user activity monitoring? Enterprise IP and DLP Software | Digital Guardian. Retrieved June 20, 2025, from </w:t>
      </w:r>
      <w:hyperlink r:id="Rb1dbbb92d3764c07">
        <w:r w:rsidRPr="179C2767" w:rsidR="5A605656">
          <w:rPr>
            <w:rStyle w:val="Hyperlink"/>
            <w:rFonts w:ascii="Calibri" w:hAnsi="Calibri" w:eastAsia="Calibri" w:cs="Calibri"/>
            <w:noProof w:val="0"/>
            <w:sz w:val="22"/>
            <w:szCs w:val="22"/>
            <w:lang w:val="en-US"/>
          </w:rPr>
          <w:t>https://www.digitalguardian.com/resources/knowledge-base/what-user-activity-monitoring-how-it-works-benefits-best-practices-and-more</w:t>
        </w:r>
      </w:hyperlink>
    </w:p>
    <w:p w:rsidRPr="007D553D" w:rsidR="00177915" w:rsidP="179C2767" w:rsidRDefault="00177915" w14:paraId="58F671C8" w14:textId="73D149E2">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Google. (2024). Default encryption at rest. Google Cloud. Retrieved June 20, 2025, from </w:t>
      </w:r>
      <w:hyperlink r:id="R402817bbce664f48">
        <w:r w:rsidRPr="179C2767" w:rsidR="5A605656">
          <w:rPr>
            <w:rStyle w:val="Hyperlink"/>
            <w:rFonts w:ascii="Calibri" w:hAnsi="Calibri" w:eastAsia="Calibri" w:cs="Calibri"/>
            <w:noProof w:val="0"/>
            <w:sz w:val="22"/>
            <w:szCs w:val="22"/>
            <w:lang w:val="en-US"/>
          </w:rPr>
          <w:t>https://cloud.google.com/docs/security/encryption/default-encryption</w:t>
        </w:r>
      </w:hyperlink>
    </w:p>
    <w:p w:rsidRPr="007D553D" w:rsidR="00177915" w:rsidP="179C2767" w:rsidRDefault="00177915" w14:paraId="6B577C9D" w14:textId="593CB512">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Google. (2025). Encryption in transit. Google Cloud. Retrieved June 20, 2025, from </w:t>
      </w:r>
      <w:hyperlink r:id="R9a3fd405f6434baa">
        <w:r w:rsidRPr="179C2767" w:rsidR="5A605656">
          <w:rPr>
            <w:rStyle w:val="Hyperlink"/>
            <w:rFonts w:ascii="Calibri" w:hAnsi="Calibri" w:eastAsia="Calibri" w:cs="Calibri"/>
            <w:noProof w:val="0"/>
            <w:sz w:val="22"/>
            <w:szCs w:val="22"/>
            <w:lang w:val="en-US"/>
          </w:rPr>
          <w:t>https://cloud.google.com/docs/security/encryption-in-transit</w:t>
        </w:r>
      </w:hyperlink>
    </w:p>
    <w:p w:rsidRPr="007D553D" w:rsidR="00177915" w:rsidP="179C2767" w:rsidRDefault="00177915" w14:paraId="39E9C48E" w14:textId="2976D67C">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Lindemulder, G. (2024, August 20). What is role-based access control (RBAC)? IBM - United States. Retrieved June 20, 2025, from </w:t>
      </w:r>
      <w:hyperlink r:id="R07b4cafb0e424bb7">
        <w:r w:rsidRPr="179C2767" w:rsidR="5A605656">
          <w:rPr>
            <w:rStyle w:val="Hyperlink"/>
            <w:rFonts w:ascii="Calibri" w:hAnsi="Calibri" w:eastAsia="Calibri" w:cs="Calibri"/>
            <w:noProof w:val="0"/>
            <w:sz w:val="22"/>
            <w:szCs w:val="22"/>
            <w:lang w:val="en-US"/>
          </w:rPr>
          <w:t>https://www.ibm.com/think/topics/rbac</w:t>
        </w:r>
      </w:hyperlink>
    </w:p>
    <w:p w:rsidRPr="007D553D" w:rsidR="00177915" w:rsidP="179C2767" w:rsidRDefault="00177915" w14:paraId="07AF07C1" w14:textId="2EC25366">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Martinez, J. (2024, June 10). 9 user authentication methods to stay secure in 2024. StrongDM: Your Partner in Zero Trust Privileged Access. Retrieved June 20, 2025, from </w:t>
      </w:r>
      <w:hyperlink r:id="Ra3ad3f8251aa4857">
        <w:r w:rsidRPr="179C2767" w:rsidR="5A605656">
          <w:rPr>
            <w:rStyle w:val="Hyperlink"/>
            <w:rFonts w:ascii="Calibri" w:hAnsi="Calibri" w:eastAsia="Calibri" w:cs="Calibri"/>
            <w:noProof w:val="0"/>
            <w:sz w:val="22"/>
            <w:szCs w:val="22"/>
            <w:lang w:val="en-US"/>
          </w:rPr>
          <w:t>https://www.strongdm.com/blog/authentication-methods</w:t>
        </w:r>
      </w:hyperlink>
    </w:p>
    <w:p w:rsidRPr="007D553D" w:rsidR="00177915" w:rsidP="179C2767" w:rsidRDefault="00177915" w14:paraId="11C7E8FC" w14:textId="666B093D">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Owasp. (n.d.). SQL injection prevention. Introduction - OWASP Cheat Sheet Series. Retrieved June 20, 2025, from </w:t>
      </w:r>
      <w:hyperlink r:id="R838b261f47c749af">
        <w:r w:rsidRPr="179C2767" w:rsidR="5A605656">
          <w:rPr>
            <w:rStyle w:val="Hyperlink"/>
            <w:rFonts w:ascii="Calibri" w:hAnsi="Calibri" w:eastAsia="Calibri" w:cs="Calibri"/>
            <w:noProof w:val="0"/>
            <w:sz w:val="22"/>
            <w:szCs w:val="22"/>
            <w:lang w:val="en-US"/>
          </w:rPr>
          <w:t>https://cheatsheetseries.owasp.org/cheatsheets/SQL_Injection_Prevention_Cheat_Sheet.html</w:t>
        </w:r>
      </w:hyperlink>
    </w:p>
    <w:p w:rsidRPr="007D553D" w:rsidR="00177915" w:rsidP="179C2767" w:rsidRDefault="00177915" w14:paraId="1EDDB4EC" w14:textId="4413719B">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Sonar. (n.d.). Sonarstatic code analysissince2008. Retrieved June 20, 2025, from </w:t>
      </w:r>
      <w:hyperlink r:id="Re2816c4c4fb24d54">
        <w:r w:rsidRPr="179C2767" w:rsidR="5A605656">
          <w:rPr>
            <w:rStyle w:val="Hyperlink"/>
            <w:rFonts w:ascii="Calibri" w:hAnsi="Calibri" w:eastAsia="Calibri" w:cs="Calibri"/>
            <w:noProof w:val="0"/>
            <w:sz w:val="22"/>
            <w:szCs w:val="22"/>
            <w:lang w:val="en-US"/>
          </w:rPr>
          <w:t>https://rules.sonarsource.com/</w:t>
        </w:r>
      </w:hyperlink>
    </w:p>
    <w:p w:rsidRPr="007D553D" w:rsidR="00177915" w:rsidP="179C2767" w:rsidRDefault="00177915" w14:paraId="726A1443" w14:textId="5962F95A">
      <w:pPr>
        <w:suppressAutoHyphens/>
        <w:spacing w:before="240" w:beforeAutospacing="off" w:after="240" w:afterAutospacing="off" w:line="240" w:lineRule="auto"/>
      </w:pPr>
      <w:r w:rsidRPr="179C2767" w:rsidR="5A605656">
        <w:rPr>
          <w:rFonts w:ascii="Calibri" w:hAnsi="Calibri" w:eastAsia="Calibri" w:cs="Calibri"/>
          <w:noProof w:val="0"/>
          <w:sz w:val="22"/>
          <w:szCs w:val="22"/>
          <w:lang w:val="en-US"/>
        </w:rPr>
        <w:t xml:space="preserve">Velimirovic, A. (2023, November 16). Data encryption in use explained. phoenixNAP Blog. </w:t>
      </w:r>
      <w:hyperlink r:id="Rf5e948739ff24ea4">
        <w:r w:rsidRPr="179C2767" w:rsidR="5A605656">
          <w:rPr>
            <w:rStyle w:val="Hyperlink"/>
            <w:rFonts w:ascii="Calibri" w:hAnsi="Calibri" w:eastAsia="Calibri" w:cs="Calibri"/>
            <w:noProof w:val="0"/>
            <w:sz w:val="22"/>
            <w:szCs w:val="22"/>
            <w:lang w:val="en-US"/>
          </w:rPr>
          <w:t>https://phoenixnap.com/blog/encryption-in-use</w:t>
        </w:r>
      </w:hyperlink>
    </w:p>
    <w:p w:rsidRPr="007D553D" w:rsidR="00177915" w:rsidP="179C2767" w:rsidRDefault="00177915" w14:paraId="2E9A2232" w14:textId="7253F76D">
      <w:pPr>
        <w:suppressAutoHyphens/>
        <w:spacing w:after="0" w:line="240" w:lineRule="auto"/>
        <w:rPr>
          <w:b w:val="1"/>
          <w:bCs w:val="1"/>
        </w:rPr>
      </w:pPr>
    </w:p>
    <w:sectPr w:rsidRPr="007D553D" w:rsidR="00177915">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24BE" w:rsidP="007D553D" w:rsidRDefault="006224BE" w14:paraId="008AA35B" w14:textId="77777777">
      <w:pPr>
        <w:spacing w:after="0" w:line="240" w:lineRule="auto"/>
      </w:pPr>
      <w:r>
        <w:separator/>
      </w:r>
    </w:p>
  </w:endnote>
  <w:endnote w:type="continuationSeparator" w:id="0">
    <w:p w:rsidR="006224BE" w:rsidP="007D553D" w:rsidRDefault="006224BE" w14:paraId="4014F9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24BE" w:rsidP="007D553D" w:rsidRDefault="006224BE" w14:paraId="4A282105" w14:textId="77777777">
      <w:pPr>
        <w:spacing w:after="0" w:line="240" w:lineRule="auto"/>
      </w:pPr>
      <w:r>
        <w:separator/>
      </w:r>
    </w:p>
  </w:footnote>
  <w:footnote w:type="continuationSeparator" w:id="0">
    <w:p w:rsidR="006224BE" w:rsidP="007D553D" w:rsidRDefault="006224BE" w14:paraId="6C639FE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du wp14">
  <w:p w:rsidR="007D553D" w:rsidP="007D553D" w:rsidRDefault="003463DD" w14:paraId="3BDC6DC4" w14:textId="160ED5CB">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kU52bdkGXyEoxi" int2:id="zAsUpesd">
      <int2:state int2:type="spell" int2:value="Rejected"/>
    </int2:textHash>
    <int2:textHash int2:hashCode="JYpcj4LD0R1hjD" int2:id="3NdCGWif">
      <int2:state int2:type="spell" int2:value="Rejected"/>
    </int2:textHash>
    <int2:textHash int2:hashCode="kuku5Ek2vmv0CX" int2:id="Nloou3wT">
      <int2:state int2:type="spell"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32543C"/>
    <w:rsid w:val="003463DD"/>
    <w:rsid w:val="006224BE"/>
    <w:rsid w:val="007D553D"/>
    <w:rsid w:val="00BA25B9"/>
    <w:rsid w:val="00D6C21C"/>
    <w:rsid w:val="00E960B6"/>
    <w:rsid w:val="0129B9BD"/>
    <w:rsid w:val="01AF10FF"/>
    <w:rsid w:val="028E447F"/>
    <w:rsid w:val="029A6DD6"/>
    <w:rsid w:val="02A3A6AF"/>
    <w:rsid w:val="03202743"/>
    <w:rsid w:val="032175D7"/>
    <w:rsid w:val="03591A3C"/>
    <w:rsid w:val="049EDA06"/>
    <w:rsid w:val="04C4658D"/>
    <w:rsid w:val="0527A005"/>
    <w:rsid w:val="055488F6"/>
    <w:rsid w:val="05C42FF6"/>
    <w:rsid w:val="05D87C43"/>
    <w:rsid w:val="0631D91B"/>
    <w:rsid w:val="063F53FF"/>
    <w:rsid w:val="0656D62B"/>
    <w:rsid w:val="07EF645A"/>
    <w:rsid w:val="084F2E15"/>
    <w:rsid w:val="086B94BC"/>
    <w:rsid w:val="091036F4"/>
    <w:rsid w:val="09732D0D"/>
    <w:rsid w:val="098BE666"/>
    <w:rsid w:val="099369BC"/>
    <w:rsid w:val="09CF0856"/>
    <w:rsid w:val="09FAAE40"/>
    <w:rsid w:val="09FB6B57"/>
    <w:rsid w:val="0A39B577"/>
    <w:rsid w:val="0AC01864"/>
    <w:rsid w:val="0B52B79D"/>
    <w:rsid w:val="0BB53E05"/>
    <w:rsid w:val="0C081C69"/>
    <w:rsid w:val="0D035CB4"/>
    <w:rsid w:val="0D144F42"/>
    <w:rsid w:val="0D2508E2"/>
    <w:rsid w:val="0DC6213A"/>
    <w:rsid w:val="0DC9A685"/>
    <w:rsid w:val="0E29079E"/>
    <w:rsid w:val="0EDE920F"/>
    <w:rsid w:val="0F51EAB6"/>
    <w:rsid w:val="0F703008"/>
    <w:rsid w:val="0F871FBD"/>
    <w:rsid w:val="0FD50FC2"/>
    <w:rsid w:val="1002FC4F"/>
    <w:rsid w:val="10AEE8B6"/>
    <w:rsid w:val="111A43EF"/>
    <w:rsid w:val="114CA32B"/>
    <w:rsid w:val="1195C2A1"/>
    <w:rsid w:val="11B20836"/>
    <w:rsid w:val="1286F03D"/>
    <w:rsid w:val="12D43A82"/>
    <w:rsid w:val="1357DDDB"/>
    <w:rsid w:val="13A1DD52"/>
    <w:rsid w:val="13BE8230"/>
    <w:rsid w:val="13DB57E6"/>
    <w:rsid w:val="1485FBF1"/>
    <w:rsid w:val="14AE3AD1"/>
    <w:rsid w:val="14F1376B"/>
    <w:rsid w:val="158E1544"/>
    <w:rsid w:val="167506DF"/>
    <w:rsid w:val="1695536C"/>
    <w:rsid w:val="16F4D998"/>
    <w:rsid w:val="1723A7D5"/>
    <w:rsid w:val="17796F8D"/>
    <w:rsid w:val="179C2767"/>
    <w:rsid w:val="186D351B"/>
    <w:rsid w:val="188B1B58"/>
    <w:rsid w:val="188D9780"/>
    <w:rsid w:val="18D0E32F"/>
    <w:rsid w:val="1954DE1D"/>
    <w:rsid w:val="1A218A58"/>
    <w:rsid w:val="1A37A324"/>
    <w:rsid w:val="1A756C0D"/>
    <w:rsid w:val="1A875620"/>
    <w:rsid w:val="1AF0D6FB"/>
    <w:rsid w:val="1B32B2C0"/>
    <w:rsid w:val="1B9C17E4"/>
    <w:rsid w:val="1CAE173C"/>
    <w:rsid w:val="1D09BA42"/>
    <w:rsid w:val="1DB890D8"/>
    <w:rsid w:val="1E194E7A"/>
    <w:rsid w:val="1E58FA63"/>
    <w:rsid w:val="1E916C68"/>
    <w:rsid w:val="1EBD96AE"/>
    <w:rsid w:val="1EC35166"/>
    <w:rsid w:val="1ED486AF"/>
    <w:rsid w:val="1F0068FA"/>
    <w:rsid w:val="1F454FE9"/>
    <w:rsid w:val="1FF53132"/>
    <w:rsid w:val="205F6CDE"/>
    <w:rsid w:val="209C7078"/>
    <w:rsid w:val="20B19B09"/>
    <w:rsid w:val="21E6950F"/>
    <w:rsid w:val="22386F60"/>
    <w:rsid w:val="22849D33"/>
    <w:rsid w:val="233E4B3D"/>
    <w:rsid w:val="23C29122"/>
    <w:rsid w:val="240E59F3"/>
    <w:rsid w:val="2410D58B"/>
    <w:rsid w:val="2424A4A5"/>
    <w:rsid w:val="246AA7A3"/>
    <w:rsid w:val="24760D8A"/>
    <w:rsid w:val="24A1A6E2"/>
    <w:rsid w:val="25548A1D"/>
    <w:rsid w:val="25B51F72"/>
    <w:rsid w:val="25E4D476"/>
    <w:rsid w:val="25F063E6"/>
    <w:rsid w:val="2648B5BC"/>
    <w:rsid w:val="26CBE2BE"/>
    <w:rsid w:val="274DC993"/>
    <w:rsid w:val="27C4937C"/>
    <w:rsid w:val="28417B2B"/>
    <w:rsid w:val="2AA7AF5D"/>
    <w:rsid w:val="2B527B15"/>
    <w:rsid w:val="2B5A6815"/>
    <w:rsid w:val="2BE8AF3D"/>
    <w:rsid w:val="2C5F71DD"/>
    <w:rsid w:val="2D5A4A25"/>
    <w:rsid w:val="2D954F5C"/>
    <w:rsid w:val="2DD1B41D"/>
    <w:rsid w:val="2E531B15"/>
    <w:rsid w:val="2E5DF683"/>
    <w:rsid w:val="2EDA0B7E"/>
    <w:rsid w:val="2EDC7D1F"/>
    <w:rsid w:val="3052BD84"/>
    <w:rsid w:val="30BD0647"/>
    <w:rsid w:val="30D5DBD6"/>
    <w:rsid w:val="30D9D50A"/>
    <w:rsid w:val="3105A65D"/>
    <w:rsid w:val="3216C53B"/>
    <w:rsid w:val="32A02E0F"/>
    <w:rsid w:val="32CEFF0E"/>
    <w:rsid w:val="32FAEF47"/>
    <w:rsid w:val="33133D89"/>
    <w:rsid w:val="334C078E"/>
    <w:rsid w:val="33AD531C"/>
    <w:rsid w:val="33C9E5EA"/>
    <w:rsid w:val="346D59B1"/>
    <w:rsid w:val="350EFFB8"/>
    <w:rsid w:val="351AB658"/>
    <w:rsid w:val="354F119C"/>
    <w:rsid w:val="357B6D47"/>
    <w:rsid w:val="367E770A"/>
    <w:rsid w:val="36BA07A1"/>
    <w:rsid w:val="371BF8B2"/>
    <w:rsid w:val="375AB79D"/>
    <w:rsid w:val="37AA406B"/>
    <w:rsid w:val="37AD67FF"/>
    <w:rsid w:val="37F28AAF"/>
    <w:rsid w:val="3840A5ED"/>
    <w:rsid w:val="38501DBB"/>
    <w:rsid w:val="39C5E6FA"/>
    <w:rsid w:val="3A043966"/>
    <w:rsid w:val="3A3A164D"/>
    <w:rsid w:val="3A7AE434"/>
    <w:rsid w:val="3A7CEA06"/>
    <w:rsid w:val="3AB535EF"/>
    <w:rsid w:val="3AEF0E22"/>
    <w:rsid w:val="3B0B1988"/>
    <w:rsid w:val="3B613146"/>
    <w:rsid w:val="3BB20171"/>
    <w:rsid w:val="3BCBD4E1"/>
    <w:rsid w:val="3BE1BB79"/>
    <w:rsid w:val="3CC131C7"/>
    <w:rsid w:val="3E9C3068"/>
    <w:rsid w:val="3EC9EC3F"/>
    <w:rsid w:val="3F69E893"/>
    <w:rsid w:val="3FC60636"/>
    <w:rsid w:val="4024745F"/>
    <w:rsid w:val="40BE7290"/>
    <w:rsid w:val="40F406FF"/>
    <w:rsid w:val="41017DB5"/>
    <w:rsid w:val="4198F7F6"/>
    <w:rsid w:val="427EDECA"/>
    <w:rsid w:val="42B66801"/>
    <w:rsid w:val="436B4632"/>
    <w:rsid w:val="43BEA8A7"/>
    <w:rsid w:val="43E08400"/>
    <w:rsid w:val="440EF4D9"/>
    <w:rsid w:val="44B46C37"/>
    <w:rsid w:val="453294C0"/>
    <w:rsid w:val="46C98A30"/>
    <w:rsid w:val="46FEF80A"/>
    <w:rsid w:val="47DAA88E"/>
    <w:rsid w:val="481D87DA"/>
    <w:rsid w:val="4870348E"/>
    <w:rsid w:val="492C4F88"/>
    <w:rsid w:val="493D913B"/>
    <w:rsid w:val="49A31608"/>
    <w:rsid w:val="4A196D72"/>
    <w:rsid w:val="4A1B7AF6"/>
    <w:rsid w:val="4A742928"/>
    <w:rsid w:val="4AF696AA"/>
    <w:rsid w:val="4BCEDB29"/>
    <w:rsid w:val="4BE73112"/>
    <w:rsid w:val="4BE87D6F"/>
    <w:rsid w:val="4C1C735C"/>
    <w:rsid w:val="4C28AC1B"/>
    <w:rsid w:val="4C730691"/>
    <w:rsid w:val="4CD32792"/>
    <w:rsid w:val="4D01D50D"/>
    <w:rsid w:val="4D15C282"/>
    <w:rsid w:val="4DCD060F"/>
    <w:rsid w:val="4E73A00F"/>
    <w:rsid w:val="4EAEA761"/>
    <w:rsid w:val="502393E2"/>
    <w:rsid w:val="50E0988A"/>
    <w:rsid w:val="5198650C"/>
    <w:rsid w:val="51AE2BD7"/>
    <w:rsid w:val="51CB0521"/>
    <w:rsid w:val="5289C94C"/>
    <w:rsid w:val="52AD12B7"/>
    <w:rsid w:val="5304462E"/>
    <w:rsid w:val="53FA2DC8"/>
    <w:rsid w:val="544EED12"/>
    <w:rsid w:val="54DCFBAC"/>
    <w:rsid w:val="5505EA77"/>
    <w:rsid w:val="55312DC7"/>
    <w:rsid w:val="55D7F55B"/>
    <w:rsid w:val="55E0A01F"/>
    <w:rsid w:val="574C6464"/>
    <w:rsid w:val="57EF26BE"/>
    <w:rsid w:val="5905AEAC"/>
    <w:rsid w:val="59CDB66E"/>
    <w:rsid w:val="5A045C74"/>
    <w:rsid w:val="5A605656"/>
    <w:rsid w:val="5C6E13AB"/>
    <w:rsid w:val="5D03E65F"/>
    <w:rsid w:val="5E0CA62D"/>
    <w:rsid w:val="5EBF32F8"/>
    <w:rsid w:val="5EE845B5"/>
    <w:rsid w:val="5F4B0368"/>
    <w:rsid w:val="5F9B4857"/>
    <w:rsid w:val="614C1A3A"/>
    <w:rsid w:val="616A6264"/>
    <w:rsid w:val="61CFAC8B"/>
    <w:rsid w:val="629BB951"/>
    <w:rsid w:val="64E098EA"/>
    <w:rsid w:val="654B100C"/>
    <w:rsid w:val="659FB3AF"/>
    <w:rsid w:val="65D5DAC3"/>
    <w:rsid w:val="65F89053"/>
    <w:rsid w:val="6607D9A5"/>
    <w:rsid w:val="678FDB53"/>
    <w:rsid w:val="67D6A038"/>
    <w:rsid w:val="67DD3ABB"/>
    <w:rsid w:val="699EE927"/>
    <w:rsid w:val="69E8AA54"/>
    <w:rsid w:val="6A846EC0"/>
    <w:rsid w:val="6A889ED1"/>
    <w:rsid w:val="6ABB1782"/>
    <w:rsid w:val="6AE3510F"/>
    <w:rsid w:val="6B171FDF"/>
    <w:rsid w:val="6BDE1106"/>
    <w:rsid w:val="6BDFB269"/>
    <w:rsid w:val="6C01EA79"/>
    <w:rsid w:val="6C8BB2D2"/>
    <w:rsid w:val="6D7B4398"/>
    <w:rsid w:val="6DF4EB84"/>
    <w:rsid w:val="6DFDE2FB"/>
    <w:rsid w:val="6E0E4C86"/>
    <w:rsid w:val="6E2C58B5"/>
    <w:rsid w:val="6F1D5FE1"/>
    <w:rsid w:val="6FBA83B5"/>
    <w:rsid w:val="6FEBC123"/>
    <w:rsid w:val="7077D7EE"/>
    <w:rsid w:val="70B892B3"/>
    <w:rsid w:val="70BBD573"/>
    <w:rsid w:val="70D5DCA9"/>
    <w:rsid w:val="7103DA43"/>
    <w:rsid w:val="717D7BBF"/>
    <w:rsid w:val="72C9E637"/>
    <w:rsid w:val="72CA64B7"/>
    <w:rsid w:val="72D52200"/>
    <w:rsid w:val="731F69BE"/>
    <w:rsid w:val="737F4645"/>
    <w:rsid w:val="73978FF1"/>
    <w:rsid w:val="73CDAA59"/>
    <w:rsid w:val="74999017"/>
    <w:rsid w:val="753175F4"/>
    <w:rsid w:val="767674FD"/>
    <w:rsid w:val="76A434E7"/>
    <w:rsid w:val="76D89DF5"/>
    <w:rsid w:val="772A404A"/>
    <w:rsid w:val="773B0DE4"/>
    <w:rsid w:val="77453DA0"/>
    <w:rsid w:val="7794B503"/>
    <w:rsid w:val="77CB8CEC"/>
    <w:rsid w:val="782D4F42"/>
    <w:rsid w:val="787575C8"/>
    <w:rsid w:val="78E645F5"/>
    <w:rsid w:val="79283153"/>
    <w:rsid w:val="794E2F9A"/>
    <w:rsid w:val="79A295B0"/>
    <w:rsid w:val="79A69C1A"/>
    <w:rsid w:val="79B37561"/>
    <w:rsid w:val="7B6C0899"/>
    <w:rsid w:val="7B93B2AF"/>
    <w:rsid w:val="7B9BC5D7"/>
    <w:rsid w:val="7BB74884"/>
    <w:rsid w:val="7C38443C"/>
    <w:rsid w:val="7CE4FD11"/>
    <w:rsid w:val="7E00C922"/>
    <w:rsid w:val="7E102509"/>
    <w:rsid w:val="7E48A879"/>
    <w:rsid w:val="7EBDBC73"/>
    <w:rsid w:val="7EF4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microsoft.com/office/2020/10/relationships/intelligence" Target="intelligence2.xml" Id="Rae4735e4062442d4" /><Relationship Type="http://schemas.openxmlformats.org/officeDocument/2006/relationships/hyperlink" Target="https://wiki.sei.cmu.edu/confluence/pages/viewpage.action?pageId=88046682" TargetMode="External" Id="Rff7beb3a9b704c1a" /><Relationship Type="http://schemas.openxmlformats.org/officeDocument/2006/relationships/hyperlink" Target="https://www.cloudflare.com/learning/ssl/why-use-tls-1.3/" TargetMode="External" Id="Rdac6da666b9a4c53" /><Relationship Type="http://schemas.openxmlformats.org/officeDocument/2006/relationships/hyperlink" Target="https://www.ftc.gov/business-guidance/resources/start-security-guide-business" TargetMode="External" Id="R439b37b65e764806" /><Relationship Type="http://schemas.openxmlformats.org/officeDocument/2006/relationships/hyperlink" Target="https://www.digitalguardian.com/resources/knowledge-base/what-user-activity-monitoring-how-it-works-benefits-best-practices-and-more" TargetMode="External" Id="Rb1dbbb92d3764c07" /><Relationship Type="http://schemas.openxmlformats.org/officeDocument/2006/relationships/hyperlink" Target="https://cloud.google.com/docs/security/encryption/default-encryption" TargetMode="External" Id="R402817bbce664f48" /><Relationship Type="http://schemas.openxmlformats.org/officeDocument/2006/relationships/hyperlink" Target="https://cloud.google.com/docs/security/encryption-in-transit" TargetMode="External" Id="R9a3fd405f6434baa" /><Relationship Type="http://schemas.openxmlformats.org/officeDocument/2006/relationships/hyperlink" Target="https://www.ibm.com/think/topics/rbac" TargetMode="External" Id="R07b4cafb0e424bb7" /><Relationship Type="http://schemas.openxmlformats.org/officeDocument/2006/relationships/hyperlink" Target="https://www.strongdm.com/blog/authentication-methods" TargetMode="External" Id="Ra3ad3f8251aa4857" /><Relationship Type="http://schemas.openxmlformats.org/officeDocument/2006/relationships/hyperlink" Target="https://cheatsheetseries.owasp.org/cheatsheets/SQL_Injection_Prevention_Cheat_Sheet.html" TargetMode="External" Id="R838b261f47c749af" /><Relationship Type="http://schemas.openxmlformats.org/officeDocument/2006/relationships/hyperlink" Target="https://rules.sonarsource.com/" TargetMode="External" Id="Re2816c4c4fb24d54" /><Relationship Type="http://schemas.openxmlformats.org/officeDocument/2006/relationships/hyperlink" Target="https://phoenixnap.com/blog/encryption-in-use" TargetMode="External" Id="Rf5e948739ff24ea4" /><Relationship Type="http://schemas.openxmlformats.org/officeDocument/2006/relationships/hyperlink" Target="https://youtu.be/J0KMIeJuCmE?si=fFmKk130lV79vf_S" TargetMode="External" Id="R660c2f36d3dc49f8" /><Relationship Type="http://schemas.openxmlformats.org/officeDocument/2006/relationships/image" Target="/media/image.jpg" Id="R989779b7dea74eb5" /><Relationship Type="http://schemas.openxmlformats.org/officeDocument/2006/relationships/hyperlink" Target="https://youtu.be/J0KMIeJuCmE?si=fFmKk130lV79vf_S" TargetMode="External" Id="R5a2d15781a3c4162"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Candice Wade</dc:creator>
  <lastModifiedBy>Mendiola, Trenton</lastModifiedBy>
  <revision>8</revision>
  <dcterms:created xsi:type="dcterms:W3CDTF">2020-11-04T19:09:00.0000000Z</dcterms:created>
  <dcterms:modified xsi:type="dcterms:W3CDTF">2025-06-29T21:47:51.3585106Z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