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4294" w14:textId="1DB5CBB4" w:rsidR="00BA1B20" w:rsidRDefault="00BA1B20" w:rsidP="00BA1B20">
      <w:pPr>
        <w:jc w:val="center"/>
        <w:rPr>
          <w:rFonts w:ascii="Urbanist" w:hAnsi="Urbanist"/>
          <w:b/>
          <w:bCs/>
          <w:color w:val="000000"/>
          <w:sz w:val="47"/>
          <w:szCs w:val="47"/>
          <w:shd w:val="clear" w:color="auto" w:fill="FFFFFF"/>
        </w:rPr>
      </w:pPr>
      <w:r w:rsidRPr="00BA1B20">
        <w:rPr>
          <w:rFonts w:ascii="Urbanist" w:hAnsi="Urbanist"/>
          <w:b/>
          <w:bCs/>
          <w:color w:val="000000"/>
          <w:sz w:val="47"/>
          <w:szCs w:val="47"/>
          <w:shd w:val="clear" w:color="auto" w:fill="FFFFFF"/>
        </w:rPr>
        <w:t xml:space="preserve">Budget Prévisionnel de la Semaine de la Durabilité au </w:t>
      </w:r>
      <w:r w:rsidRPr="00BA1B20">
        <w:rPr>
          <w:rFonts w:ascii="Urbanist" w:hAnsi="Urbanist"/>
          <w:b/>
          <w:bCs/>
          <w:color w:val="000000"/>
          <w:sz w:val="47"/>
          <w:szCs w:val="47"/>
          <w:shd w:val="clear" w:color="auto" w:fill="FFFFFF"/>
        </w:rPr>
        <w:t>27.12</w:t>
      </w:r>
      <w:r w:rsidRPr="00BA1B20">
        <w:rPr>
          <w:rFonts w:ascii="Urbanist" w:hAnsi="Urbanist"/>
          <w:b/>
          <w:bCs/>
          <w:color w:val="000000"/>
          <w:sz w:val="47"/>
          <w:szCs w:val="47"/>
          <w:shd w:val="clear" w:color="auto" w:fill="FFFFFF"/>
        </w:rPr>
        <w:t>.2022</w:t>
      </w:r>
    </w:p>
    <w:p w14:paraId="62547861" w14:textId="77777777" w:rsidR="00BA1B20" w:rsidRPr="00BA1B20" w:rsidRDefault="00BA1B20" w:rsidP="00BA1B20">
      <w:pPr>
        <w:jc w:val="center"/>
        <w:rPr>
          <w:rFonts w:ascii="Urbanist" w:hAnsi="Urbanist"/>
          <w:b/>
          <w:bCs/>
          <w:color w:val="000000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FF311E" w:rsidRPr="00A54358" w14:paraId="3F4B8786" w14:textId="77777777" w:rsidTr="00A54358">
        <w:tc>
          <w:tcPr>
            <w:tcW w:w="7225" w:type="dxa"/>
            <w:shd w:val="clear" w:color="auto" w:fill="F4B083" w:themeFill="accent2" w:themeFillTint="99"/>
          </w:tcPr>
          <w:p w14:paraId="131B5F25" w14:textId="2B13E0FF" w:rsidR="00FF311E" w:rsidRPr="00BA1B20" w:rsidRDefault="00FF311E" w:rsidP="00FF311E">
            <w:pPr>
              <w:tabs>
                <w:tab w:val="left" w:pos="1240"/>
              </w:tabs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Budget Logistique</w:t>
            </w:r>
          </w:p>
        </w:tc>
        <w:tc>
          <w:tcPr>
            <w:tcW w:w="1837" w:type="dxa"/>
            <w:shd w:val="clear" w:color="auto" w:fill="F4B083" w:themeFill="accent2" w:themeFillTint="99"/>
          </w:tcPr>
          <w:p w14:paraId="1C1DD39A" w14:textId="2AC75E00" w:rsidR="00FF311E" w:rsidRPr="00BA1B20" w:rsidRDefault="00FF311E" w:rsidP="00FF311E">
            <w:pPr>
              <w:jc w:val="right"/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600</w:t>
            </w:r>
          </w:p>
        </w:tc>
      </w:tr>
      <w:tr w:rsidR="00FF311E" w:rsidRPr="00A54358" w14:paraId="64CBB7A2" w14:textId="77777777" w:rsidTr="00A54358">
        <w:tc>
          <w:tcPr>
            <w:tcW w:w="722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F9AEB95" w14:textId="0893FDFF" w:rsidR="00FF311E" w:rsidRPr="00BA1B20" w:rsidRDefault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Radio/Mobilité/Urgence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54C8D0C" w14:textId="16BBED87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600</w:t>
            </w:r>
          </w:p>
        </w:tc>
      </w:tr>
      <w:tr w:rsidR="00FF311E" w:rsidRPr="00A54358" w14:paraId="222C049D" w14:textId="77777777" w:rsidTr="00A54358">
        <w:tc>
          <w:tcPr>
            <w:tcW w:w="7225" w:type="dxa"/>
            <w:tcBorders>
              <w:bottom w:val="single" w:sz="4" w:space="0" w:color="auto"/>
            </w:tcBorders>
          </w:tcPr>
          <w:p w14:paraId="7650BD7B" w14:textId="3248239C" w:rsidR="00FF311E" w:rsidRPr="00BA1B20" w:rsidRDefault="00FF311E">
            <w:pPr>
              <w:rPr>
                <w:rFonts w:ascii="Urbanist" w:hAnsi="Urbanist"/>
                <w:sz w:val="24"/>
                <w:szCs w:val="24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2820CA6" w14:textId="77777777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</w:p>
        </w:tc>
      </w:tr>
      <w:tr w:rsidR="00FF311E" w:rsidRPr="00A54358" w14:paraId="6B1442E0" w14:textId="77777777" w:rsidTr="00A54358">
        <w:tc>
          <w:tcPr>
            <w:tcW w:w="7225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0DB9B961" w14:textId="2DAD6143" w:rsidR="00FF311E" w:rsidRPr="00BA1B20" w:rsidRDefault="00FF311E" w:rsidP="00FF311E">
            <w:pPr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 xml:space="preserve">Budget Communication 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29097683" w14:textId="78BBEFD8" w:rsidR="00FF311E" w:rsidRPr="00BA1B20" w:rsidRDefault="00FF311E" w:rsidP="00FF311E">
            <w:pPr>
              <w:jc w:val="right"/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1</w:t>
            </w:r>
            <w:r w:rsidR="00A54358" w:rsidRPr="00BA1B20">
              <w:rPr>
                <w:rFonts w:ascii="Urbanist" w:hAnsi="Urbanist"/>
                <w:b/>
                <w:bCs/>
                <w:sz w:val="24"/>
                <w:szCs w:val="24"/>
              </w:rPr>
              <w:t>’</w:t>
            </w: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100</w:t>
            </w:r>
          </w:p>
        </w:tc>
      </w:tr>
      <w:tr w:rsidR="00FF311E" w:rsidRPr="00A54358" w14:paraId="50637D96" w14:textId="77777777" w:rsidTr="00A54358">
        <w:tc>
          <w:tcPr>
            <w:tcW w:w="7225" w:type="dxa"/>
            <w:shd w:val="clear" w:color="auto" w:fill="E2EFD9" w:themeFill="accent6" w:themeFillTint="33"/>
          </w:tcPr>
          <w:p w14:paraId="1FC83118" w14:textId="77777777" w:rsidR="00FF311E" w:rsidRPr="00BA1B20" w:rsidRDefault="00FF311E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Affiches/Flyers</w:t>
            </w:r>
          </w:p>
          <w:p w14:paraId="5E103883" w14:textId="77777777" w:rsidR="00FF311E" w:rsidRPr="00BA1B20" w:rsidRDefault="00FF311E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Totems</w:t>
            </w:r>
          </w:p>
          <w:p w14:paraId="03566990" w14:textId="2F54EEC7" w:rsidR="00FF311E" w:rsidRPr="00BA1B20" w:rsidRDefault="00FF311E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Promotion &amp; Recrutement</w:t>
            </w:r>
          </w:p>
        </w:tc>
        <w:tc>
          <w:tcPr>
            <w:tcW w:w="1837" w:type="dxa"/>
            <w:shd w:val="clear" w:color="auto" w:fill="E2EFD9" w:themeFill="accent6" w:themeFillTint="33"/>
          </w:tcPr>
          <w:p w14:paraId="3EFDBE55" w14:textId="77777777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800</w:t>
            </w:r>
          </w:p>
          <w:p w14:paraId="277BA6C3" w14:textId="77777777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200</w:t>
            </w:r>
          </w:p>
          <w:p w14:paraId="251C793A" w14:textId="4DB93F2F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100</w:t>
            </w:r>
          </w:p>
        </w:tc>
      </w:tr>
      <w:tr w:rsidR="00FF311E" w:rsidRPr="00A54358" w14:paraId="16DA0CDE" w14:textId="77777777" w:rsidTr="00A54358">
        <w:tc>
          <w:tcPr>
            <w:tcW w:w="7225" w:type="dxa"/>
          </w:tcPr>
          <w:p w14:paraId="13D5C354" w14:textId="77777777" w:rsidR="00FF311E" w:rsidRPr="00BA1B20" w:rsidRDefault="00FF311E">
            <w:pPr>
              <w:rPr>
                <w:rFonts w:ascii="Urbanist" w:hAnsi="Urbanist"/>
                <w:sz w:val="24"/>
                <w:szCs w:val="24"/>
              </w:rPr>
            </w:pPr>
          </w:p>
        </w:tc>
        <w:tc>
          <w:tcPr>
            <w:tcW w:w="1837" w:type="dxa"/>
          </w:tcPr>
          <w:p w14:paraId="0AB32D35" w14:textId="77777777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</w:p>
        </w:tc>
      </w:tr>
      <w:tr w:rsidR="00FF311E" w:rsidRPr="00A54358" w14:paraId="16019137" w14:textId="77777777" w:rsidTr="00A54358">
        <w:tc>
          <w:tcPr>
            <w:tcW w:w="7225" w:type="dxa"/>
            <w:shd w:val="clear" w:color="auto" w:fill="9CC2E5" w:themeFill="accent5" w:themeFillTint="99"/>
          </w:tcPr>
          <w:p w14:paraId="462C667B" w14:textId="481404B3" w:rsidR="00FF311E" w:rsidRPr="00BA1B20" w:rsidRDefault="00FF311E" w:rsidP="00FF311E">
            <w:pPr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Budget Evènements (Général)</w:t>
            </w:r>
          </w:p>
        </w:tc>
        <w:tc>
          <w:tcPr>
            <w:tcW w:w="1837" w:type="dxa"/>
            <w:shd w:val="clear" w:color="auto" w:fill="9CC2E5" w:themeFill="accent5" w:themeFillTint="99"/>
          </w:tcPr>
          <w:p w14:paraId="3064619D" w14:textId="3518C0DA" w:rsidR="00FF311E" w:rsidRPr="00BA1B20" w:rsidRDefault="00FF311E" w:rsidP="00FF311E">
            <w:pPr>
              <w:jc w:val="right"/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640</w:t>
            </w:r>
          </w:p>
        </w:tc>
      </w:tr>
      <w:tr w:rsidR="00FF311E" w:rsidRPr="00A54358" w14:paraId="79CB5EB4" w14:textId="77777777" w:rsidTr="00A54358">
        <w:tc>
          <w:tcPr>
            <w:tcW w:w="7225" w:type="dxa"/>
            <w:shd w:val="clear" w:color="auto" w:fill="DEEAF6" w:themeFill="accent5" w:themeFillTint="33"/>
          </w:tcPr>
          <w:p w14:paraId="552CA1E7" w14:textId="725BFDC0" w:rsidR="00FF311E" w:rsidRPr="00BA1B20" w:rsidRDefault="00FF311E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Nourriture supplémentaire en cas de manque d’invendus </w:t>
            </w:r>
          </w:p>
        </w:tc>
        <w:tc>
          <w:tcPr>
            <w:tcW w:w="1837" w:type="dxa"/>
            <w:shd w:val="clear" w:color="auto" w:fill="DEEAF6" w:themeFill="accent5" w:themeFillTint="33"/>
          </w:tcPr>
          <w:p w14:paraId="2C4BFA3A" w14:textId="20B33A04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640</w:t>
            </w:r>
          </w:p>
        </w:tc>
      </w:tr>
      <w:tr w:rsidR="00FF311E" w:rsidRPr="00A54358" w14:paraId="522E51E5" w14:textId="77777777" w:rsidTr="00A54358">
        <w:tc>
          <w:tcPr>
            <w:tcW w:w="7225" w:type="dxa"/>
          </w:tcPr>
          <w:p w14:paraId="774983BF" w14:textId="77777777" w:rsidR="00FF311E" w:rsidRPr="00BA1B20" w:rsidRDefault="00FF311E">
            <w:pPr>
              <w:rPr>
                <w:rFonts w:ascii="Urbanist" w:hAnsi="Urbanist"/>
                <w:sz w:val="24"/>
                <w:szCs w:val="24"/>
              </w:rPr>
            </w:pPr>
          </w:p>
        </w:tc>
        <w:tc>
          <w:tcPr>
            <w:tcW w:w="1837" w:type="dxa"/>
          </w:tcPr>
          <w:p w14:paraId="5A5035D7" w14:textId="77777777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</w:p>
        </w:tc>
      </w:tr>
      <w:tr w:rsidR="00FF311E" w:rsidRPr="00A54358" w14:paraId="6DC7D9FA" w14:textId="77777777" w:rsidTr="00A54358">
        <w:tc>
          <w:tcPr>
            <w:tcW w:w="7225" w:type="dxa"/>
            <w:shd w:val="clear" w:color="auto" w:fill="FFD966" w:themeFill="accent4" w:themeFillTint="99"/>
          </w:tcPr>
          <w:p w14:paraId="6BC439F8" w14:textId="6985C132" w:rsidR="00FF311E" w:rsidRPr="00BA1B20" w:rsidRDefault="00FF311E" w:rsidP="00FF311E">
            <w:pPr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Budgets Evènements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14:paraId="61F0CBD0" w14:textId="09FFD582" w:rsidR="00FF311E" w:rsidRPr="00BA1B20" w:rsidRDefault="00A54358" w:rsidP="00FF311E">
            <w:pPr>
              <w:jc w:val="right"/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6’318</w:t>
            </w:r>
          </w:p>
        </w:tc>
      </w:tr>
      <w:tr w:rsidR="005A0E7B" w:rsidRPr="00A54358" w14:paraId="02C35034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5AAD82C3" w14:textId="5A02056E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(Lundi) Café-discussion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Unil</w:t>
            </w:r>
            <w:proofErr w:type="spellEnd"/>
          </w:p>
        </w:tc>
        <w:tc>
          <w:tcPr>
            <w:tcW w:w="1837" w:type="dxa"/>
            <w:shd w:val="clear" w:color="auto" w:fill="FFF2CC" w:themeFill="accent4" w:themeFillTint="33"/>
          </w:tcPr>
          <w:p w14:paraId="4D7E5658" w14:textId="5070C61A" w:rsidR="005A0E7B" w:rsidRPr="00BA1B20" w:rsidRDefault="005A0E7B" w:rsidP="005A0E7B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50</w:t>
            </w:r>
          </w:p>
        </w:tc>
      </w:tr>
      <w:tr w:rsidR="005A0E7B" w:rsidRPr="00A54358" w14:paraId="2536C9CF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4AC51513" w14:textId="44F8F532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(Lundi) Conférence d’ouverture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05C65851" w14:textId="539E8095" w:rsidR="005A0E7B" w:rsidRPr="00BA1B20" w:rsidRDefault="005A0E7B" w:rsidP="005A0E7B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900</w:t>
            </w:r>
          </w:p>
        </w:tc>
      </w:tr>
      <w:tr w:rsidR="005A0E7B" w:rsidRPr="00A54358" w14:paraId="3ECAC447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4F4C95C5" w14:textId="51ECF2BB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(Mardi) Kermesse de la transition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481A94C9" w14:textId="087C662C" w:rsidR="005A0E7B" w:rsidRPr="00BA1B20" w:rsidRDefault="005A0E7B" w:rsidP="005A0E7B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400</w:t>
            </w:r>
          </w:p>
        </w:tc>
      </w:tr>
      <w:tr w:rsidR="005A0E7B" w:rsidRPr="00A54358" w14:paraId="6BF58521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15D0EC1D" w14:textId="6CCD978C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(Mardi) Café-discussion Boycott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0AFECC6F" w14:textId="69177738" w:rsidR="005A0E7B" w:rsidRPr="00BA1B20" w:rsidRDefault="005A0E7B" w:rsidP="005A0E7B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50</w:t>
            </w:r>
          </w:p>
        </w:tc>
      </w:tr>
      <w:tr w:rsidR="005A0E7B" w:rsidRPr="00A54358" w14:paraId="6C8E49B9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6DC070EA" w14:textId="67009A09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(Mardi) Conférence ZEG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0AB8BF44" w14:textId="6C18E23C" w:rsidR="005A0E7B" w:rsidRPr="00BA1B20" w:rsidRDefault="005A0E7B" w:rsidP="005A0E7B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100</w:t>
            </w:r>
          </w:p>
        </w:tc>
      </w:tr>
      <w:tr w:rsidR="005A0E7B" w:rsidRPr="00A54358" w14:paraId="3A980D15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6133B9EE" w14:textId="7D0DC7FD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(Mardi) Concert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Sattelite</w:t>
            </w:r>
            <w:proofErr w:type="spellEnd"/>
          </w:p>
        </w:tc>
        <w:tc>
          <w:tcPr>
            <w:tcW w:w="1837" w:type="dxa"/>
            <w:shd w:val="clear" w:color="auto" w:fill="FFF2CC" w:themeFill="accent4" w:themeFillTint="33"/>
          </w:tcPr>
          <w:p w14:paraId="1870CDE8" w14:textId="1A5205F5" w:rsidR="005A0E7B" w:rsidRPr="00BA1B20" w:rsidRDefault="005A0E7B" w:rsidP="005A0E7B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500</w:t>
            </w:r>
          </w:p>
        </w:tc>
      </w:tr>
      <w:tr w:rsidR="005A0E7B" w:rsidRPr="00A54358" w14:paraId="03164460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4A2C908A" w14:textId="669594E0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(Mercredi) Engagement politique des femmes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2AB1D3C7" w14:textId="48E50151" w:rsidR="005A0E7B" w:rsidRPr="00BA1B20" w:rsidRDefault="005A0E7B" w:rsidP="005A0E7B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40</w:t>
            </w:r>
          </w:p>
        </w:tc>
      </w:tr>
      <w:tr w:rsidR="005A0E7B" w:rsidRPr="00A54358" w14:paraId="678FA878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5FB1BDE7" w14:textId="695C51F7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(Mercredi) Manifestation 8 mars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40CF30CB" w14:textId="76BBACA0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108</w:t>
            </w:r>
          </w:p>
        </w:tc>
      </w:tr>
      <w:tr w:rsidR="005A0E7B" w:rsidRPr="00A54358" w14:paraId="7131FE3E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01A9DA7B" w14:textId="587AACCB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(Mercredi)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Cyclociné</w:t>
            </w:r>
            <w:proofErr w:type="spellEnd"/>
          </w:p>
        </w:tc>
        <w:tc>
          <w:tcPr>
            <w:tcW w:w="1837" w:type="dxa"/>
            <w:shd w:val="clear" w:color="auto" w:fill="FFF2CC" w:themeFill="accent4" w:themeFillTint="33"/>
          </w:tcPr>
          <w:p w14:paraId="6C2F6491" w14:textId="293AD35D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100</w:t>
            </w:r>
          </w:p>
        </w:tc>
      </w:tr>
      <w:tr w:rsidR="005A0E7B" w:rsidRPr="00A54358" w14:paraId="330BD979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0D70A4C0" w14:textId="50363101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(Jeudi) UPFL – Atelier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356D0955" w14:textId="5698F6ED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45</w:t>
            </w:r>
          </w:p>
        </w:tc>
      </w:tr>
      <w:tr w:rsidR="005A0E7B" w:rsidRPr="00A54358" w14:paraId="02FF5A1E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17AF7A86" w14:textId="72BA8166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(Jeudi) Jardin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41FC3162" w14:textId="157B486A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200</w:t>
            </w:r>
          </w:p>
        </w:tc>
      </w:tr>
      <w:tr w:rsidR="005A0E7B" w:rsidRPr="00A54358" w14:paraId="145F469B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061E4B75" w14:textId="760FE020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(Jeudi) Fix N’ Replace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53418A30" w14:textId="0A374793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525</w:t>
            </w:r>
          </w:p>
        </w:tc>
      </w:tr>
      <w:tr w:rsidR="005A0E7B" w:rsidRPr="00A54358" w14:paraId="6B61A53F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66860E76" w14:textId="5AD1C561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(Jeudi)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Alleycat</w:t>
            </w:r>
            <w:proofErr w:type="spellEnd"/>
            <w:r w:rsidRPr="00BA1B20">
              <w:rPr>
                <w:rFonts w:ascii="Urbanist" w:hAnsi="Urbanist"/>
                <w:sz w:val="24"/>
                <w:szCs w:val="24"/>
              </w:rPr>
              <w:t xml:space="preserve"> du Vorace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3FE5BBC7" w14:textId="5B67EC39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150</w:t>
            </w:r>
          </w:p>
        </w:tc>
      </w:tr>
      <w:tr w:rsidR="005A0E7B" w:rsidRPr="00A54358" w14:paraId="2BBA7519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03B3A536" w14:textId="0CC76927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(Jeudi) Atelier d’écriture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1DD5BCD8" w14:textId="2FB056C0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10</w:t>
            </w:r>
          </w:p>
        </w:tc>
      </w:tr>
      <w:tr w:rsidR="005A0E7B" w:rsidRPr="00A54358" w14:paraId="65CD6822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0BC8EFFC" w14:textId="56065C80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(Jeudi) Ludique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36AB544A" w14:textId="1CA2BED9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300</w:t>
            </w:r>
          </w:p>
        </w:tc>
      </w:tr>
      <w:tr w:rsidR="005A0E7B" w:rsidRPr="00A54358" w14:paraId="4805AC3A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505EAC5E" w14:textId="76D95CAE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(Jeudi)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Epilibre</w:t>
            </w:r>
            <w:proofErr w:type="spellEnd"/>
          </w:p>
        </w:tc>
        <w:tc>
          <w:tcPr>
            <w:tcW w:w="1837" w:type="dxa"/>
            <w:shd w:val="clear" w:color="auto" w:fill="FFF2CC" w:themeFill="accent4" w:themeFillTint="33"/>
          </w:tcPr>
          <w:p w14:paraId="5B07744E" w14:textId="6C5DAFF6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100</w:t>
            </w:r>
          </w:p>
        </w:tc>
      </w:tr>
      <w:tr w:rsidR="005A0E7B" w:rsidRPr="00A54358" w14:paraId="078D79D0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69C3B7B7" w14:textId="5FEC3B53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(Jeudi) Concert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Zelig</w:t>
            </w:r>
            <w:proofErr w:type="spellEnd"/>
          </w:p>
        </w:tc>
        <w:tc>
          <w:tcPr>
            <w:tcW w:w="1837" w:type="dxa"/>
            <w:shd w:val="clear" w:color="auto" w:fill="FFF2CC" w:themeFill="accent4" w:themeFillTint="33"/>
          </w:tcPr>
          <w:p w14:paraId="146BD315" w14:textId="7AEB10C5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500</w:t>
            </w:r>
          </w:p>
        </w:tc>
      </w:tr>
      <w:tr w:rsidR="005A0E7B" w:rsidRPr="00A54358" w14:paraId="49C19299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62099642" w14:textId="5D78948D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(Vendredi)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24D63BD1" w14:textId="04CECCB4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100</w:t>
            </w:r>
          </w:p>
        </w:tc>
      </w:tr>
      <w:tr w:rsidR="005A0E7B" w:rsidRPr="00A54358" w14:paraId="713B6DDB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4D3C8318" w14:textId="55F8A1BA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(Vendredi)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257E16BF" w14:textId="04CEAAAB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50</w:t>
            </w:r>
          </w:p>
        </w:tc>
      </w:tr>
      <w:tr w:rsidR="005A0E7B" w:rsidRPr="00A54358" w14:paraId="66392F14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2C6CEA8E" w14:textId="327CAB4D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(Vendredi)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696F19AF" w14:textId="05C87E08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450</w:t>
            </w:r>
          </w:p>
        </w:tc>
      </w:tr>
      <w:tr w:rsidR="005A0E7B" w:rsidRPr="00A54358" w14:paraId="45A330DF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71966FD8" w14:textId="090738AD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(Samedi)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334DAAEE" w14:textId="4F06D601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250</w:t>
            </w:r>
          </w:p>
        </w:tc>
      </w:tr>
      <w:tr w:rsidR="005A0E7B" w:rsidRPr="00A54358" w14:paraId="1C66A91F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1EB956E6" w14:textId="08598754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(Permanent) Catering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47477BD6" w14:textId="3EE09107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640</w:t>
            </w:r>
          </w:p>
        </w:tc>
      </w:tr>
      <w:tr w:rsidR="005A0E7B" w:rsidRPr="00A54358" w14:paraId="6C0652D7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1CE285B0" w14:textId="595C7EDC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(Permanent) Exposition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Artepoly</w:t>
            </w:r>
            <w:proofErr w:type="spellEnd"/>
            <w:r w:rsidRPr="00BA1B20">
              <w:rPr>
                <w:rFonts w:ascii="Urbanist" w:hAnsi="Urbanist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392F70C7" w14:textId="4CAAB86A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200</w:t>
            </w:r>
          </w:p>
        </w:tc>
      </w:tr>
      <w:tr w:rsidR="005A0E7B" w:rsidRPr="00A54358" w14:paraId="5431318A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56F6B39D" w14:textId="482C4327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(Permanent) Goûter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515565DA" w14:textId="3E8E1EAC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250</w:t>
            </w:r>
          </w:p>
        </w:tc>
      </w:tr>
      <w:tr w:rsidR="005A0E7B" w:rsidRPr="00A54358" w14:paraId="1783BFE1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0C8BD02D" w14:textId="55672F56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  <w:lang w:val="en-GB"/>
              </w:rPr>
            </w:pPr>
            <w:r w:rsidRPr="00BA1B20">
              <w:rPr>
                <w:rFonts w:ascii="Urbanist" w:hAnsi="Urbanist"/>
                <w:sz w:val="24"/>
                <w:szCs w:val="24"/>
                <w:lang w:val="en-GB"/>
              </w:rPr>
              <w:t xml:space="preserve">(A placer) AIESEC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  <w:lang w:val="en-GB"/>
              </w:rPr>
              <w:t>TheSeaCleaner</w:t>
            </w:r>
            <w:proofErr w:type="spellEnd"/>
          </w:p>
        </w:tc>
        <w:tc>
          <w:tcPr>
            <w:tcW w:w="1837" w:type="dxa"/>
            <w:shd w:val="clear" w:color="auto" w:fill="FFF2CC" w:themeFill="accent4" w:themeFillTint="33"/>
          </w:tcPr>
          <w:p w14:paraId="6ABE099D" w14:textId="21185EC1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50</w:t>
            </w:r>
          </w:p>
        </w:tc>
      </w:tr>
      <w:tr w:rsidR="005A0E7B" w:rsidRPr="00A54358" w14:paraId="77BE641D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6C87CB35" w14:textId="0D283F5E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(A placer) Jam en non-mixité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308BA179" w14:textId="470FCDBA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50</w:t>
            </w:r>
          </w:p>
        </w:tc>
      </w:tr>
      <w:tr w:rsidR="005A0E7B" w:rsidRPr="00A54358" w14:paraId="2D35A980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1D34129E" w14:textId="78681817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  <w:lang w:val="en-GB"/>
              </w:rPr>
              <w:t>(A placer) Atelier Low-Tech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14:paraId="71BAFAD5" w14:textId="44543DF3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0</w:t>
            </w:r>
          </w:p>
        </w:tc>
      </w:tr>
      <w:tr w:rsidR="005A0E7B" w:rsidRPr="00A54358" w14:paraId="0ADCFC0A" w14:textId="77777777" w:rsidTr="00A54358">
        <w:tc>
          <w:tcPr>
            <w:tcW w:w="7225" w:type="dxa"/>
            <w:shd w:val="clear" w:color="auto" w:fill="FFF2CC" w:themeFill="accent4" w:themeFillTint="33"/>
          </w:tcPr>
          <w:p w14:paraId="70F4B0CA" w14:textId="57B17CB3" w:rsidR="005A0E7B" w:rsidRPr="00BA1B20" w:rsidRDefault="005A0E7B" w:rsidP="00FF311E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  <w:lang w:val="en-GB"/>
              </w:rPr>
              <w:t xml:space="preserve">(A placer) Atelier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  <w:lang w:val="en-GB"/>
              </w:rPr>
              <w:t>Poterie</w:t>
            </w:r>
            <w:proofErr w:type="spellEnd"/>
          </w:p>
        </w:tc>
        <w:tc>
          <w:tcPr>
            <w:tcW w:w="1837" w:type="dxa"/>
            <w:shd w:val="clear" w:color="auto" w:fill="FFF2CC" w:themeFill="accent4" w:themeFillTint="33"/>
          </w:tcPr>
          <w:p w14:paraId="762F2CF7" w14:textId="67A77EF3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200</w:t>
            </w:r>
          </w:p>
        </w:tc>
      </w:tr>
      <w:tr w:rsidR="00FF311E" w:rsidRPr="00A54358" w14:paraId="426F3FA5" w14:textId="77777777" w:rsidTr="00A54358">
        <w:tc>
          <w:tcPr>
            <w:tcW w:w="7225" w:type="dxa"/>
          </w:tcPr>
          <w:p w14:paraId="0ED0AB61" w14:textId="77777777" w:rsidR="00FF311E" w:rsidRPr="00BA1B20" w:rsidRDefault="00FF311E">
            <w:pPr>
              <w:rPr>
                <w:rFonts w:ascii="Urbanist" w:hAnsi="Urbanist"/>
                <w:sz w:val="24"/>
                <w:szCs w:val="24"/>
              </w:rPr>
            </w:pPr>
          </w:p>
        </w:tc>
        <w:tc>
          <w:tcPr>
            <w:tcW w:w="1837" w:type="dxa"/>
          </w:tcPr>
          <w:p w14:paraId="764B50FF" w14:textId="77777777" w:rsidR="00FF311E" w:rsidRPr="00BA1B20" w:rsidRDefault="00FF311E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</w:p>
        </w:tc>
      </w:tr>
      <w:tr w:rsidR="008A092D" w:rsidRPr="00A54358" w14:paraId="401EA144" w14:textId="77777777" w:rsidTr="00A54358">
        <w:tc>
          <w:tcPr>
            <w:tcW w:w="7225" w:type="dxa"/>
            <w:shd w:val="clear" w:color="auto" w:fill="FF7575"/>
          </w:tcPr>
          <w:p w14:paraId="015B1C4C" w14:textId="184A04E6" w:rsidR="008A092D" w:rsidRPr="00BA1B20" w:rsidRDefault="008A092D">
            <w:pPr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lastRenderedPageBreak/>
              <w:t>Budget Staff</w:t>
            </w:r>
          </w:p>
        </w:tc>
        <w:tc>
          <w:tcPr>
            <w:tcW w:w="1837" w:type="dxa"/>
            <w:shd w:val="clear" w:color="auto" w:fill="FF7575"/>
          </w:tcPr>
          <w:p w14:paraId="1F594E54" w14:textId="21989E43" w:rsidR="008A092D" w:rsidRPr="00BA1B20" w:rsidRDefault="005A0E7B" w:rsidP="00FF311E">
            <w:pPr>
              <w:jc w:val="right"/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1’270</w:t>
            </w:r>
          </w:p>
        </w:tc>
      </w:tr>
      <w:tr w:rsidR="008A092D" w:rsidRPr="00A54358" w14:paraId="232EBBC6" w14:textId="77777777" w:rsidTr="00A54358">
        <w:tc>
          <w:tcPr>
            <w:tcW w:w="7225" w:type="dxa"/>
            <w:shd w:val="clear" w:color="auto" w:fill="FFD1D1"/>
          </w:tcPr>
          <w:p w14:paraId="49196834" w14:textId="77777777" w:rsidR="008A092D" w:rsidRPr="00BA1B20" w:rsidRDefault="008A092D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Location Refuge (Soirée remerciement)</w:t>
            </w:r>
          </w:p>
          <w:p w14:paraId="02FEBC46" w14:textId="77777777" w:rsidR="008A092D" w:rsidRPr="00BA1B20" w:rsidRDefault="008A092D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 xml:space="preserve">Location voiture </w:t>
            </w:r>
            <w:proofErr w:type="spellStart"/>
            <w:r w:rsidRPr="00BA1B20">
              <w:rPr>
                <w:rFonts w:ascii="Urbanist" w:hAnsi="Urbanist"/>
                <w:sz w:val="24"/>
                <w:szCs w:val="24"/>
              </w:rPr>
              <w:t>Mobility</w:t>
            </w:r>
            <w:proofErr w:type="spellEnd"/>
          </w:p>
          <w:p w14:paraId="368FC5C4" w14:textId="77777777" w:rsidR="008A092D" w:rsidRPr="00BA1B20" w:rsidRDefault="008A092D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Boissons/Nourriture (Soirée remerciements)</w:t>
            </w:r>
          </w:p>
          <w:p w14:paraId="4C7F46CA" w14:textId="3E99185D" w:rsidR="008A092D" w:rsidRPr="00BA1B20" w:rsidRDefault="008A092D">
            <w:pPr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Bons Staffs (pour des consommations lors des différents évènements)</w:t>
            </w:r>
          </w:p>
        </w:tc>
        <w:tc>
          <w:tcPr>
            <w:tcW w:w="1837" w:type="dxa"/>
            <w:shd w:val="clear" w:color="auto" w:fill="FFD1D1"/>
          </w:tcPr>
          <w:p w14:paraId="379CE2A8" w14:textId="77777777" w:rsidR="008A092D" w:rsidRPr="00BA1B20" w:rsidRDefault="008A092D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200</w:t>
            </w:r>
          </w:p>
          <w:p w14:paraId="4E566783" w14:textId="77777777" w:rsidR="008A092D" w:rsidRPr="00BA1B20" w:rsidRDefault="008A092D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70</w:t>
            </w:r>
          </w:p>
          <w:p w14:paraId="3B15AD0A" w14:textId="77777777" w:rsidR="008A092D" w:rsidRPr="00BA1B20" w:rsidRDefault="008A092D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700</w:t>
            </w:r>
          </w:p>
          <w:p w14:paraId="49CB9C0F" w14:textId="5AFEB17E" w:rsidR="008A092D" w:rsidRPr="00BA1B20" w:rsidRDefault="008A092D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  <w:r w:rsidRPr="00BA1B20">
              <w:rPr>
                <w:rFonts w:ascii="Urbanist" w:hAnsi="Urbanist"/>
                <w:sz w:val="24"/>
                <w:szCs w:val="24"/>
              </w:rPr>
              <w:t>300</w:t>
            </w:r>
          </w:p>
        </w:tc>
      </w:tr>
      <w:tr w:rsidR="008A092D" w:rsidRPr="00A54358" w14:paraId="26A98CC8" w14:textId="77777777" w:rsidTr="00A54358">
        <w:tc>
          <w:tcPr>
            <w:tcW w:w="7225" w:type="dxa"/>
          </w:tcPr>
          <w:p w14:paraId="05ED7468" w14:textId="77777777" w:rsidR="008A092D" w:rsidRPr="00BA1B20" w:rsidRDefault="008A092D">
            <w:pPr>
              <w:rPr>
                <w:rFonts w:ascii="Urbanist" w:hAnsi="Urbanist"/>
                <w:sz w:val="24"/>
                <w:szCs w:val="24"/>
              </w:rPr>
            </w:pPr>
          </w:p>
        </w:tc>
        <w:tc>
          <w:tcPr>
            <w:tcW w:w="1837" w:type="dxa"/>
          </w:tcPr>
          <w:p w14:paraId="01975BCE" w14:textId="77777777" w:rsidR="008A092D" w:rsidRPr="00BA1B20" w:rsidRDefault="008A092D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</w:p>
        </w:tc>
      </w:tr>
      <w:tr w:rsidR="005A0E7B" w:rsidRPr="00A54358" w14:paraId="1F50903C" w14:textId="77777777" w:rsidTr="00A54358">
        <w:tc>
          <w:tcPr>
            <w:tcW w:w="7225" w:type="dxa"/>
            <w:shd w:val="clear" w:color="auto" w:fill="BA8CDC"/>
          </w:tcPr>
          <w:p w14:paraId="2B562C7D" w14:textId="68E52559" w:rsidR="005A0E7B" w:rsidRPr="00BA1B20" w:rsidRDefault="005A0E7B">
            <w:pPr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Dépenses imprévues (5%</w:t>
            </w:r>
            <w:r w:rsidR="00BA1B20">
              <w:rPr>
                <w:rFonts w:ascii="Urbanist" w:hAnsi="Urbanist"/>
                <w:b/>
                <w:bCs/>
                <w:sz w:val="24"/>
                <w:szCs w:val="24"/>
              </w:rPr>
              <w:t xml:space="preserve"> des dépenses prévues</w:t>
            </w: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837" w:type="dxa"/>
            <w:shd w:val="clear" w:color="auto" w:fill="BA8CDC"/>
          </w:tcPr>
          <w:p w14:paraId="23F5948C" w14:textId="2952BBEB" w:rsidR="005A0E7B" w:rsidRPr="00BA1B20" w:rsidRDefault="00A54358" w:rsidP="00FF311E">
            <w:pPr>
              <w:jc w:val="right"/>
              <w:rPr>
                <w:rFonts w:ascii="Urbanist" w:hAnsi="Urbanist"/>
                <w:b/>
                <w:bCs/>
                <w:sz w:val="24"/>
                <w:szCs w:val="24"/>
              </w:rPr>
            </w:pPr>
            <w:r w:rsidRPr="00BA1B20">
              <w:rPr>
                <w:rFonts w:ascii="Urbanist" w:hAnsi="Urbanist"/>
                <w:b/>
                <w:bCs/>
                <w:sz w:val="24"/>
                <w:szCs w:val="24"/>
              </w:rPr>
              <w:t>496</w:t>
            </w:r>
          </w:p>
        </w:tc>
      </w:tr>
      <w:tr w:rsidR="005A0E7B" w:rsidRPr="00A54358" w14:paraId="69AEDA4F" w14:textId="77777777" w:rsidTr="00A54358">
        <w:tc>
          <w:tcPr>
            <w:tcW w:w="7225" w:type="dxa"/>
          </w:tcPr>
          <w:p w14:paraId="689D2D67" w14:textId="77777777" w:rsidR="005A0E7B" w:rsidRPr="00BA1B20" w:rsidRDefault="005A0E7B">
            <w:pPr>
              <w:rPr>
                <w:rFonts w:ascii="Urbanist" w:hAnsi="Urbanist"/>
                <w:sz w:val="24"/>
                <w:szCs w:val="24"/>
              </w:rPr>
            </w:pPr>
          </w:p>
        </w:tc>
        <w:tc>
          <w:tcPr>
            <w:tcW w:w="1837" w:type="dxa"/>
          </w:tcPr>
          <w:p w14:paraId="70E3AE9E" w14:textId="77777777" w:rsidR="005A0E7B" w:rsidRPr="00BA1B20" w:rsidRDefault="005A0E7B" w:rsidP="00FF311E">
            <w:pPr>
              <w:jc w:val="right"/>
              <w:rPr>
                <w:rFonts w:ascii="Urbanist" w:hAnsi="Urbanist"/>
                <w:sz w:val="24"/>
                <w:szCs w:val="24"/>
              </w:rPr>
            </w:pPr>
          </w:p>
        </w:tc>
      </w:tr>
      <w:tr w:rsidR="005A0E7B" w:rsidRPr="00A54358" w14:paraId="2F2DED58" w14:textId="77777777" w:rsidTr="00A54358">
        <w:tc>
          <w:tcPr>
            <w:tcW w:w="7225" w:type="dxa"/>
          </w:tcPr>
          <w:p w14:paraId="11873CDE" w14:textId="09170C72" w:rsidR="005A0E7B" w:rsidRPr="00BA1B20" w:rsidRDefault="00A54358">
            <w:pPr>
              <w:rPr>
                <w:rFonts w:ascii="Urbanist" w:hAnsi="Urbanist"/>
                <w:b/>
                <w:bCs/>
                <w:sz w:val="32"/>
                <w:szCs w:val="32"/>
              </w:rPr>
            </w:pPr>
            <w:r w:rsidRPr="00BA1B20">
              <w:rPr>
                <w:rFonts w:ascii="Urbanist" w:hAnsi="Urbanist"/>
                <w:b/>
                <w:bCs/>
                <w:sz w:val="32"/>
                <w:szCs w:val="32"/>
              </w:rPr>
              <w:t xml:space="preserve">TOTAL </w:t>
            </w:r>
          </w:p>
        </w:tc>
        <w:tc>
          <w:tcPr>
            <w:tcW w:w="1837" w:type="dxa"/>
          </w:tcPr>
          <w:p w14:paraId="0C36D8F5" w14:textId="7E83D812" w:rsidR="005A0E7B" w:rsidRPr="00BA1B20" w:rsidRDefault="00A54358" w:rsidP="00FF311E">
            <w:pPr>
              <w:jc w:val="right"/>
              <w:rPr>
                <w:rFonts w:ascii="Urbanist" w:hAnsi="Urbanist"/>
                <w:b/>
                <w:bCs/>
                <w:sz w:val="32"/>
                <w:szCs w:val="32"/>
              </w:rPr>
            </w:pPr>
            <w:r w:rsidRPr="00BA1B20">
              <w:rPr>
                <w:rFonts w:ascii="Urbanist" w:hAnsi="Urbanist"/>
                <w:b/>
                <w:bCs/>
                <w:sz w:val="32"/>
                <w:szCs w:val="32"/>
              </w:rPr>
              <w:t>10’424</w:t>
            </w:r>
          </w:p>
        </w:tc>
      </w:tr>
    </w:tbl>
    <w:p w14:paraId="5EF666E2" w14:textId="558A05F8" w:rsidR="00FF311E" w:rsidRDefault="00FF311E"/>
    <w:sectPr w:rsidR="00FF3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74E7" w14:textId="77777777" w:rsidR="00720BD7" w:rsidRDefault="00720BD7" w:rsidP="00A54358">
      <w:pPr>
        <w:spacing w:after="0" w:line="240" w:lineRule="auto"/>
      </w:pPr>
      <w:r>
        <w:separator/>
      </w:r>
    </w:p>
  </w:endnote>
  <w:endnote w:type="continuationSeparator" w:id="0">
    <w:p w14:paraId="5B693D7E" w14:textId="77777777" w:rsidR="00720BD7" w:rsidRDefault="00720BD7" w:rsidP="00A5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banist">
    <w:altName w:val="Cambria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7071" w14:textId="77777777" w:rsidR="00720BD7" w:rsidRDefault="00720BD7" w:rsidP="00A54358">
      <w:pPr>
        <w:spacing w:after="0" w:line="240" w:lineRule="auto"/>
      </w:pPr>
      <w:r>
        <w:separator/>
      </w:r>
    </w:p>
  </w:footnote>
  <w:footnote w:type="continuationSeparator" w:id="0">
    <w:p w14:paraId="2402037D" w14:textId="77777777" w:rsidR="00720BD7" w:rsidRDefault="00720BD7" w:rsidP="00A54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1E"/>
    <w:rsid w:val="005A0E7B"/>
    <w:rsid w:val="00720BD7"/>
    <w:rsid w:val="008A092D"/>
    <w:rsid w:val="00A54358"/>
    <w:rsid w:val="00BA1B20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FDA2"/>
  <w15:chartTrackingRefBased/>
  <w15:docId w15:val="{77FA88E4-ECE8-42A6-9CF8-C7EDE072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54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358"/>
  </w:style>
  <w:style w:type="paragraph" w:styleId="Pieddepage">
    <w:name w:val="footer"/>
    <w:basedOn w:val="Normal"/>
    <w:link w:val="PieddepageCar"/>
    <w:uiPriority w:val="99"/>
    <w:unhideWhenUsed/>
    <w:rsid w:val="00A54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clara tavernier</cp:lastModifiedBy>
  <cp:revision>1</cp:revision>
  <dcterms:created xsi:type="dcterms:W3CDTF">2022-12-27T13:36:00Z</dcterms:created>
  <dcterms:modified xsi:type="dcterms:W3CDTF">2022-12-27T14:24:00Z</dcterms:modified>
</cp:coreProperties>
</file>