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13E"/>
          <w:sz w:val="40"/>
        </w:rPr>
        <w:t>Quasar</w:t>
      </w:r>
    </w:p>
    <w:p>
      <w:r>
        <w:rPr>
          <w:i/>
          <w:color w:val="4B5563"/>
          <w:sz w:val="22"/>
        </w:rPr>
        <w:t>Lymphoma structural-variant + fusion detection — algorithm vignette</w:t>
      </w:r>
    </w:p>
    <w:p>
      <w:r>
        <w:rPr>
          <w:b/>
          <w:color w:val="16213E"/>
          <w:sz w:val="26"/>
        </w:rPr>
        <w:t>What it is</w:t>
      </w:r>
    </w:p>
    <w:p>
      <w:r>
        <w:rPr>
          <w:i w:val="0"/>
          <w:sz w:val="21"/>
        </w:rPr>
        <w:t>Quasar is an open-source, ensemble structural-variant caller for lymphoma next-generation sequencing — both targeted panels and whole-genome. It consumes BAM/CRAM directly (its own pysam scanner) and/or VCFs from Manta, GRIDSS, Delly, SvABA, TIDDIT, and FACTERA, then runs a 12-step lymphoma-aware pipeline that produces tiered fusion calls, per-sample clinical brochures, a cohort dashboard, and a VCF 4.3 export. Designed for clinical deployment, anti-paywall, patient-care first.</w:t>
      </w:r>
    </w:p>
    <w:p>
      <w:r>
        <w:rPr>
          <w:b/>
          <w:color w:val="16213E"/>
          <w:sz w:val="26"/>
        </w:rPr>
        <w:t>Headline benchmark (14-sample WGS cohort, 4-tool head-to-head)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6213e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493"/>
            <w:shd w:val="clear" w:fill="16213e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2493"/>
            <w:shd w:val="clear" w:fill="16213e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2493"/>
            <w:shd w:val="clear" w:fill="16213e"/>
          </w:tcPr>
          <w:p>
            <w:r>
              <w:rPr>
                <w:b/>
                <w:color w:val="FFFFFF"/>
              </w:rPr>
              <w:t>F1</w:t>
            </w:r>
          </w:p>
        </w:tc>
      </w:tr>
      <w:tr>
        <w:tc>
          <w:tcPr>
            <w:tcW w:type="dxa" w:w="2493"/>
            <w:shd w:val="clear" w:fill="dbeafe"/>
          </w:tcPr>
          <w:p>
            <w:r>
              <w:rPr>
                <w:b/>
                <w:sz w:val="20"/>
              </w:rPr>
              <w:t>Quasar</w:t>
            </w:r>
          </w:p>
        </w:tc>
        <w:tc>
          <w:tcPr>
            <w:tcW w:type="dxa" w:w="2493"/>
            <w:shd w:val="clear" w:fill="dbeafe"/>
          </w:tcPr>
          <w:p>
            <w:r>
              <w:rPr>
                <w:b/>
                <w:sz w:val="20"/>
              </w:rPr>
              <w:t>0.87</w:t>
            </w:r>
          </w:p>
        </w:tc>
        <w:tc>
          <w:tcPr>
            <w:tcW w:type="dxa" w:w="2493"/>
            <w:shd w:val="clear" w:fill="dbeafe"/>
          </w:tcPr>
          <w:p>
            <w:r>
              <w:rPr>
                <w:b/>
                <w:sz w:val="20"/>
              </w:rPr>
              <w:t>0.81</w:t>
            </w:r>
          </w:p>
        </w:tc>
        <w:tc>
          <w:tcPr>
            <w:tcW w:type="dxa" w:w="2493"/>
            <w:shd w:val="clear" w:fill="dbeafe"/>
          </w:tcPr>
          <w:p>
            <w:r>
              <w:rPr>
                <w:b/>
                <w:sz w:val="20"/>
              </w:rPr>
              <w:t>0.84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Manta 1.6.0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0.71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0.38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Delly 2.1.0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0.43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0.29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SvABA 1.2.0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0.14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0.17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TIDDIT 3.9.5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0.00</w:t>
            </w:r>
          </w:p>
        </w:tc>
      </w:tr>
    </w:tbl>
    <w:p>
      <w:r>
        <w:rPr>
          <w:i/>
          <w:sz w:val="18"/>
        </w:rPr>
        <w:t>GRIDSS 2.13.2 not in the table — its setup ran ~12 hr/sample on this hardware and was killed; the lymphoma blind spot (PMBL polyG attractor) is shared with the other general-purpose callers.</w:t>
      </w:r>
    </w:p>
    <w:p>
      <w:r>
        <w:br w:type="page"/>
      </w:r>
    </w:p>
    <w:p>
      <w:r>
        <w:rPr>
          <w:b/>
          <w:color w:val="16213E"/>
          <w:sz w:val="26"/>
        </w:rPr>
        <w:t>Algorithm flow</w:t>
      </w:r>
    </w:p>
    <w:p>
      <w:r>
        <w:rPr>
          <w:i w:val="0"/>
          <w:sz w:val="20"/>
        </w:rPr>
        <w:t>Twelve steps from CRAM to clinical report. Red-bracketed boxes are the layers no general-purpose SV caller has — every other tool stops at step 5.</w:t>
      </w:r>
    </w:p>
    <w:p>
      <w:r>
        <w:drawing>
          <wp:inline xmlns:a="http://schemas.openxmlformats.org/drawingml/2006/main" xmlns:pic="http://schemas.openxmlformats.org/drawingml/2006/picture">
            <wp:extent cx="6120000" cy="6673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sa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7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Source: src/quasarsv/{scanners,merge,annotate,qc,rescue,classify,promote}.py</w:t>
      </w:r>
    </w:p>
    <w:p>
      <w:r>
        <w:br w:type="page"/>
      </w:r>
    </w:p>
    <w:p>
      <w:r>
        <w:rPr>
          <w:b/>
          <w:color w:val="16213E"/>
          <w:sz w:val="26"/>
        </w:rPr>
        <w:t>Four structural advantages no general-purpose caller has</w:t>
      </w:r>
    </w:p>
    <w:p>
      <w:r>
        <w:rPr>
          <w:i w:val="0"/>
          <w:sz w:val="22"/>
        </w:rPr>
        <w:t>1. polyG-attractor rescue (step 8)</w:t>
      </w:r>
    </w:p>
    <w:p>
      <w:r>
        <w:rPr>
          <w:i w:val="0"/>
          <w:sz w:val="21"/>
        </w:rPr>
        <w:t>PMBL t(3;14) chimeric reads have their IGH side absorbed by the chr2:32916 polyG stretch in GRCh38 (&gt;644 k reads per sample). General-purpose callers see a BCL6↔chr2 BND and stop. Quasar synthesises the underlying BCL6-IGH translocation from the artefact-mediated signal, with a B-cell lineage prior + canonical-partner promotion. Uniquely catches both PMBL samples in the benchmark.</w:t>
      </w:r>
    </w:p>
    <w:p>
      <w:r>
        <w:rPr>
          <w:i w:val="0"/>
          <w:sz w:val="22"/>
        </w:rPr>
        <w:t>2. Canonical-partner tier promotion (step 9)</w:t>
      </w:r>
    </w:p>
    <w:p>
      <w:r>
        <w:rPr>
          <w:i w:val="0"/>
          <w:sz w:val="21"/>
        </w:rPr>
        <w:t>A 30-row known_partners.tsv table covers every clinically-actionable lymphoma translocation (IGH-MYC, IGH-BCL2, IGH-BCL6, IGH-CCND1, NPM1-ALK, BCL6 promiscuous partners, etc.) tagged with disease. Any annotated pair with ≥5 SR or ≥10 PE is promoted to T1 — catches MD903 BCL6-IGH and NU-DUL-1 MYC-IGH where Manta records exist but score 0 against its own quality filter.</w:t>
      </w:r>
    </w:p>
    <w:p>
      <w:r>
        <w:rPr>
          <w:i w:val="0"/>
          <w:sz w:val="22"/>
        </w:rPr>
        <w:t>3. Evidence-level merge, not caller-vote (step 4)</w:t>
      </w:r>
    </w:p>
    <w:p>
      <w:r>
        <w:rPr>
          <w:i w:val="0"/>
          <w:sz w:val="21"/>
        </w:rPr>
        <w:t>Two callers seeing the same split-read cluster counts as one piece of evidence, not two. The merger sums independent evidence types (split read, discordant pair, assembly contig, soft clip) at ±250 bp tolerance and tiers on that. Avoids the false-positive explosion that hits Delly (4 FPs) and SvABA (18 FPs) when caller-vote agreement isn't filtered for evidence-type independence.</w:t>
      </w:r>
    </w:p>
    <w:p>
      <w:r>
        <w:rPr>
          <w:i w:val="0"/>
          <w:sz w:val="22"/>
        </w:rPr>
        <w:t>4. Lymphoma-aware event classification + demotion (steps 10-11)</w:t>
      </w:r>
    </w:p>
    <w:p>
      <w:r>
        <w:rPr>
          <w:i w:val="0"/>
          <w:sz w:val="21"/>
        </w:rPr>
        <w:t>Every call is classed as IG_intra (V(D)J), IG_IG (noise), IG_driver_canonical (clinical), IG_driver_novel (review), driver_driver (clinical), driver_intra (aSHM), or intergenic. Single-caller T1 calls that fall into the non-clinical buckets are demoted to T3 unless multi-caller PASS preserves them. This is what gives Quasar precision = 0.87 while every general-purpose caller's precision is ≤0.71.</w:t>
      </w:r>
    </w:p>
    <w:p>
      <w:r>
        <w:rPr>
          <w:b/>
          <w:color w:val="16213E"/>
          <w:sz w:val="26"/>
        </w:rPr>
        <w:t>How to reproduce in one command</w:t>
      </w:r>
    </w:p>
    <w:p>
      <w:r>
        <w:rPr>
          <w:i w:val="0"/>
          <w:sz w:val="18"/>
        </w:rPr>
        <w:t>cd &lt;project_root&gt; &amp;&amp; pytest tests/ -q &amp;&amp; \</w:t>
        <w:br/>
        <w:t>quasar benchmark output/wgs_cohort/*/*.fusions.tsv --relax-canonical-ig-partner</w:t>
      </w:r>
    </w:p>
    <w:p>
      <w:r>
        <w:rPr>
          <w:b/>
          <w:color w:val="16213E"/>
          <w:sz w:val="26"/>
        </w:rPr>
        <w:t>Scope</w:t>
      </w:r>
    </w:p>
    <w:p>
      <w:pPr>
        <w:pStyle w:val="ListBullet"/>
      </w:pPr>
      <w:r>
        <w:rPr>
          <w:sz w:val="21"/>
        </w:rPr>
        <w:t>Inputs: BAM/CRAM and/or VCFs from any subset of Manta, GRIDSS, Delly, SvABA, TIDDIT, FACTERA</w:t>
      </w:r>
    </w:p>
    <w:p>
      <w:pPr>
        <w:pStyle w:val="ListBullet"/>
      </w:pPr>
      <w:r>
        <w:rPr>
          <w:sz w:val="21"/>
        </w:rPr>
        <w:t>Outputs: FusionCall TSV/JSON · per-sample brochure HTML · cohort dashboard · VCF 4.3</w:t>
      </w:r>
    </w:p>
    <w:p>
      <w:pPr>
        <w:pStyle w:val="ListBullet"/>
      </w:pPr>
      <w:r>
        <w:rPr>
          <w:sz w:val="21"/>
        </w:rPr>
        <w:t>Cohort tested: 23 lymphoma WGS samples (PMBL, DLBCL, ATLL, T-cell NHL, Immunodef NHL)</w:t>
      </w:r>
    </w:p>
    <w:p>
      <w:pPr>
        <w:pStyle w:val="ListBullet"/>
      </w:pPr>
      <w:r>
        <w:rPr>
          <w:sz w:val="21"/>
        </w:rPr>
        <w:t>Tests: 51 passing</w:t>
      </w:r>
    </w:p>
    <w:p>
      <w:pPr>
        <w:pStyle w:val="ListBullet"/>
      </w:pPr>
      <w:r>
        <w:rPr>
          <w:sz w:val="21"/>
        </w:rPr>
        <w:t>Source: src/quasarsv/  ·  docs/algorithm_vignette.md  ·  docs/benchmark_results.md</w:t>
      </w:r>
    </w:p>
    <w:p>
      <w:pPr>
        <w:pStyle w:val="ListBullet"/>
      </w:pPr>
      <w:r>
        <w:rPr>
          <w:sz w:val="21"/>
        </w:rPr>
        <w:t>Open source, anti-paywall — designed for clinical deployment, patient-care first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